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Comments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and Suggested Revisions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Towards the Description of SCOS-communications 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Related Sections of the 802.22.3 Standard Draft v1.0</w:t>
      </w:r>
    </w:p>
    <w:p>
      <w:pPr>
        <w:rPr>
          <w:b/>
          <w:sz w:val="32"/>
        </w:rPr>
      </w:pPr>
    </w:p>
    <w:p>
      <w:pPr>
        <w:rPr>
          <w:i/>
        </w:rPr>
      </w:pPr>
    </w:p>
    <w:p>
      <w:pPr>
        <w:rPr>
          <w:i/>
        </w:rPr>
      </w:pPr>
      <w:r>
        <w:rPr>
          <w:i/>
        </w:rPr>
        <w:t>Nilesh Khambekar</w:t>
      </w:r>
    </w:p>
    <w:p>
      <w:r>
        <w:t xml:space="preserve">Date: </w:t>
      </w:r>
      <w:r>
        <w:rPr>
          <w:lang w:val="en-US"/>
        </w:rPr>
        <w:t>March 4</w:t>
      </w:r>
      <w:r>
        <w:rPr>
          <w:vertAlign w:val="superscript"/>
          <w:lang w:val="en-US"/>
        </w:rPr>
        <w:t>th</w:t>
      </w:r>
      <w:r>
        <w:rPr>
          <w:lang w:val="en-US"/>
        </w:rPr>
        <w:t>, 2017 [Comment version 1.0 ]</w:t>
      </w:r>
    </w:p>
    <w:p>
      <w:pPr>
        <w:pStyle w:val="8"/>
        <w:numPr>
          <w:numId w:val="0"/>
        </w:numPr>
        <w:ind w:leftChars="0"/>
        <w:rPr>
          <w:lang w:val="en-US"/>
        </w:rPr>
      </w:pPr>
      <w:r>
        <w:rPr>
          <w:lang w:val="en-US"/>
        </w:rPr>
        <w:t>Comments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Following are the comments on SCOS Communication described in Section of the standard version 1.0. </w:t>
      </w:r>
    </w:p>
    <w:p>
      <w:pPr>
        <w:pStyle w:val="11"/>
        <w:rPr>
          <w:lang w:val="en-US"/>
        </w:rPr>
      </w:pP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Communication model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Response codes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Message encoding structure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Message Transport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Details of the Message parameters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Table of Messages for SCOS Operational procedures</w:t>
      </w:r>
    </w:p>
    <w:p>
      <w:pPr>
        <w:pStyle w:val="11"/>
        <w:numPr>
          <w:ilvl w:val="0"/>
          <w:numId w:val="0"/>
        </w:numPr>
        <w:ind w:left="420" w:leftChars="0"/>
        <w:rPr>
          <w:lang w:val="en-US"/>
        </w:rPr>
      </w:pPr>
    </w:p>
    <w:p>
      <w:pPr>
        <w:pStyle w:val="8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Suggestions</w:t>
      </w:r>
    </w:p>
    <w:p>
      <w:pPr>
        <w:pStyle w:val="11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Following draft attempts to address the above mentioned comments on the standard draft v1.0 towards communication between the SCOS system entities.  </w:t>
      </w:r>
    </w:p>
    <w:p>
      <w:pPr>
        <w:pStyle w:val="11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10"/>
      </w:pPr>
      <w:r>
        <w:rPr>
          <w:lang w:val="en-US"/>
        </w:rPr>
        <w:t>SCOS Communication</w:t>
      </w:r>
    </w:p>
    <w:p>
      <w:pPr>
        <w:pStyle w:val="9"/>
      </w:pPr>
      <w:r>
        <w:rPr>
          <w:lang w:val="en-US"/>
        </w:rPr>
        <w:t>SCOS communication interfaces</w:t>
      </w:r>
    </w:p>
    <w:p>
      <w:pPr>
        <w:pStyle w:val="11"/>
        <w:rPr>
          <w:lang w:val="en-US"/>
        </w:rPr>
      </w:pPr>
      <w:r>
        <w:rPr>
          <w:lang w:val="en-US"/>
        </w:rPr>
        <w:t>Following are the key SCOS communication interfaces.</w:t>
      </w:r>
    </w:p>
    <w:p>
      <w:pPr>
        <w:pStyle w:val="11"/>
        <w:numPr>
          <w:ilvl w:val="0"/>
          <w:numId w:val="3"/>
        </w:numPr>
        <w:ind w:left="420" w:leftChars="0" w:hanging="420" w:firstLineChars="0"/>
        <w:rPr>
          <w:lang w:val="en-US"/>
        </w:rPr>
      </w:pPr>
      <w:r>
        <w:rPr>
          <w:lang w:val="en-US"/>
        </w:rPr>
        <w:t xml:space="preserve">Actor and SSM Interface </w:t>
      </w:r>
    </w:p>
    <w:p>
      <w:pPr>
        <w:pStyle w:val="11"/>
        <w:numPr>
          <w:ilvl w:val="0"/>
          <w:numId w:val="3"/>
        </w:numPr>
        <w:ind w:left="420" w:leftChars="0" w:hanging="420" w:firstLineChars="0"/>
        <w:rPr>
          <w:lang w:val="en-US"/>
        </w:rPr>
      </w:pPr>
      <w:r>
        <w:rPr>
          <w:lang w:val="en-US"/>
        </w:rPr>
        <w:t>SSM and SSD Interface</w:t>
      </w:r>
    </w:p>
    <w:p>
      <w:pPr>
        <w:pStyle w:val="11"/>
        <w:numPr>
          <w:ilvl w:val="1"/>
          <w:numId w:val="4"/>
        </w:numPr>
        <w:ind w:left="840" w:leftChars="0" w:hanging="420" w:firstLineChars="0"/>
        <w:rPr>
          <w:lang w:val="en-US"/>
        </w:rPr>
      </w:pPr>
      <w:r>
        <w:rPr>
          <w:lang w:val="en-US"/>
        </w:rPr>
        <w:t xml:space="preserve">The interface between SSM and SSD is required to be synchronous. </w:t>
      </w:r>
    </w:p>
    <w:p>
      <w:pPr>
        <w:pStyle w:val="11"/>
        <w:numPr>
          <w:ilvl w:val="0"/>
          <w:numId w:val="4"/>
        </w:numPr>
        <w:tabs>
          <w:tab w:val="left" w:pos="840"/>
        </w:tabs>
        <w:ind w:left="420" w:leftChars="0" w:hanging="420" w:firstLineChars="0"/>
        <w:rPr>
          <w:lang w:val="en-US"/>
        </w:rPr>
      </w:pPr>
      <w:r>
        <w:rPr>
          <w:lang w:val="en-US"/>
        </w:rPr>
        <w:t>SSD and SDM Interface</w:t>
      </w:r>
    </w:p>
    <w:p>
      <w:pPr>
        <w:pStyle w:val="11"/>
        <w:numPr>
          <w:ilvl w:val="0"/>
          <w:numId w:val="3"/>
        </w:numPr>
        <w:ind w:left="420" w:leftChars="0" w:hanging="420" w:firstLineChars="0"/>
        <w:rPr>
          <w:lang w:val="en-US"/>
        </w:rPr>
      </w:pPr>
      <w:r>
        <w:rPr>
          <w:lang w:val="en-US"/>
        </w:rPr>
        <w:t>SDM and DRP Interface</w:t>
      </w:r>
    </w:p>
    <w:p>
      <w:pPr>
        <w:pStyle w:val="11"/>
        <w:numPr>
          <w:ilvl w:val="1"/>
          <w:numId w:val="4"/>
        </w:numPr>
        <w:ind w:left="840" w:leftChars="0" w:hanging="420" w:firstLineChars="0"/>
        <w:rPr>
          <w:lang w:val="en-US"/>
        </w:rPr>
      </w:pPr>
      <w:r>
        <w:rPr>
          <w:lang w:val="en-US"/>
        </w:rPr>
        <w:t>The interface between SSD and SDM is required to be asynchronous.</w:t>
      </w:r>
    </w:p>
    <w:p>
      <w:pPr>
        <w:pStyle w:val="11"/>
        <w:ind w:firstLineChars="0"/>
        <w:rPr>
          <w:lang w:val="en-US"/>
        </w:rPr>
      </w:pPr>
    </w:p>
    <w:p>
      <w:pPr>
        <w:pStyle w:val="9"/>
      </w:pPr>
      <w:r>
        <w:rPr>
          <w:lang w:val="en-US"/>
        </w:rPr>
        <w:t>Response codes</w:t>
      </w:r>
    </w:p>
    <w:p>
      <w:pPr>
        <w:pStyle w:val="11"/>
        <w:rPr>
          <w:rFonts w:hint="default"/>
        </w:rPr>
      </w:pPr>
      <w:r>
        <w:rPr>
          <w:rFonts w:hint="default"/>
        </w:rPr>
        <w:t>0: success</w:t>
      </w:r>
    </w:p>
    <w:p>
      <w:pPr>
        <w:pStyle w:val="11"/>
        <w:rPr>
          <w:rFonts w:hint="default"/>
        </w:rPr>
      </w:pPr>
      <w:r>
        <w:rPr>
          <w:rFonts w:hint="default"/>
        </w:rPr>
        <w:t>100 – 199: error events related to the entity association and disassociation</w:t>
      </w:r>
    </w:p>
    <w:p>
      <w:pPr>
        <w:pStyle w:val="11"/>
        <w:rPr>
          <w:rFonts w:hint="default"/>
        </w:rPr>
      </w:pPr>
      <w:r>
        <w:rPr>
          <w:rFonts w:hint="default"/>
        </w:rPr>
        <w:t xml:space="preserve">200 – 299: error events related to the entity configuration and policy enforcement </w:t>
      </w:r>
    </w:p>
    <w:p>
      <w:pPr>
        <w:pStyle w:val="11"/>
        <w:rPr>
          <w:rFonts w:hint="default"/>
        </w:rPr>
      </w:pPr>
      <w:r>
        <w:rPr>
          <w:rFonts w:hint="default"/>
        </w:rPr>
        <w:t>300 – 399: error events related to the scanning procedures</w:t>
      </w:r>
    </w:p>
    <w:p>
      <w:pPr>
        <w:pStyle w:val="11"/>
        <w:rPr>
          <w:rFonts w:hint="default"/>
        </w:rPr>
      </w:pPr>
      <w:r>
        <w:rPr>
          <w:rFonts w:hint="default"/>
        </w:rPr>
        <w:t>400 – 499: error events related to the data dissemination procedures</w:t>
      </w:r>
    </w:p>
    <w:p>
      <w:pPr>
        <w:pStyle w:val="11"/>
        <w:rPr>
          <w:rFonts w:hint="default"/>
        </w:rPr>
      </w:pPr>
      <w:r>
        <w:rPr>
          <w:rFonts w:hint="default"/>
        </w:rPr>
        <w:t>500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– 599: error events related to the heartbeat procedure</w:t>
      </w:r>
      <w:r>
        <w:rPr>
          <w:rFonts w:hint="default"/>
          <w:lang w:val="en-US"/>
        </w:rPr>
        <w:t xml:space="preserve"> and</w:t>
      </w:r>
      <w:r>
        <w:rPr>
          <w:rFonts w:hint="default"/>
        </w:rPr>
        <w:t xml:space="preserve"> SCOS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entity/platform health </w:t>
      </w:r>
    </w:p>
    <w:p>
      <w:pPr>
        <w:pStyle w:val="11"/>
      </w:pPr>
      <w:r>
        <w:rPr>
          <w:rFonts w:hint="default"/>
        </w:rPr>
        <w:t>600 – 699: error events related to the SCOS infrastructure administrative procedures</w:t>
      </w:r>
    </w:p>
    <w:p>
      <w:pPr>
        <w:pStyle w:val="11"/>
      </w:pPr>
    </w:p>
    <w:p>
      <w:pPr>
        <w:pStyle w:val="9"/>
      </w:pPr>
      <w:r>
        <w:rPr>
          <w:lang w:val="en-US"/>
        </w:rPr>
        <w:t>Message Encoding</w:t>
      </w:r>
    </w:p>
    <w:p>
      <w:pPr>
        <w:pStyle w:val="11"/>
        <w:numPr>
          <w:ilvl w:val="0"/>
          <w:numId w:val="5"/>
        </w:numPr>
        <w:ind w:left="420" w:leftChars="0" w:hanging="420" w:firstLineChars="0"/>
      </w:pPr>
      <w:r>
        <w:rPr>
          <w:lang w:val="en-US"/>
        </w:rPr>
        <w:t xml:space="preserve">SCOS </w:t>
      </w:r>
      <w:r>
        <w:rPr>
          <w:lang w:val="en-GB"/>
        </w:rPr>
        <w:t xml:space="preserve">messages </w:t>
      </w:r>
      <w:r>
        <w:rPr>
          <w:lang w:val="en-US"/>
        </w:rPr>
        <w:t>are encoded</w:t>
      </w:r>
      <w:r>
        <w:rPr>
          <w:lang w:val="en-GB"/>
        </w:rPr>
        <w:t xml:space="preserve"> </w:t>
      </w:r>
      <w:r>
        <w:rPr>
          <w:lang w:val="en-US"/>
        </w:rPr>
        <w:t xml:space="preserve">in </w:t>
      </w:r>
      <w:r>
        <w:rPr>
          <w:lang w:val="en-GB"/>
        </w:rPr>
        <w:t>JavaScript Object Notation (JSON). JSON is a language-independent data-interchange format that is easy for humans to read and write. There are code and functions readily available in C, C++, C#, Java, JavaScript, MATLAB, Perl, and Python for parsing and generating JSON. It is a lightweight alternative to XML, commonly used to transmit data between server and browser applications.</w:t>
      </w:r>
    </w:p>
    <w:p>
      <w:pPr>
        <w:pStyle w:val="11"/>
        <w:numPr>
          <w:ilvl w:val="0"/>
          <w:numId w:val="6"/>
        </w:numPr>
        <w:ind w:left="420" w:leftChars="0" w:hanging="420" w:firstLineChars="0"/>
        <w:rPr>
          <w:lang w:val="en-GB"/>
        </w:rPr>
      </w:pPr>
      <w:r>
        <w:rPr>
          <w:lang w:val="en-US"/>
        </w:rPr>
        <w:t>T</w:t>
      </w:r>
      <w:r>
        <w:rPr>
          <w:lang w:val="en-GB"/>
        </w:rPr>
        <w:t>he first five fields are the same for all messages; they are:</w:t>
      </w:r>
    </w:p>
    <w:p>
      <w:pPr>
        <w:pStyle w:val="11"/>
        <w:ind w:leftChars="300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>
        <w:rPr>
          <w:lang w:val="en-GB"/>
        </w:rPr>
        <w:t>Ver = Schema/data transfer version with the major.minor.revision syntax (string)</w:t>
      </w:r>
    </w:p>
    <w:p>
      <w:pPr>
        <w:pStyle w:val="11"/>
        <w:ind w:leftChars="30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>
        <w:rPr>
          <w:lang w:val="en-GB"/>
        </w:rPr>
        <w:t>Type = Type of JSON message (string) {“Sys”, ”Loc”, or “Data”}</w:t>
      </w:r>
    </w:p>
    <w:p>
      <w:pPr>
        <w:pStyle w:val="11"/>
        <w:ind w:leftChars="30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>
        <w:rPr>
          <w:lang w:val="en-GB"/>
        </w:rPr>
        <w:t>SensorID = Unique identifier of sensor (string of URL unreserved characters)</w:t>
      </w:r>
    </w:p>
    <w:p>
      <w:pPr>
        <w:pStyle w:val="11"/>
        <w:ind w:leftChars="30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>
        <w:rPr>
          <w:lang w:val="en-GB"/>
        </w:rPr>
        <w:t>SensorKey = Authentication key given out by MSOD (integer)</w:t>
      </w:r>
    </w:p>
    <w:p>
      <w:pPr>
        <w:pStyle w:val="11"/>
        <w:ind w:leftChars="300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>
        <w:rPr>
          <w:lang w:val="en-GB"/>
        </w:rPr>
        <w:t>t = Time [seconds since Jan 1, 1970 UTC] (long integer)</w:t>
      </w:r>
    </w:p>
    <w:p>
      <w:pPr>
        <w:pStyle w:val="11"/>
        <w:numPr>
          <w:ilvl w:val="0"/>
          <w:numId w:val="7"/>
        </w:numPr>
        <w:ind w:left="420" w:leftChars="0" w:hanging="420" w:firstLineChars="0"/>
        <w:rPr>
          <w:lang w:val="en-GB"/>
        </w:rPr>
      </w:pPr>
      <w:r>
        <w:rPr>
          <w:lang w:val="en-GB"/>
        </w:rPr>
        <w:t>Each message begin</w:t>
      </w:r>
      <w:r>
        <w:rPr>
          <w:lang w:val="en-US"/>
        </w:rPr>
        <w:t>s</w:t>
      </w:r>
      <w:r>
        <w:rPr>
          <w:lang w:val="en-GB"/>
        </w:rPr>
        <w:t xml:space="preserve"> with a header comprised of attribute-value pairs in ASCII characters.</w:t>
      </w:r>
      <w:r>
        <w:rPr>
          <w:lang w:val="en-US"/>
        </w:rPr>
        <w:t xml:space="preserve"> [#confirm]</w:t>
      </w:r>
    </w:p>
    <w:p>
      <w:pPr>
        <w:pStyle w:val="11"/>
        <w:numPr>
          <w:ilvl w:val="0"/>
          <w:numId w:val="7"/>
        </w:numPr>
        <w:ind w:left="420" w:leftChars="0" w:hanging="420" w:firstLineChars="0"/>
        <w:rPr>
          <w:lang w:val="en-GB"/>
        </w:rPr>
      </w:pPr>
      <w:r>
        <w:rPr>
          <w:lang w:val="en-GB"/>
        </w:rPr>
        <w:t>If an attribute is not relevant to the sensor implementation, then the value is set to NaN or "NaN".</w:t>
      </w:r>
    </w:p>
    <w:p>
      <w:pPr>
        <w:pStyle w:val="11"/>
        <w:numPr>
          <w:ilvl w:val="0"/>
          <w:numId w:val="7"/>
        </w:numPr>
        <w:ind w:left="420" w:leftChars="0" w:hanging="420" w:firstLineChars="0"/>
        <w:rPr>
          <w:lang w:val="en-GB"/>
        </w:rPr>
      </w:pPr>
      <w:r>
        <w:rPr>
          <w:lang w:val="en-GB"/>
        </w:rPr>
        <w:t xml:space="preserve">The following are specific formatting rules to be followed: </w:t>
      </w:r>
    </w:p>
    <w:p>
      <w:pPr>
        <w:pStyle w:val="11"/>
        <w:numPr>
          <w:ilvl w:val="0"/>
          <w:numId w:val="8"/>
        </w:numPr>
        <w:ind w:left="840" w:leftChars="0" w:hanging="420" w:firstLineChars="0"/>
        <w:rPr>
          <w:lang w:val="en-GB"/>
        </w:rPr>
      </w:pPr>
      <w:r>
        <w:rPr>
          <w:lang w:val="en-GB"/>
        </w:rPr>
        <w:t xml:space="preserve">All timestamps, i.e., t (defined above)and t1 (to be defined in Data message description) will be reported as seconds since 1/1/1970 midnight UTC in the UTC time zone. </w:t>
      </w:r>
    </w:p>
    <w:p>
      <w:pPr>
        <w:pStyle w:val="11"/>
        <w:numPr>
          <w:ilvl w:val="0"/>
          <w:numId w:val="8"/>
        </w:numPr>
        <w:ind w:left="840" w:leftChars="0" w:hanging="420" w:firstLineChars="0"/>
        <w:rPr>
          <w:lang w:val="en-GB"/>
        </w:rPr>
      </w:pPr>
      <w:r>
        <w:rPr>
          <w:lang w:val="en-GB"/>
        </w:rPr>
        <w:t xml:space="preserve">String values must only contain URL unreserved characters (i.e., uppercase and lowercase letters, decimal digits, hyphen, period, underscore, and tilde), and </w:t>
      </w:r>
    </w:p>
    <w:p>
      <w:pPr>
        <w:pStyle w:val="11"/>
        <w:numPr>
          <w:ilvl w:val="0"/>
          <w:numId w:val="8"/>
        </w:numPr>
        <w:ind w:left="840" w:leftChars="0" w:hanging="420" w:firstLineChars="0"/>
        <w:rPr>
          <w:lang w:val="en-GB"/>
        </w:rPr>
      </w:pPr>
      <w:r>
        <w:rPr>
          <w:lang w:val="en-GB"/>
        </w:rPr>
        <w:t xml:space="preserve">Field names cannot start with an underscore because that convention is reserved for internal </w:t>
      </w:r>
      <w:r>
        <w:rPr>
          <w:lang w:val="en-US"/>
        </w:rPr>
        <w:t xml:space="preserve">implementation-specific </w:t>
      </w:r>
      <w:r>
        <w:rPr>
          <w:lang w:val="en-GB"/>
        </w:rPr>
        <w:t>use</w:t>
      </w:r>
      <w:r>
        <w:rPr>
          <w:lang w:val="en-US"/>
        </w:rPr>
        <w:t>s</w:t>
      </w:r>
      <w:r>
        <w:rPr>
          <w:lang w:val="en-GB"/>
        </w:rPr>
        <w:t>.</w:t>
      </w:r>
    </w:p>
    <w:p>
      <w:pPr>
        <w:pStyle w:val="11"/>
        <w:numPr>
          <w:numId w:val="0"/>
        </w:numPr>
        <w:ind w:leftChars="0"/>
      </w:pPr>
    </w:p>
    <w:p>
      <w:pPr>
        <w:pStyle w:val="9"/>
      </w:pPr>
      <w:r>
        <w:rPr>
          <w:lang w:val="en-US"/>
        </w:rPr>
        <w:t>Message Transport</w:t>
      </w:r>
    </w:p>
    <w:p>
      <w:pPr>
        <w:pStyle w:val="11"/>
        <w:numPr>
          <w:ilvl w:val="0"/>
          <w:numId w:val="9"/>
        </w:numPr>
        <w:ind w:left="420" w:leftChars="0" w:hanging="420" w:firstLineChars="0"/>
        <w:rPr>
          <w:lang w:val="en-US"/>
        </w:rPr>
      </w:pPr>
      <w:r>
        <w:rPr>
          <w:lang w:val="en-US"/>
        </w:rPr>
        <w:t xml:space="preserve">The standard requires reliable transport mechanism. </w:t>
      </w:r>
    </w:p>
    <w:p>
      <w:pPr>
        <w:pStyle w:val="11"/>
        <w:numPr>
          <w:ilvl w:val="1"/>
          <w:numId w:val="10"/>
        </w:numPr>
        <w:ind w:left="840" w:leftChars="0" w:hanging="420" w:firstLineChars="0"/>
        <w:rPr>
          <w:lang w:val="en-US"/>
        </w:rPr>
      </w:pPr>
      <w:r>
        <w:rPr>
          <w:lang w:val="en-US"/>
        </w:rPr>
        <w:t xml:space="preserve">Within MQTT, QOS 1 (AT-LEAST-ONCE) is suggested. </w:t>
      </w:r>
    </w:p>
    <w:p>
      <w:pPr>
        <w:pStyle w:val="11"/>
        <w:numPr>
          <w:ilvl w:val="0"/>
          <w:numId w:val="9"/>
        </w:numPr>
        <w:ind w:left="420" w:leftChars="0" w:hanging="420" w:firstLineChars="0"/>
        <w:rPr>
          <w:lang w:val="en-US"/>
        </w:rPr>
      </w:pPr>
      <w:r>
        <w:rPr>
          <w:lang w:val="en-US"/>
        </w:rPr>
        <w:t>The standard recommends MQTT transport for communication between SSM and SSDs [#RecommendedTransport? #AddReference MQTT].</w:t>
      </w:r>
    </w:p>
    <w:p>
      <w:pPr>
        <w:pStyle w:val="11"/>
        <w:numPr>
          <w:ilvl w:val="0"/>
          <w:numId w:val="9"/>
        </w:numPr>
        <w:ind w:left="420" w:leftChars="0" w:hanging="420" w:firstLineChars="0"/>
        <w:rPr>
          <w:lang w:val="en-US"/>
        </w:rPr>
      </w:pPr>
      <w:r>
        <w:rPr>
          <w:lang w:val="en-US"/>
        </w:rPr>
        <w:t>Transport security is ensured using the security protocols and procedures within the transport mechanism.</w:t>
      </w:r>
    </w:p>
    <w:p>
      <w:pPr>
        <w:pStyle w:val="11"/>
        <w:numPr>
          <w:ilvl w:val="1"/>
          <w:numId w:val="11"/>
        </w:numPr>
        <w:ind w:left="840" w:leftChars="0" w:hanging="420" w:firstLineChars="0"/>
        <w:rPr>
          <w:lang w:val="en-US"/>
        </w:rPr>
      </w:pPr>
      <w:r>
        <w:rPr>
          <w:lang w:val="en-US"/>
        </w:rPr>
        <w:t xml:space="preserve"> Example: MQTT messages can be secured using TLS. Please refer to  [#Reference] for security mechanism in MQTT. </w:t>
      </w:r>
    </w:p>
    <w:p>
      <w:pPr>
        <w:pStyle w:val="11"/>
        <w:numPr>
          <w:numId w:val="0"/>
        </w:numPr>
        <w:tabs>
          <w:tab w:val="left" w:pos="840"/>
        </w:tabs>
        <w:ind w:leftChars="0"/>
        <w:rPr>
          <w:lang w:val="en-US"/>
        </w:rPr>
      </w:pPr>
    </w:p>
    <w:p>
      <w:pPr>
        <w:pStyle w:val="9"/>
      </w:pPr>
      <w:r>
        <w:rPr>
          <w:lang w:val="en-US"/>
        </w:rPr>
        <w:t>SCOS Message exchanges</w:t>
      </w:r>
    </w:p>
    <w:p>
      <w:pPr>
        <w:pStyle w:val="11"/>
        <w:rPr>
          <w:lang w:val="en-US"/>
        </w:rPr>
      </w:pPr>
      <w:r>
        <w:rPr>
          <w:lang w:val="en-US"/>
        </w:rPr>
        <w:t>Following table identifies messages across different entities.</w:t>
      </w:r>
    </w:p>
    <w:p>
      <w:pPr>
        <w:pStyle w:val="11"/>
        <w:rPr>
          <w:lang w:val="en-US"/>
        </w:rPr>
      </w:pP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7"/>
        <w:gridCol w:w="1587"/>
        <w:gridCol w:w="3375"/>
        <w:gridCol w:w="1183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US"/>
              </w:rPr>
              <w:t xml:space="preserve">Operational  procedure </w:t>
            </w:r>
          </w:p>
        </w:tc>
        <w:tc>
          <w:tcPr>
            <w:tcW w:w="1587" w:type="dxa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US"/>
              </w:rPr>
              <w:t>Message Name</w:t>
            </w:r>
          </w:p>
        </w:tc>
        <w:tc>
          <w:tcPr>
            <w:tcW w:w="3375" w:type="dxa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US"/>
              </w:rPr>
              <w:t>Description</w:t>
            </w:r>
          </w:p>
        </w:tc>
        <w:tc>
          <w:tcPr>
            <w:tcW w:w="1183" w:type="dxa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US"/>
              </w:rPr>
              <w:t>Transport</w:t>
            </w:r>
          </w:p>
        </w:tc>
        <w:tc>
          <w:tcPr>
            <w:tcW w:w="998" w:type="dxa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  <w:vertAlign w:val="baseline"/>
                <w:lang w:val="en-US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en-US"/>
              </w:rPr>
              <w:t>Section Ref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Actor 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Actor dis-association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DRP 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DRP dis-association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SSD 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SSD dis-association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Spectrum-scan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Spectrum-data-dissemination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Heartbeat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Calibration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Configuration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Query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Reporting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Management </w:t>
            </w:r>
          </w:p>
        </w:tc>
        <w:tc>
          <w:tcPr>
            <w:tcW w:w="1587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37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From: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To: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Purpose: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Note: Platform control message</w:t>
            </w:r>
          </w:p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998" w:type="dxa"/>
          </w:tcPr>
          <w:p>
            <w:pPr>
              <w:pStyle w:val="11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</w:tbl>
    <w:p>
      <w:pPr>
        <w:pStyle w:val="11"/>
        <w:rPr>
          <w:lang w:val="en-US"/>
        </w:rPr>
      </w:pPr>
    </w:p>
    <w:p>
      <w:pPr>
        <w:pStyle w:val="9"/>
      </w:pPr>
      <w:r>
        <w:rPr>
          <w:lang w:val="en-US"/>
        </w:rPr>
        <w:t>Details of the Message Parameters</w:t>
      </w:r>
    </w:p>
    <w:p>
      <w:pPr>
        <w:pStyle w:val="8"/>
      </w:pPr>
      <w:r>
        <w:rPr>
          <w:lang w:val="en-US"/>
        </w:rPr>
        <w:t>SSD Association</w:t>
      </w:r>
    </w:p>
    <w:p>
      <w:pPr>
        <w:pStyle w:val="12"/>
      </w:pPr>
      <w:r>
        <w:t xml:space="preserve">SSD-SSM Association </w:t>
      </w:r>
      <w:r>
        <w:rPr>
          <w:lang w:val="en-US"/>
        </w:rPr>
        <w:t>Message exchange</w:t>
      </w:r>
    </w:p>
    <w:p>
      <w:pPr>
        <w:pStyle w:val="11"/>
        <w:rPr>
          <w:lang w:val="en-US"/>
        </w:rPr>
      </w:pPr>
      <w:r>
        <w:rPr>
          <w:lang w:val="en-US"/>
        </w:rPr>
        <w:t>[#Revise #AddFormatContent]</w:t>
      </w:r>
    </w:p>
    <w:tbl>
      <w:tblPr>
        <w:tblStyle w:val="7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rPr>
                <w:color w:val="7030A0"/>
                <w:sz w:val="20"/>
              </w:rPr>
            </w:pP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  <w:shd w:val="clear" w:color="auto" w:fill="E7E6E6" w:themeFill="background2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SSD Association:</w:t>
            </w:r>
          </w:p>
        </w:tc>
        <w:tc>
          <w:tcPr>
            <w:tcW w:w="3620" w:type="dxa"/>
            <w:shd w:val="clear" w:color="auto" w:fill="E7E6E6" w:themeFill="background2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SSD Send: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SSD associate {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Association [request new, request refresh, request disassociate]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SSD Device ID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Public Key}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SSM would have all possible SSDs’ public keys that can associate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SSM Reply: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SSM associate {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SSD Device ID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Association state granted [new, refresh, disassociate]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SSD association max TTL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Tells SSD how long before it gets auto disconnected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SSD association remaining TTL}</w:t>
            </w: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Tells SSD how long left on clock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0" w:type="dxa"/>
          </w:tcPr>
          <w:p>
            <w:pPr>
              <w:rPr>
                <w:color w:val="7030A0"/>
                <w:sz w:val="20"/>
              </w:rPr>
            </w:pPr>
          </w:p>
        </w:tc>
      </w:tr>
    </w:tbl>
    <w:p>
      <w:pPr>
        <w:rPr>
          <w:lang w:val="en-GB"/>
        </w:rPr>
      </w:pPr>
    </w:p>
    <w:p>
      <w:pPr>
        <w:pStyle w:val="11"/>
      </w:pPr>
    </w:p>
    <w:p>
      <w:pPr>
        <w:pStyle w:val="8"/>
      </w:pPr>
      <w:r>
        <w:rPr>
          <w:lang w:val="en-US"/>
        </w:rPr>
        <w:t>SSM-SSD Scan</w:t>
      </w:r>
    </w:p>
    <w:p>
      <w:pPr>
        <w:rPr>
          <w:lang w:val="en-US"/>
        </w:rPr>
      </w:pPr>
      <w:r>
        <w:rPr>
          <w:lang w:val="en-US"/>
        </w:rPr>
        <w:t>[#Revise SSD Send should be Separate #AddFormatContent]</w:t>
      </w:r>
    </w:p>
    <w:tbl>
      <w:tblPr>
        <w:tblStyle w:val="7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  <w:shd w:val="clear" w:color="auto" w:fill="E7E6E6" w:themeFill="background2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SSD Advertise:</w:t>
            </w:r>
          </w:p>
        </w:tc>
        <w:tc>
          <w:tcPr>
            <w:tcW w:w="3621" w:type="dxa"/>
            <w:shd w:val="clear" w:color="auto" w:fill="E7E6E6" w:themeFill="background2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SSD Send: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SSD spec { 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Fmin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Fmax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Resolution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Algorithm Type 1..n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Antenna type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Antenna direction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GPS available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GPS location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…etc }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All standard defined metadata types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  <w:u w:val="single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SSM Reply: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SSM scan schedule for (SSD Device ID) 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1 time {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Schedule Sequence Number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Unique to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Time Start Offset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Time in minutes from start of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Time Slots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How many minutes to block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Repeat start offset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Interval to repeat start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Number of repeats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How many repeats (anything outside week window are dropped)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 xml:space="preserve">Scan 1 spec { 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Fmin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Desired Fmin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Fmax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Desired Fmax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Resolution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Desired 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Algorithm Type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Give desired algorithm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Antenna type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Give expected antenna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Antenna direction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Give expected/desired antenna direction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GPS enable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GPS location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Give expected GPS location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>…etc }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All standard defined metadata types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 xml:space="preserve">Scan 1 destination { 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425"/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</w:rPr>
              <w:tab/>
            </w:r>
            <w:r>
              <w:rPr>
                <w:color w:val="7030A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Actor public key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Actor’s public key identifier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MQ topic or URL of data destination}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Where data will be published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Etc … Scan 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SSD reply on scan execute: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Schedule Sequence Number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Completion Code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1 – complete, 2 – incomplete, 3 – rejected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Completion Fstart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Freq where scan was to start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Completion Fend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Freq that was attained (“0” for invalid)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ab/>
            </w:r>
            <w:r>
              <w:rPr>
                <w:color w:val="7030A0"/>
                <w:sz w:val="20"/>
              </w:rPr>
              <w:t>Scan parameter that caused rejection</w:t>
            </w: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If Completion Code 3, this gives problem metric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</w:tcPr>
          <w:p>
            <w:pPr>
              <w:tabs>
                <w:tab w:val="left" w:pos="600"/>
              </w:tabs>
              <w:ind w:left="600" w:hanging="600"/>
              <w:rPr>
                <w:color w:val="7030A0"/>
                <w:sz w:val="20"/>
              </w:rPr>
            </w:pPr>
          </w:p>
        </w:tc>
        <w:tc>
          <w:tcPr>
            <w:tcW w:w="3621" w:type="dxa"/>
          </w:tcPr>
          <w:p>
            <w:pPr>
              <w:rPr>
                <w:color w:val="7030A0"/>
                <w:sz w:val="20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="720"/>
      </w:pPr>
    </w:p>
    <w:p>
      <w:pPr>
        <w:pStyle w:val="11"/>
      </w:pPr>
    </w:p>
    <w:p>
      <w:pPr>
        <w:pStyle w:val="8"/>
      </w:pPr>
      <w:r>
        <w:rPr>
          <w:lang w:val="en-US"/>
        </w:rPr>
        <w:t>SSD Sensing Data Transmission</w:t>
      </w:r>
    </w:p>
    <w:p>
      <w:pPr>
        <w:pStyle w:val="8"/>
      </w:pPr>
      <w:r>
        <w:rPr>
          <w:lang w:val="en-US"/>
        </w:rPr>
        <w:t xml:space="preserve">Sensing Data Dissemination to DRP </w:t>
      </w:r>
    </w:p>
    <w:p>
      <w:pPr>
        <w:pStyle w:val="8"/>
      </w:pPr>
      <w:r>
        <w:rPr>
          <w:lang w:val="en-US"/>
        </w:rPr>
        <w:t>Heartbeat</w:t>
      </w:r>
    </w:p>
    <w:p>
      <w:pPr>
        <w:pStyle w:val="8"/>
      </w:pPr>
      <w:r>
        <w:rPr>
          <w:lang w:val="en-US"/>
        </w:rPr>
        <w:t>Configuration</w:t>
      </w:r>
    </w:p>
    <w:p>
      <w:pPr>
        <w:pStyle w:val="8"/>
      </w:pPr>
      <w:r>
        <w:rPr>
          <w:lang w:val="en-US"/>
        </w:rPr>
        <w:t>Calibration</w:t>
      </w:r>
    </w:p>
    <w:p>
      <w:pPr>
        <w:pStyle w:val="8"/>
      </w:pPr>
      <w:r>
        <w:rPr>
          <w:lang w:val="en-US"/>
        </w:rPr>
        <w:t>Query</w:t>
      </w:r>
    </w:p>
    <w:p>
      <w:pPr>
        <w:pStyle w:val="8"/>
      </w:pPr>
      <w:r>
        <w:rPr>
          <w:lang w:val="en-US"/>
        </w:rPr>
        <w:t>Log</w:t>
      </w:r>
    </w:p>
    <w:p>
      <w:pPr>
        <w:pStyle w:val="8"/>
      </w:pPr>
      <w:r>
        <w:rPr>
          <w:lang w:val="en-US"/>
        </w:rPr>
        <w:t>Report</w:t>
      </w:r>
    </w:p>
    <w:p>
      <w:pPr>
        <w:pStyle w:val="8"/>
      </w:pPr>
      <w:r>
        <w:rPr>
          <w:lang w:val="en-US"/>
        </w:rPr>
        <w:t>Management</w:t>
      </w:r>
      <w:bookmarkStart w:id="0" w:name="_GoBack"/>
      <w:bookmarkEnd w:id="0"/>
    </w:p>
    <w:p>
      <w:pPr>
        <w:pStyle w:val="8"/>
      </w:pPr>
      <w:r>
        <w:rPr>
          <w:lang w:val="en-US"/>
        </w:rPr>
        <w:t>SSD Dis-association</w:t>
      </w:r>
    </w:p>
    <w:p>
      <w:pPr>
        <w:pStyle w:val="8"/>
      </w:pPr>
      <w:r>
        <w:rPr>
          <w:lang w:val="en-US"/>
        </w:rPr>
        <w:t>Actor Association</w:t>
      </w:r>
    </w:p>
    <w:p>
      <w:pPr>
        <w:pStyle w:val="8"/>
      </w:pPr>
      <w:r>
        <w:rPr>
          <w:lang w:val="en-US"/>
        </w:rPr>
        <w:t>DRP Association</w:t>
      </w:r>
    </w:p>
    <w:p>
      <w:pPr>
        <w:pStyle w:val="8"/>
      </w:pPr>
      <w:r>
        <w:rPr>
          <w:lang w:val="en-US"/>
        </w:rPr>
        <w:t>Actor Dis-association</w:t>
      </w:r>
    </w:p>
    <w:p>
      <w:pPr>
        <w:pStyle w:val="8"/>
      </w:pPr>
      <w:r>
        <w:rPr>
          <w:lang w:val="en-US"/>
        </w:rPr>
        <w:t>DRP Dis-association</w:t>
      </w:r>
    </w:p>
    <w:p>
      <w:pPr>
        <w:pStyle w:val="11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ê-bWˇ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4D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56B"/>
    <w:multiLevelType w:val="multilevel"/>
    <w:tmpl w:val="3841656B"/>
    <w:lvl w:ilvl="0" w:tentative="0">
      <w:start w:val="1"/>
      <w:numFmt w:val="decimal"/>
      <w:pStyle w:val="10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9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12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13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>
    <w:nsid w:val="58B75383"/>
    <w:multiLevelType w:val="multilevel"/>
    <w:tmpl w:val="58B7538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58BC9DAE"/>
    <w:multiLevelType w:val="singleLevel"/>
    <w:tmpl w:val="58BC9DA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3">
    <w:nsid w:val="58BC9DE8"/>
    <w:multiLevelType w:val="multilevel"/>
    <w:tmpl w:val="58BC9DE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58BC9E06"/>
    <w:multiLevelType w:val="multilevel"/>
    <w:tmpl w:val="58BC9E0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5">
    <w:nsid w:val="58BC9E3F"/>
    <w:multiLevelType w:val="multilevel"/>
    <w:tmpl w:val="58BC9E3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6">
    <w:nsid w:val="58BC9EC3"/>
    <w:multiLevelType w:val="multilevel"/>
    <w:tmpl w:val="58BC9EC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7">
    <w:nsid w:val="58BCC32E"/>
    <w:multiLevelType w:val="multilevel"/>
    <w:tmpl w:val="58BCC32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5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8">
    <w:nsid w:val="58BCDD07"/>
    <w:multiLevelType w:val="multilevel"/>
    <w:tmpl w:val="58BCDD0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5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9">
    <w:nsid w:val="58BD1D47"/>
    <w:multiLevelType w:val="multilevel"/>
    <w:tmpl w:val="58BD1D4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0">
    <w:nsid w:val="58BD1E2E"/>
    <w:multiLevelType w:val="multilevel"/>
    <w:tmpl w:val="58BD1E2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5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5C6A"/>
    <w:rsid w:val="012B2FCD"/>
    <w:rsid w:val="01372FC7"/>
    <w:rsid w:val="013E2194"/>
    <w:rsid w:val="01F14E51"/>
    <w:rsid w:val="033E49CE"/>
    <w:rsid w:val="03966704"/>
    <w:rsid w:val="042A574F"/>
    <w:rsid w:val="05175BBD"/>
    <w:rsid w:val="05471A87"/>
    <w:rsid w:val="05C72A14"/>
    <w:rsid w:val="065A05CC"/>
    <w:rsid w:val="090068E2"/>
    <w:rsid w:val="0ABD55D8"/>
    <w:rsid w:val="0C1C5C6A"/>
    <w:rsid w:val="0C211DB9"/>
    <w:rsid w:val="0CF17F31"/>
    <w:rsid w:val="0D00196E"/>
    <w:rsid w:val="0F165E39"/>
    <w:rsid w:val="0FA464B4"/>
    <w:rsid w:val="10A5470D"/>
    <w:rsid w:val="10F85FE9"/>
    <w:rsid w:val="131D799C"/>
    <w:rsid w:val="13550E77"/>
    <w:rsid w:val="15A716B2"/>
    <w:rsid w:val="172A09DC"/>
    <w:rsid w:val="17465397"/>
    <w:rsid w:val="182159B1"/>
    <w:rsid w:val="18322A05"/>
    <w:rsid w:val="18410C6D"/>
    <w:rsid w:val="188D4836"/>
    <w:rsid w:val="18F46FD5"/>
    <w:rsid w:val="198845BA"/>
    <w:rsid w:val="19D824E9"/>
    <w:rsid w:val="1B1A4577"/>
    <w:rsid w:val="1C941B3C"/>
    <w:rsid w:val="1DBB1FC9"/>
    <w:rsid w:val="1E552F5D"/>
    <w:rsid w:val="20930632"/>
    <w:rsid w:val="20BE462E"/>
    <w:rsid w:val="21C013E6"/>
    <w:rsid w:val="22443BCD"/>
    <w:rsid w:val="232A2A51"/>
    <w:rsid w:val="234458AC"/>
    <w:rsid w:val="234843BB"/>
    <w:rsid w:val="234B4D8A"/>
    <w:rsid w:val="26661734"/>
    <w:rsid w:val="267C1AD5"/>
    <w:rsid w:val="26AF2BD1"/>
    <w:rsid w:val="26EB7979"/>
    <w:rsid w:val="278F0859"/>
    <w:rsid w:val="27C60481"/>
    <w:rsid w:val="28517CB2"/>
    <w:rsid w:val="28A734FD"/>
    <w:rsid w:val="29D317BA"/>
    <w:rsid w:val="2A924B51"/>
    <w:rsid w:val="2DD65A1C"/>
    <w:rsid w:val="2E033968"/>
    <w:rsid w:val="30097A7B"/>
    <w:rsid w:val="32443EF7"/>
    <w:rsid w:val="32A03537"/>
    <w:rsid w:val="34F01A0F"/>
    <w:rsid w:val="35923B8E"/>
    <w:rsid w:val="35A060E9"/>
    <w:rsid w:val="35F91B47"/>
    <w:rsid w:val="36B23DDF"/>
    <w:rsid w:val="379932E4"/>
    <w:rsid w:val="386641E4"/>
    <w:rsid w:val="38F20623"/>
    <w:rsid w:val="39BF7140"/>
    <w:rsid w:val="3BB62DAF"/>
    <w:rsid w:val="3BB959D0"/>
    <w:rsid w:val="3C8B4312"/>
    <w:rsid w:val="3CFD105A"/>
    <w:rsid w:val="3D1873B3"/>
    <w:rsid w:val="3D8D5977"/>
    <w:rsid w:val="3D9A0D8D"/>
    <w:rsid w:val="3E376BF9"/>
    <w:rsid w:val="3F1248F5"/>
    <w:rsid w:val="3F214C08"/>
    <w:rsid w:val="3FAB0615"/>
    <w:rsid w:val="3FEB4B05"/>
    <w:rsid w:val="3FF97DC4"/>
    <w:rsid w:val="40284A96"/>
    <w:rsid w:val="404F0833"/>
    <w:rsid w:val="44EA1295"/>
    <w:rsid w:val="45047B4F"/>
    <w:rsid w:val="45FC38FC"/>
    <w:rsid w:val="469A3C0A"/>
    <w:rsid w:val="48712071"/>
    <w:rsid w:val="49517A67"/>
    <w:rsid w:val="495746D0"/>
    <w:rsid w:val="4B31715E"/>
    <w:rsid w:val="4C7A6E7A"/>
    <w:rsid w:val="4F294269"/>
    <w:rsid w:val="4F4F68CD"/>
    <w:rsid w:val="4F6836F1"/>
    <w:rsid w:val="4FE10F9B"/>
    <w:rsid w:val="525C60EF"/>
    <w:rsid w:val="53786F09"/>
    <w:rsid w:val="55803172"/>
    <w:rsid w:val="56D02B59"/>
    <w:rsid w:val="57D243C4"/>
    <w:rsid w:val="59493BF5"/>
    <w:rsid w:val="59820BF2"/>
    <w:rsid w:val="59BD3136"/>
    <w:rsid w:val="59DA5822"/>
    <w:rsid w:val="5A4F01FF"/>
    <w:rsid w:val="5C567658"/>
    <w:rsid w:val="5CBF4A4A"/>
    <w:rsid w:val="5CF67966"/>
    <w:rsid w:val="5D1F3B18"/>
    <w:rsid w:val="5E094AB4"/>
    <w:rsid w:val="5E331D3E"/>
    <w:rsid w:val="5E3E0F7B"/>
    <w:rsid w:val="5E4F4050"/>
    <w:rsid w:val="5E7B67EB"/>
    <w:rsid w:val="60161CE7"/>
    <w:rsid w:val="6031246F"/>
    <w:rsid w:val="60BF718A"/>
    <w:rsid w:val="61876E93"/>
    <w:rsid w:val="61C76A39"/>
    <w:rsid w:val="61E64733"/>
    <w:rsid w:val="65096291"/>
    <w:rsid w:val="655A5DEB"/>
    <w:rsid w:val="657F3804"/>
    <w:rsid w:val="66341810"/>
    <w:rsid w:val="669206E4"/>
    <w:rsid w:val="67B54B75"/>
    <w:rsid w:val="68AB5DAA"/>
    <w:rsid w:val="69684C1B"/>
    <w:rsid w:val="6C3D4BDB"/>
    <w:rsid w:val="6C8B7CC1"/>
    <w:rsid w:val="6D8D546E"/>
    <w:rsid w:val="6DEC7A5F"/>
    <w:rsid w:val="6E71187E"/>
    <w:rsid w:val="6E715EEA"/>
    <w:rsid w:val="6F4D3A9C"/>
    <w:rsid w:val="703D74A3"/>
    <w:rsid w:val="705632E8"/>
    <w:rsid w:val="71954511"/>
    <w:rsid w:val="726A2E2F"/>
    <w:rsid w:val="72AC5524"/>
    <w:rsid w:val="737F695C"/>
    <w:rsid w:val="748F6AD7"/>
    <w:rsid w:val="749F57D1"/>
    <w:rsid w:val="74E635FE"/>
    <w:rsid w:val="75263AE7"/>
    <w:rsid w:val="75675E60"/>
    <w:rsid w:val="75CD3B49"/>
    <w:rsid w:val="75E66347"/>
    <w:rsid w:val="76484843"/>
    <w:rsid w:val="76C82822"/>
    <w:rsid w:val="77550CB8"/>
    <w:rsid w:val="792C47F1"/>
    <w:rsid w:val="79334769"/>
    <w:rsid w:val="79614540"/>
    <w:rsid w:val="79905372"/>
    <w:rsid w:val="7A237341"/>
    <w:rsid w:val="7AD11D06"/>
    <w:rsid w:val="7B687779"/>
    <w:rsid w:val="7CD311E2"/>
    <w:rsid w:val="7E8A43D1"/>
    <w:rsid w:val="7FFE5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pageBreakBefore w:val="0"/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3">
    <w:name w:val="heading 3"/>
    <w:basedOn w:val="1"/>
    <w:next w:val="1"/>
    <w:unhideWhenUsed/>
    <w:qFormat/>
    <w:uiPriority w:val="0"/>
    <w:pPr>
      <w:tabs>
        <w:tab w:val="left" w:pos="1080"/>
      </w:tabs>
      <w:outlineLvl w:val="2"/>
    </w:pPr>
    <w:rPr>
      <w:sz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7">
    <w:name w:val="Table Grid"/>
    <w:basedOn w:val="6"/>
    <w:qFormat/>
    <w:uiPriority w:val="0"/>
    <w:rPr>
      <w:rFonts w:eastAsia="MS Mincho"/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IEEEStds Level 3 Header"/>
    <w:basedOn w:val="9"/>
    <w:next w:val="11"/>
    <w:qFormat/>
    <w:uiPriority w:val="0"/>
    <w:pPr>
      <w:numPr>
        <w:ilvl w:val="2"/>
      </w:numPr>
      <w:tabs>
        <w:tab w:val="left" w:pos="432"/>
      </w:tabs>
      <w:spacing w:before="240"/>
      <w:outlineLvl w:val="2"/>
    </w:pPr>
    <w:rPr>
      <w:sz w:val="20"/>
    </w:rPr>
  </w:style>
  <w:style w:type="paragraph" w:customStyle="1" w:styleId="9">
    <w:name w:val="IEEEStds Level 2 Header"/>
    <w:basedOn w:val="10"/>
    <w:next w:val="11"/>
    <w:qFormat/>
    <w:uiPriority w:val="0"/>
    <w:pPr>
      <w:keepNext/>
      <w:numPr>
        <w:ilvl w:val="1"/>
      </w:numPr>
      <w:tabs>
        <w:tab w:val="left" w:pos="432"/>
      </w:tabs>
      <w:outlineLvl w:val="1"/>
    </w:pPr>
    <w:rPr>
      <w:sz w:val="22"/>
    </w:rPr>
  </w:style>
  <w:style w:type="paragraph" w:customStyle="1" w:styleId="10">
    <w:name w:val="IEEEStds Level 1 Header"/>
    <w:next w:val="11"/>
    <w:qFormat/>
    <w:uiPriority w:val="0"/>
    <w:pPr>
      <w:keepLines/>
      <w:numPr>
        <w:ilvl w:val="0"/>
        <w:numId w:val="1"/>
      </w:numPr>
      <w:suppressAutoHyphens/>
      <w:spacing w:before="360" w:after="240"/>
      <w:outlineLvl w:val="0"/>
    </w:pPr>
    <w:rPr>
      <w:rFonts w:ascii="Arial" w:hAnsi="Arial" w:eastAsia="Times New Roman" w:cs="Times New Roman"/>
      <w:b/>
      <w:sz w:val="24"/>
      <w:szCs w:val="22"/>
      <w:lang w:val="en-CA" w:eastAsia="en-US" w:bidi="ar-SA"/>
    </w:rPr>
  </w:style>
  <w:style w:type="paragraph" w:customStyle="1" w:styleId="11">
    <w:name w:val="IEEEStds Paragraph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en-US" w:bidi="ar-SA"/>
    </w:rPr>
  </w:style>
  <w:style w:type="paragraph" w:customStyle="1" w:styleId="12">
    <w:name w:val="IEEEStds Level 4 Header"/>
    <w:basedOn w:val="8"/>
    <w:next w:val="11"/>
    <w:qFormat/>
    <w:uiPriority w:val="0"/>
    <w:pPr>
      <w:numPr>
        <w:ilvl w:val="3"/>
      </w:numPr>
      <w:outlineLvl w:val="3"/>
    </w:pPr>
  </w:style>
  <w:style w:type="paragraph" w:customStyle="1" w:styleId="13">
    <w:name w:val="IEEEStds Level 5 Header"/>
    <w:basedOn w:val="12"/>
    <w:next w:val="11"/>
    <w:qFormat/>
    <w:uiPriority w:val="0"/>
    <w:pPr>
      <w:numPr>
        <w:ilvl w:val="4"/>
      </w:numPr>
      <w:outlineLvl w:val="4"/>
    </w:pPr>
  </w:style>
  <w:style w:type="paragraph" w:customStyle="1" w:styleId="14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2017-03-01T03:53:00Z</dcterms:created>
  <dc:creator>spectrum</dc:creator>
  <cp:lastModifiedBy>spectrum</cp:lastModifiedBy>
  <dcterms:modified xsi:type="dcterms:W3CDTF">2017-03-06T07:55:49Z</dcterms:modified>
  <dc:title>SCOS Policy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