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25915" w14:textId="330EF30D" w:rsidR="00691B27" w:rsidRPr="00691B27" w:rsidRDefault="00691B27">
      <w:pPr>
        <w:rPr>
          <w:rFonts w:ascii="Arial" w:hAnsi="Arial" w:cs="Arial"/>
          <w:b/>
          <w:sz w:val="36"/>
        </w:rPr>
      </w:pPr>
      <w:r w:rsidRPr="00691B27">
        <w:rPr>
          <w:rFonts w:ascii="Arial" w:hAnsi="Arial" w:cs="Arial"/>
          <w:b/>
          <w:sz w:val="36"/>
        </w:rPr>
        <w:t xml:space="preserve">Relevance of </w:t>
      </w:r>
      <w:r w:rsidR="000D4D41" w:rsidRPr="00691B27">
        <w:rPr>
          <w:rFonts w:ascii="Arial" w:hAnsi="Arial" w:cs="Arial"/>
          <w:b/>
          <w:sz w:val="36"/>
        </w:rPr>
        <w:t>VITA</w:t>
      </w:r>
      <w:bookmarkStart w:id="0" w:name="_GoBack"/>
      <w:bookmarkEnd w:id="0"/>
      <w:r w:rsidR="000D4D41" w:rsidRPr="00691B27">
        <w:rPr>
          <w:rFonts w:ascii="Arial" w:hAnsi="Arial" w:cs="Arial"/>
          <w:b/>
          <w:sz w:val="36"/>
        </w:rPr>
        <w:t>-49</w:t>
      </w:r>
      <w:r w:rsidRPr="00691B27">
        <w:rPr>
          <w:rFonts w:ascii="Arial" w:hAnsi="Arial" w:cs="Arial"/>
          <w:b/>
          <w:sz w:val="36"/>
        </w:rPr>
        <w:t xml:space="preserve"> to 802.22.3</w:t>
      </w:r>
    </w:p>
    <w:p w14:paraId="491D83C4" w14:textId="77777777" w:rsidR="00691B27" w:rsidRPr="00691B27" w:rsidRDefault="00691B27">
      <w:pPr>
        <w:rPr>
          <w:rFonts w:ascii="Arial" w:hAnsi="Arial" w:cs="Arial"/>
          <w:b/>
        </w:rPr>
      </w:pPr>
    </w:p>
    <w:p w14:paraId="05308B0E" w14:textId="403AAB5C" w:rsidR="00BC0021" w:rsidRPr="00691B27" w:rsidRDefault="00691B27">
      <w:pPr>
        <w:rPr>
          <w:rFonts w:ascii="Arial" w:hAnsi="Arial" w:cs="Arial"/>
          <w:b/>
        </w:rPr>
      </w:pPr>
      <w:r w:rsidRPr="00691B27">
        <w:rPr>
          <w:rFonts w:ascii="Arial" w:hAnsi="Arial" w:cs="Arial"/>
          <w:b/>
        </w:rPr>
        <w:t>Elements that may be directly applicable in proposed IEEE SCOS standard</w:t>
      </w:r>
    </w:p>
    <w:p w14:paraId="32534B43" w14:textId="77777777" w:rsidR="000D4D41" w:rsidRPr="00691B27" w:rsidRDefault="000D4D41">
      <w:pPr>
        <w:rPr>
          <w:rFonts w:ascii="Arial" w:hAnsi="Arial" w:cs="Arial"/>
        </w:rPr>
      </w:pPr>
    </w:p>
    <w:p w14:paraId="407B2580" w14:textId="0C54E3AD" w:rsidR="000D4D41" w:rsidRPr="00691B27" w:rsidRDefault="00337E20">
      <w:pPr>
        <w:rPr>
          <w:rFonts w:ascii="Arial" w:hAnsi="Arial" w:cs="Arial"/>
        </w:rPr>
      </w:pPr>
      <w:r w:rsidRPr="00691B27">
        <w:rPr>
          <w:rFonts w:ascii="Arial" w:hAnsi="Arial" w:cs="Arial"/>
        </w:rPr>
        <w:t>Summary</w:t>
      </w:r>
      <w:r w:rsidR="00691B27" w:rsidRPr="00691B27">
        <w:rPr>
          <w:rFonts w:ascii="Arial" w:hAnsi="Arial" w:cs="Arial"/>
        </w:rPr>
        <w:t xml:space="preserve"> of VITA-49</w:t>
      </w:r>
      <w:r w:rsidRPr="00691B27">
        <w:rPr>
          <w:rFonts w:ascii="Arial" w:hAnsi="Arial" w:cs="Arial"/>
        </w:rPr>
        <w:t>:</w:t>
      </w:r>
    </w:p>
    <w:p w14:paraId="4F5A8960" w14:textId="77777777" w:rsidR="00337E20" w:rsidRPr="00691B27" w:rsidRDefault="00337E20" w:rsidP="00337E20">
      <w:pPr>
        <w:pStyle w:val="ListParagraph"/>
        <w:numPr>
          <w:ilvl w:val="0"/>
          <w:numId w:val="1"/>
        </w:numPr>
        <w:rPr>
          <w:rFonts w:ascii="Arial" w:hAnsi="Arial" w:cs="Arial"/>
        </w:rPr>
      </w:pPr>
      <w:r w:rsidRPr="00691B27">
        <w:rPr>
          <w:rFonts w:ascii="Arial" w:hAnsi="Arial" w:cs="Arial"/>
        </w:rPr>
        <w:t>Transport-layer protocol designed for radio equipment interoperability</w:t>
      </w:r>
    </w:p>
    <w:p w14:paraId="5F54F49A" w14:textId="77777777" w:rsidR="00337E20" w:rsidRPr="00691B27" w:rsidRDefault="00337E20" w:rsidP="00337E20">
      <w:pPr>
        <w:pStyle w:val="ListParagraph"/>
        <w:numPr>
          <w:ilvl w:val="0"/>
          <w:numId w:val="1"/>
        </w:numPr>
        <w:rPr>
          <w:rFonts w:ascii="Arial" w:hAnsi="Arial" w:cs="Arial"/>
        </w:rPr>
      </w:pPr>
      <w:r w:rsidRPr="00691B27">
        <w:rPr>
          <w:rFonts w:ascii="Arial" w:hAnsi="Arial" w:cs="Arial"/>
        </w:rPr>
        <w:t>Standardization of digitized signal sample streams for software radio systems</w:t>
      </w:r>
    </w:p>
    <w:p w14:paraId="593891C8" w14:textId="77777777" w:rsidR="00337E20" w:rsidRPr="00691B27" w:rsidRDefault="00337E20" w:rsidP="00337E20">
      <w:pPr>
        <w:pStyle w:val="ListParagraph"/>
        <w:numPr>
          <w:ilvl w:val="0"/>
          <w:numId w:val="1"/>
        </w:numPr>
        <w:rPr>
          <w:rFonts w:ascii="Arial" w:hAnsi="Arial" w:cs="Arial"/>
        </w:rPr>
      </w:pPr>
      <w:r w:rsidRPr="00691B27">
        <w:rPr>
          <w:rFonts w:ascii="Arial" w:hAnsi="Arial" w:cs="Arial"/>
        </w:rPr>
        <w:t>Standardization of metadata transport between system elements</w:t>
      </w:r>
    </w:p>
    <w:p w14:paraId="58D768B0" w14:textId="3235A009" w:rsidR="000D4D41" w:rsidRPr="00691B27" w:rsidRDefault="00337E20" w:rsidP="00691B27">
      <w:pPr>
        <w:pStyle w:val="ListParagraph"/>
        <w:numPr>
          <w:ilvl w:val="0"/>
          <w:numId w:val="1"/>
        </w:numPr>
        <w:rPr>
          <w:rFonts w:ascii="Arial" w:hAnsi="Arial" w:cs="Arial"/>
        </w:rPr>
      </w:pPr>
      <w:r w:rsidRPr="00691B27">
        <w:rPr>
          <w:rFonts w:ascii="Arial" w:hAnsi="Arial" w:cs="Arial"/>
        </w:rPr>
        <w:t>Enhancements for transmitters, control functions, status monitoring, and event triggering</w:t>
      </w:r>
    </w:p>
    <w:p w14:paraId="5AD81C86" w14:textId="77777777" w:rsidR="000D4D41" w:rsidRPr="00691B27" w:rsidRDefault="000D4D41">
      <w:pPr>
        <w:rPr>
          <w:rFonts w:ascii="Arial" w:hAnsi="Arial" w:cs="Arial"/>
        </w:rPr>
      </w:pPr>
    </w:p>
    <w:p w14:paraId="361129E5" w14:textId="6D4963DD" w:rsidR="00337E20" w:rsidRPr="00691B27" w:rsidRDefault="000D4D41" w:rsidP="000D4D41">
      <w:pPr>
        <w:rPr>
          <w:rFonts w:ascii="Arial" w:hAnsi="Arial" w:cs="Arial"/>
        </w:rPr>
      </w:pPr>
      <w:r w:rsidRPr="00691B27">
        <w:rPr>
          <w:rFonts w:ascii="Arial" w:hAnsi="Arial" w:cs="Arial"/>
        </w:rPr>
        <w:drawing>
          <wp:inline distT="0" distB="0" distL="0" distR="0" wp14:anchorId="03C4C5DC" wp14:editId="2EE73ECC">
            <wp:extent cx="5727700" cy="1518285"/>
            <wp:effectExtent l="0" t="0" r="1270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27700" cy="1518285"/>
                    </a:xfrm>
                    <a:prstGeom prst="rect">
                      <a:avLst/>
                    </a:prstGeom>
                  </pic:spPr>
                </pic:pic>
              </a:graphicData>
            </a:graphic>
          </wp:inline>
        </w:drawing>
      </w:r>
    </w:p>
    <w:p w14:paraId="414E14AF" w14:textId="77777777" w:rsidR="00691B27" w:rsidRPr="00691B27" w:rsidRDefault="00691B27" w:rsidP="00691B27">
      <w:pPr>
        <w:rPr>
          <w:rFonts w:ascii="Arial" w:hAnsi="Arial" w:cs="Arial"/>
          <w:sz w:val="13"/>
        </w:rPr>
      </w:pPr>
      <w:r w:rsidRPr="00691B27">
        <w:rPr>
          <w:rFonts w:ascii="Arial" w:hAnsi="Arial" w:cs="Arial"/>
          <w:sz w:val="13"/>
        </w:rPr>
        <w:t xml:space="preserve">from </w:t>
      </w:r>
      <w:hyperlink r:id="rId6" w:history="1">
        <w:r w:rsidRPr="00691B27">
          <w:rPr>
            <w:rStyle w:val="Hyperlink"/>
            <w:rFonts w:ascii="Arial" w:hAnsi="Arial" w:cs="Arial"/>
            <w:sz w:val="13"/>
          </w:rPr>
          <w:t>http://embeddedtechtrends.com/2016/PDF_Presentations/T11-Pentek.pdf</w:t>
        </w:r>
      </w:hyperlink>
    </w:p>
    <w:p w14:paraId="4B810BD6" w14:textId="77777777" w:rsidR="00337E20" w:rsidRDefault="00337E20" w:rsidP="000D4D41">
      <w:pPr>
        <w:rPr>
          <w:rFonts w:ascii="Arial" w:hAnsi="Arial" w:cs="Arial"/>
        </w:rPr>
      </w:pPr>
    </w:p>
    <w:p w14:paraId="6B7C438E" w14:textId="77777777" w:rsidR="00691B27" w:rsidRPr="00691B27" w:rsidRDefault="00691B27" w:rsidP="000D4D41">
      <w:pPr>
        <w:rPr>
          <w:rFonts w:ascii="Arial" w:hAnsi="Arial" w:cs="Arial"/>
        </w:rPr>
      </w:pPr>
    </w:p>
    <w:p w14:paraId="30AFDBD2" w14:textId="77777777" w:rsidR="00337E20" w:rsidRPr="00691B27" w:rsidRDefault="00337E20" w:rsidP="00337E20">
      <w:pPr>
        <w:ind w:left="284" w:hanging="284"/>
        <w:rPr>
          <w:rFonts w:ascii="Arial" w:hAnsi="Arial" w:cs="Arial"/>
          <w:b/>
        </w:rPr>
      </w:pPr>
      <w:r w:rsidRPr="00691B27">
        <w:rPr>
          <w:rFonts w:ascii="Arial" w:hAnsi="Arial" w:cs="Arial"/>
          <w:b/>
        </w:rPr>
        <w:t>Radio functions supported in VITA 49.0</w:t>
      </w:r>
      <w:r w:rsidR="00E81C6F" w:rsidRPr="00691B27">
        <w:rPr>
          <w:rFonts w:ascii="Arial" w:hAnsi="Arial" w:cs="Arial"/>
          <w:b/>
        </w:rPr>
        <w:t xml:space="preserve"> to 49.2</w:t>
      </w:r>
    </w:p>
    <w:p w14:paraId="3388F8F1" w14:textId="77777777" w:rsidR="00691B27" w:rsidRPr="00691B27" w:rsidRDefault="00691B27" w:rsidP="00337E20">
      <w:pPr>
        <w:ind w:left="284" w:hanging="284"/>
        <w:rPr>
          <w:rFonts w:ascii="Arial" w:hAnsi="Arial" w:cs="Arial"/>
          <w:b/>
        </w:rPr>
      </w:pPr>
    </w:p>
    <w:tbl>
      <w:tblPr>
        <w:tblStyle w:val="TableGrid"/>
        <w:tblW w:w="0" w:type="auto"/>
        <w:tblInd w:w="-5" w:type="dxa"/>
        <w:tblLook w:val="04A0" w:firstRow="1" w:lastRow="0" w:firstColumn="1" w:lastColumn="0" w:noHBand="0" w:noVBand="1"/>
      </w:tblPr>
      <w:tblGrid>
        <w:gridCol w:w="3119"/>
        <w:gridCol w:w="2891"/>
        <w:gridCol w:w="3005"/>
      </w:tblGrid>
      <w:tr w:rsidR="00691B27" w:rsidRPr="00691B27" w14:paraId="22AF09A8" w14:textId="77777777" w:rsidTr="00691B27">
        <w:tc>
          <w:tcPr>
            <w:tcW w:w="3119" w:type="dxa"/>
          </w:tcPr>
          <w:p w14:paraId="6590E147" w14:textId="77777777" w:rsidR="00337E20" w:rsidRPr="00691B27" w:rsidRDefault="00337E20" w:rsidP="00337E20">
            <w:pPr>
              <w:rPr>
                <w:rFonts w:ascii="Arial" w:hAnsi="Arial" w:cs="Arial"/>
                <w:b/>
                <w:color w:val="000000" w:themeColor="text1"/>
              </w:rPr>
            </w:pPr>
            <w:r w:rsidRPr="00691B27">
              <w:rPr>
                <w:rFonts w:ascii="Arial" w:hAnsi="Arial" w:cs="Arial"/>
                <w:b/>
                <w:color w:val="000000" w:themeColor="text1"/>
              </w:rPr>
              <w:t>VITA standard</w:t>
            </w:r>
          </w:p>
        </w:tc>
        <w:tc>
          <w:tcPr>
            <w:tcW w:w="2891" w:type="dxa"/>
          </w:tcPr>
          <w:p w14:paraId="021F4068" w14:textId="77777777" w:rsidR="00337E20" w:rsidRPr="00691B27" w:rsidRDefault="00337E20" w:rsidP="00337E20">
            <w:pPr>
              <w:rPr>
                <w:rFonts w:ascii="Arial" w:hAnsi="Arial" w:cs="Arial"/>
                <w:b/>
              </w:rPr>
            </w:pPr>
            <w:r w:rsidRPr="00691B27">
              <w:rPr>
                <w:rFonts w:ascii="Arial" w:hAnsi="Arial" w:cs="Arial"/>
                <w:b/>
              </w:rPr>
              <w:t>SCOS requirement</w:t>
            </w:r>
          </w:p>
        </w:tc>
        <w:tc>
          <w:tcPr>
            <w:tcW w:w="3005" w:type="dxa"/>
          </w:tcPr>
          <w:p w14:paraId="03F68092" w14:textId="77777777" w:rsidR="00337E20" w:rsidRPr="00691B27" w:rsidRDefault="00337E20" w:rsidP="00337E20">
            <w:pPr>
              <w:rPr>
                <w:rFonts w:ascii="Arial" w:hAnsi="Arial" w:cs="Arial"/>
                <w:b/>
              </w:rPr>
            </w:pPr>
            <w:r w:rsidRPr="00691B27">
              <w:rPr>
                <w:rFonts w:ascii="Arial" w:hAnsi="Arial" w:cs="Arial"/>
                <w:b/>
              </w:rPr>
              <w:t>Requirement for standard</w:t>
            </w:r>
          </w:p>
        </w:tc>
      </w:tr>
      <w:tr w:rsidR="00337E20" w:rsidRPr="00691B27" w14:paraId="05CE9F76" w14:textId="77777777" w:rsidTr="00691B27">
        <w:tc>
          <w:tcPr>
            <w:tcW w:w="3119" w:type="dxa"/>
          </w:tcPr>
          <w:p w14:paraId="3012275F" w14:textId="2A3C3D92" w:rsidR="00337E20" w:rsidRPr="00691B27" w:rsidRDefault="00E81C6F" w:rsidP="00337E20">
            <w:pPr>
              <w:rPr>
                <w:rFonts w:ascii="Arial" w:hAnsi="Arial" w:cs="Arial"/>
                <w:color w:val="000000" w:themeColor="text1"/>
              </w:rPr>
            </w:pPr>
            <w:r w:rsidRPr="00691B27">
              <w:rPr>
                <w:rFonts w:ascii="Arial" w:hAnsi="Arial" w:cs="Arial"/>
                <w:color w:val="000000" w:themeColor="text1"/>
              </w:rPr>
              <w:t>S</w:t>
            </w:r>
            <w:r w:rsidR="00337E20" w:rsidRPr="00691B27">
              <w:rPr>
                <w:rFonts w:ascii="Arial" w:hAnsi="Arial" w:cs="Arial"/>
                <w:color w:val="000000" w:themeColor="text1"/>
              </w:rPr>
              <w:t>upport fo</w:t>
            </w:r>
            <w:r w:rsidR="00691B27" w:rsidRPr="00691B27">
              <w:rPr>
                <w:rFonts w:ascii="Arial" w:hAnsi="Arial" w:cs="Arial"/>
                <w:color w:val="000000" w:themeColor="text1"/>
              </w:rPr>
              <w:t>r transmitters or transmit data-</w:t>
            </w:r>
            <w:r w:rsidR="00337E20" w:rsidRPr="00691B27">
              <w:rPr>
                <w:rFonts w:ascii="Arial" w:hAnsi="Arial" w:cs="Arial"/>
                <w:color w:val="000000" w:themeColor="text1"/>
              </w:rPr>
              <w:t xml:space="preserve">only receivers  </w:t>
            </w:r>
          </w:p>
        </w:tc>
        <w:tc>
          <w:tcPr>
            <w:tcW w:w="2891" w:type="dxa"/>
          </w:tcPr>
          <w:p w14:paraId="437D3EB1" w14:textId="77777777" w:rsidR="00337E20" w:rsidRPr="00691B27" w:rsidRDefault="00542A66" w:rsidP="00337E20">
            <w:pPr>
              <w:rPr>
                <w:rFonts w:ascii="Arial" w:hAnsi="Arial" w:cs="Arial"/>
              </w:rPr>
            </w:pPr>
            <w:r w:rsidRPr="00691B27">
              <w:rPr>
                <w:rFonts w:ascii="Arial" w:hAnsi="Arial" w:cs="Arial"/>
              </w:rPr>
              <w:t>No relevant to SCOS</w:t>
            </w:r>
          </w:p>
        </w:tc>
        <w:tc>
          <w:tcPr>
            <w:tcW w:w="3005" w:type="dxa"/>
          </w:tcPr>
          <w:p w14:paraId="36DADFF6" w14:textId="77777777" w:rsidR="00337E20" w:rsidRPr="00691B27" w:rsidRDefault="00542A66" w:rsidP="00542A66">
            <w:pPr>
              <w:rPr>
                <w:rFonts w:ascii="Arial" w:hAnsi="Arial" w:cs="Arial"/>
              </w:rPr>
            </w:pPr>
            <w:r w:rsidRPr="00691B27">
              <w:rPr>
                <w:rFonts w:ascii="Arial" w:hAnsi="Arial" w:cs="Arial"/>
              </w:rPr>
              <w:t>None</w:t>
            </w:r>
          </w:p>
        </w:tc>
      </w:tr>
      <w:tr w:rsidR="00337E20" w:rsidRPr="00691B27" w14:paraId="25D9503D" w14:textId="77777777" w:rsidTr="00691B27">
        <w:tc>
          <w:tcPr>
            <w:tcW w:w="3119" w:type="dxa"/>
          </w:tcPr>
          <w:p w14:paraId="70B518E9" w14:textId="77777777" w:rsidR="00691B27" w:rsidRPr="00691B27" w:rsidRDefault="00E81C6F" w:rsidP="00691B27">
            <w:pPr>
              <w:rPr>
                <w:rFonts w:ascii="Arial" w:hAnsi="Arial" w:cs="Arial"/>
              </w:rPr>
            </w:pPr>
            <w:r w:rsidRPr="00691B27">
              <w:rPr>
                <w:rFonts w:ascii="Arial" w:hAnsi="Arial" w:cs="Arial"/>
              </w:rPr>
              <w:t>C</w:t>
            </w:r>
            <w:r w:rsidR="00337E20" w:rsidRPr="00691B27">
              <w:rPr>
                <w:rFonts w:ascii="Arial" w:hAnsi="Arial" w:cs="Arial"/>
              </w:rPr>
              <w:t>ontrol of radio equipment – tuning, scanning, bandwidth, antenna position, gain, etc</w:t>
            </w:r>
            <w:r w:rsidR="00691B27" w:rsidRPr="00691B27">
              <w:rPr>
                <w:rFonts w:ascii="Arial" w:hAnsi="Arial" w:cs="Arial"/>
              </w:rPr>
              <w:t>.</w:t>
            </w:r>
          </w:p>
          <w:p w14:paraId="2CC6E3CB" w14:textId="77777777" w:rsidR="00691B27" w:rsidRPr="00691B27" w:rsidRDefault="00691B27" w:rsidP="00691B27">
            <w:pPr>
              <w:rPr>
                <w:rFonts w:ascii="Arial" w:hAnsi="Arial" w:cs="Arial"/>
              </w:rPr>
            </w:pPr>
          </w:p>
          <w:p w14:paraId="62C82318" w14:textId="3F2F2B4E" w:rsidR="00337E20" w:rsidRPr="00691B27" w:rsidRDefault="00691B27" w:rsidP="00691B27">
            <w:pPr>
              <w:rPr>
                <w:rFonts w:ascii="Arial" w:hAnsi="Arial" w:cs="Arial"/>
              </w:rPr>
            </w:pPr>
            <w:r w:rsidRPr="00691B27">
              <w:rPr>
                <w:rFonts w:ascii="Arial" w:hAnsi="Arial" w:cs="Arial"/>
              </w:rPr>
              <w:t>P</w:t>
            </w:r>
            <w:r w:rsidR="008A65B6" w:rsidRPr="00691B27">
              <w:rPr>
                <w:rFonts w:ascii="Arial" w:hAnsi="Arial" w:cs="Arial"/>
              </w:rPr>
              <w:t>rovided for in VITA 49.2 Receiver Context Packets</w:t>
            </w:r>
            <w:r w:rsidR="008A65B6" w:rsidRPr="00691B27">
              <w:rPr>
                <w:rFonts w:ascii="Arial" w:hAnsi="Arial" w:cs="Arial"/>
              </w:rPr>
              <w:t xml:space="preserve"> and new Control Packets</w:t>
            </w:r>
          </w:p>
        </w:tc>
        <w:tc>
          <w:tcPr>
            <w:tcW w:w="2891" w:type="dxa"/>
          </w:tcPr>
          <w:p w14:paraId="32F73686" w14:textId="77777777" w:rsidR="00337E20" w:rsidRPr="00691B27" w:rsidRDefault="000E2144" w:rsidP="00337E20">
            <w:pPr>
              <w:rPr>
                <w:rFonts w:ascii="Arial" w:hAnsi="Arial" w:cs="Arial"/>
              </w:rPr>
            </w:pPr>
            <w:r w:rsidRPr="00691B27">
              <w:rPr>
                <w:rFonts w:ascii="Arial" w:hAnsi="Arial" w:cs="Arial"/>
              </w:rPr>
              <w:t>This is a key requirement for SCOS</w:t>
            </w:r>
          </w:p>
        </w:tc>
        <w:tc>
          <w:tcPr>
            <w:tcW w:w="3005" w:type="dxa"/>
          </w:tcPr>
          <w:p w14:paraId="50F36E3F" w14:textId="77777777" w:rsidR="00337E20" w:rsidRPr="00691B27" w:rsidRDefault="00E81C6F" w:rsidP="00E81C6F">
            <w:pPr>
              <w:rPr>
                <w:rFonts w:ascii="Arial" w:hAnsi="Arial" w:cs="Arial"/>
              </w:rPr>
            </w:pPr>
            <w:r w:rsidRPr="00691B27">
              <w:rPr>
                <w:rFonts w:ascii="Arial" w:hAnsi="Arial" w:cs="Arial"/>
              </w:rPr>
              <w:t>To be implemented in SSD controller via SSD-SSMS Control interface</w:t>
            </w:r>
          </w:p>
        </w:tc>
      </w:tr>
      <w:tr w:rsidR="00337E20" w:rsidRPr="00691B27" w14:paraId="300B21EF" w14:textId="77777777" w:rsidTr="00691B27">
        <w:tc>
          <w:tcPr>
            <w:tcW w:w="3119" w:type="dxa"/>
          </w:tcPr>
          <w:p w14:paraId="1A9ABC86" w14:textId="77777777" w:rsidR="00691B27" w:rsidRPr="00691B27" w:rsidRDefault="00E81C6F" w:rsidP="00691B27">
            <w:pPr>
              <w:rPr>
                <w:rFonts w:ascii="Arial" w:hAnsi="Arial" w:cs="Arial"/>
              </w:rPr>
            </w:pPr>
            <w:r w:rsidRPr="00691B27">
              <w:rPr>
                <w:rFonts w:ascii="Arial" w:hAnsi="Arial" w:cs="Arial"/>
              </w:rPr>
              <w:t>I</w:t>
            </w:r>
            <w:r w:rsidR="00337E20" w:rsidRPr="00691B27">
              <w:rPr>
                <w:rFonts w:ascii="Arial" w:hAnsi="Arial" w:cs="Arial"/>
              </w:rPr>
              <w:t xml:space="preserve">nterrogation of radio equipment – operational status, capabilities, system health, </w:t>
            </w:r>
            <w:proofErr w:type="spellStart"/>
            <w:r w:rsidR="00337E20" w:rsidRPr="00691B27">
              <w:rPr>
                <w:rFonts w:ascii="Arial" w:hAnsi="Arial" w:cs="Arial"/>
              </w:rPr>
              <w:t>etc</w:t>
            </w:r>
            <w:proofErr w:type="spellEnd"/>
          </w:p>
          <w:p w14:paraId="393705B8" w14:textId="77777777" w:rsidR="00691B27" w:rsidRPr="00691B27" w:rsidRDefault="00691B27" w:rsidP="00691B27">
            <w:pPr>
              <w:rPr>
                <w:rFonts w:ascii="Arial" w:hAnsi="Arial" w:cs="Arial"/>
              </w:rPr>
            </w:pPr>
          </w:p>
          <w:p w14:paraId="1CE7F679" w14:textId="3E82F717" w:rsidR="00337E20" w:rsidRPr="00691B27" w:rsidRDefault="00691B27" w:rsidP="00691B27">
            <w:pPr>
              <w:rPr>
                <w:rFonts w:ascii="Arial" w:hAnsi="Arial" w:cs="Arial"/>
              </w:rPr>
            </w:pPr>
            <w:r w:rsidRPr="00691B27">
              <w:rPr>
                <w:rFonts w:ascii="Arial" w:hAnsi="Arial" w:cs="Arial"/>
              </w:rPr>
              <w:t>P</w:t>
            </w:r>
            <w:r w:rsidR="00E81C6F" w:rsidRPr="00691B27">
              <w:rPr>
                <w:rFonts w:ascii="Arial" w:hAnsi="Arial" w:cs="Arial"/>
              </w:rPr>
              <w:t xml:space="preserve">rovided for in </w:t>
            </w:r>
            <w:r w:rsidR="008A65B6" w:rsidRPr="00691B27">
              <w:rPr>
                <w:rFonts w:ascii="Arial" w:hAnsi="Arial" w:cs="Arial"/>
              </w:rPr>
              <w:t xml:space="preserve"> </w:t>
            </w:r>
            <w:r w:rsidR="00E81C6F" w:rsidRPr="00691B27">
              <w:rPr>
                <w:rFonts w:ascii="Arial" w:hAnsi="Arial" w:cs="Arial"/>
              </w:rPr>
              <w:t>VITA 49.2 Con</w:t>
            </w:r>
            <w:r w:rsidR="008A65B6" w:rsidRPr="00691B27">
              <w:rPr>
                <w:rFonts w:ascii="Arial" w:hAnsi="Arial" w:cs="Arial"/>
              </w:rPr>
              <w:t>trol</w:t>
            </w:r>
            <w:r w:rsidR="00E81C6F" w:rsidRPr="00691B27">
              <w:rPr>
                <w:rFonts w:ascii="Arial" w:hAnsi="Arial" w:cs="Arial"/>
              </w:rPr>
              <w:t xml:space="preserve"> Packets</w:t>
            </w:r>
          </w:p>
        </w:tc>
        <w:tc>
          <w:tcPr>
            <w:tcW w:w="2891" w:type="dxa"/>
          </w:tcPr>
          <w:p w14:paraId="09E75049" w14:textId="77777777" w:rsidR="00337E20" w:rsidRPr="00691B27" w:rsidRDefault="00E81C6F" w:rsidP="00E81C6F">
            <w:pPr>
              <w:rPr>
                <w:rFonts w:ascii="Arial" w:hAnsi="Arial" w:cs="Arial"/>
              </w:rPr>
            </w:pPr>
            <w:r w:rsidRPr="00691B27">
              <w:rPr>
                <w:rFonts w:ascii="Arial" w:hAnsi="Arial" w:cs="Arial"/>
              </w:rPr>
              <w:t>This is highly desirable for a flexible “SCOS platform” approach</w:t>
            </w:r>
          </w:p>
        </w:tc>
        <w:tc>
          <w:tcPr>
            <w:tcW w:w="3005" w:type="dxa"/>
          </w:tcPr>
          <w:p w14:paraId="09FFA936" w14:textId="77777777" w:rsidR="00337E20" w:rsidRPr="00691B27" w:rsidRDefault="00E81C6F" w:rsidP="00E81C6F">
            <w:pPr>
              <w:rPr>
                <w:rFonts w:ascii="Arial" w:hAnsi="Arial" w:cs="Arial"/>
              </w:rPr>
            </w:pPr>
            <w:r w:rsidRPr="00691B27">
              <w:rPr>
                <w:rFonts w:ascii="Arial" w:hAnsi="Arial" w:cs="Arial"/>
              </w:rPr>
              <w:t>To be implemented SSD-SSMS Control interface</w:t>
            </w:r>
            <w:r w:rsidRPr="00691B27">
              <w:rPr>
                <w:rFonts w:ascii="Arial" w:hAnsi="Arial" w:cs="Arial"/>
              </w:rPr>
              <w:t xml:space="preserve"> querying SSD controller</w:t>
            </w:r>
          </w:p>
        </w:tc>
      </w:tr>
      <w:tr w:rsidR="00337E20" w:rsidRPr="00691B27" w14:paraId="63D9B5E7" w14:textId="77777777" w:rsidTr="00691B27">
        <w:tc>
          <w:tcPr>
            <w:tcW w:w="3119" w:type="dxa"/>
          </w:tcPr>
          <w:p w14:paraId="362192D6" w14:textId="77777777" w:rsidR="00337E20" w:rsidRPr="00691B27" w:rsidRDefault="00E81C6F" w:rsidP="00337E20">
            <w:pPr>
              <w:rPr>
                <w:rFonts w:ascii="Arial" w:hAnsi="Arial" w:cs="Arial"/>
              </w:rPr>
            </w:pPr>
            <w:r w:rsidRPr="00691B27">
              <w:rPr>
                <w:rFonts w:ascii="Arial" w:hAnsi="Arial" w:cs="Arial"/>
              </w:rPr>
              <w:t>S</w:t>
            </w:r>
            <w:r w:rsidR="00337E20" w:rsidRPr="00691B27">
              <w:rPr>
                <w:rFonts w:ascii="Arial" w:hAnsi="Arial" w:cs="Arial"/>
              </w:rPr>
              <w:t>upport for sending s</w:t>
            </w:r>
            <w:r w:rsidR="00337E20" w:rsidRPr="00691B27">
              <w:rPr>
                <w:rFonts w:ascii="Arial" w:hAnsi="Arial" w:cs="Arial"/>
              </w:rPr>
              <w:t>pectral data – only time samples</w:t>
            </w:r>
            <w:r w:rsidRPr="00691B27">
              <w:rPr>
                <w:rFonts w:ascii="Arial" w:hAnsi="Arial" w:cs="Arial"/>
              </w:rPr>
              <w:t>.</w:t>
            </w:r>
          </w:p>
          <w:p w14:paraId="410ADA62" w14:textId="77777777" w:rsidR="00E81C6F" w:rsidRPr="00691B27" w:rsidRDefault="00E81C6F" w:rsidP="00337E20">
            <w:pPr>
              <w:rPr>
                <w:rFonts w:ascii="Arial" w:hAnsi="Arial" w:cs="Arial"/>
              </w:rPr>
            </w:pPr>
            <w:r w:rsidRPr="00691B27">
              <w:rPr>
                <w:rFonts w:ascii="Arial" w:hAnsi="Arial" w:cs="Arial"/>
              </w:rPr>
              <w:t xml:space="preserve"> (addressed in VITA-49.2 “Signal Data Packets”)</w:t>
            </w:r>
          </w:p>
        </w:tc>
        <w:tc>
          <w:tcPr>
            <w:tcW w:w="2891" w:type="dxa"/>
          </w:tcPr>
          <w:p w14:paraId="5868B5BF" w14:textId="77777777" w:rsidR="00337E20" w:rsidRPr="00691B27" w:rsidRDefault="00E81C6F" w:rsidP="00337E20">
            <w:pPr>
              <w:rPr>
                <w:rFonts w:ascii="Arial" w:hAnsi="Arial" w:cs="Arial"/>
              </w:rPr>
            </w:pPr>
            <w:r w:rsidRPr="00691B27">
              <w:rPr>
                <w:rFonts w:ascii="Arial" w:hAnsi="Arial" w:cs="Arial"/>
              </w:rPr>
              <w:t>Raw spectrum data is useful in a number of use cases</w:t>
            </w:r>
          </w:p>
        </w:tc>
        <w:tc>
          <w:tcPr>
            <w:tcW w:w="3005" w:type="dxa"/>
          </w:tcPr>
          <w:p w14:paraId="4411398D" w14:textId="77777777" w:rsidR="00337E20" w:rsidRPr="00691B27" w:rsidRDefault="00E81C6F" w:rsidP="00E81C6F">
            <w:pPr>
              <w:rPr>
                <w:rFonts w:ascii="Arial" w:hAnsi="Arial" w:cs="Arial"/>
              </w:rPr>
            </w:pPr>
            <w:r w:rsidRPr="00691B27">
              <w:rPr>
                <w:rFonts w:ascii="Arial" w:hAnsi="Arial" w:cs="Arial"/>
              </w:rPr>
              <w:t>To be implemented in SSMS to request SCOS raw spectrum scans.</w:t>
            </w:r>
          </w:p>
        </w:tc>
      </w:tr>
    </w:tbl>
    <w:p w14:paraId="75381684" w14:textId="77777777" w:rsidR="00337E20" w:rsidRPr="00691B27" w:rsidRDefault="00337E20" w:rsidP="00337E20">
      <w:pPr>
        <w:ind w:left="284" w:hanging="284"/>
        <w:rPr>
          <w:rFonts w:ascii="Arial" w:hAnsi="Arial" w:cs="Arial"/>
        </w:rPr>
      </w:pPr>
    </w:p>
    <w:p w14:paraId="4A07A6FA" w14:textId="4A0EAC46" w:rsidR="0016593D" w:rsidRPr="003E61F5" w:rsidRDefault="0016593D" w:rsidP="0016593D">
      <w:pPr>
        <w:rPr>
          <w:rFonts w:ascii="Arial" w:hAnsi="Arial" w:cs="Arial"/>
          <w:b/>
          <w:sz w:val="28"/>
        </w:rPr>
      </w:pPr>
      <w:r w:rsidRPr="003E61F5">
        <w:rPr>
          <w:rFonts w:ascii="Arial" w:hAnsi="Arial" w:cs="Arial"/>
          <w:b/>
          <w:sz w:val="28"/>
        </w:rPr>
        <w:t xml:space="preserve">Some key elements relevant to 802.22.3 SCOS </w:t>
      </w:r>
    </w:p>
    <w:p w14:paraId="37A2BFC7" w14:textId="77777777" w:rsidR="0016593D" w:rsidRPr="00691B27" w:rsidRDefault="0016593D" w:rsidP="0016593D">
      <w:pPr>
        <w:rPr>
          <w:rFonts w:ascii="Arial" w:hAnsi="Arial" w:cs="Arial"/>
        </w:rPr>
      </w:pPr>
      <w:r w:rsidRPr="00691B27">
        <w:rPr>
          <w:rFonts w:ascii="Arial" w:hAnsi="Arial" w:cs="Arial"/>
        </w:rPr>
        <w:t xml:space="preserve">(from </w:t>
      </w:r>
      <w:r w:rsidRPr="00691B27">
        <w:rPr>
          <w:rFonts w:ascii="Arial" w:eastAsia="Times New Roman" w:hAnsi="Arial" w:cs="Arial"/>
          <w:lang w:val="en-US"/>
        </w:rPr>
        <w:t>VITA-49.0-2007/D0.21</w:t>
      </w:r>
      <w:r w:rsidRPr="00691B27">
        <w:rPr>
          <w:rFonts w:ascii="Arial" w:hAnsi="Arial" w:cs="Arial"/>
        </w:rPr>
        <w:t>)</w:t>
      </w:r>
    </w:p>
    <w:p w14:paraId="1BF88C05" w14:textId="13FEEF37" w:rsidR="00B44EDF" w:rsidRPr="003E61F5" w:rsidRDefault="0016593D" w:rsidP="0016593D">
      <w:pPr>
        <w:rPr>
          <w:rFonts w:ascii="Arial" w:eastAsia="Times New Roman" w:hAnsi="Arial" w:cs="Arial"/>
          <w:lang w:val="en-US"/>
        </w:rPr>
      </w:pPr>
      <w:r w:rsidRPr="00691B27">
        <w:rPr>
          <w:rFonts w:ascii="Arial" w:hAnsi="Arial" w:cs="Arial"/>
        </w:rPr>
        <w:t xml:space="preserve"> </w:t>
      </w:r>
    </w:p>
    <w:p w14:paraId="4E495162" w14:textId="77777777" w:rsidR="00691B27" w:rsidRDefault="00691B27" w:rsidP="0016593D">
      <w:pPr>
        <w:rPr>
          <w:rFonts w:ascii="Arial" w:hAnsi="Arial" w:cs="Arial"/>
          <w:b/>
        </w:rPr>
      </w:pPr>
      <w:r>
        <w:rPr>
          <w:rFonts w:ascii="Arial" w:hAnsi="Arial" w:cs="Arial"/>
          <w:b/>
        </w:rPr>
        <w:t>VRT Streams</w:t>
      </w:r>
    </w:p>
    <w:p w14:paraId="24AB46DD" w14:textId="51E2AAB9" w:rsidR="00691B27" w:rsidRPr="00691B27" w:rsidRDefault="00691B27" w:rsidP="0016593D">
      <w:pPr>
        <w:rPr>
          <w:rFonts w:ascii="Arial" w:hAnsi="Arial" w:cs="Arial"/>
        </w:rPr>
      </w:pPr>
      <w:r w:rsidRPr="00691B27">
        <w:rPr>
          <w:rFonts w:ascii="Arial" w:hAnsi="Arial" w:cs="Arial"/>
        </w:rPr>
        <w:t xml:space="preserve">These are split onto Data Packets and </w:t>
      </w:r>
      <w:r w:rsidR="00B44EDF" w:rsidRPr="00691B27">
        <w:rPr>
          <w:rFonts w:ascii="Arial" w:hAnsi="Arial" w:cs="Arial"/>
        </w:rPr>
        <w:t>Context Packet</w:t>
      </w:r>
      <w:r w:rsidRPr="00691B27">
        <w:rPr>
          <w:rFonts w:ascii="Arial" w:hAnsi="Arial" w:cs="Arial"/>
        </w:rPr>
        <w:t>s (which would now include Control Packets in 49.2). Packets are placed into streams, and Data and Context streams are paired using pair identifiers.</w:t>
      </w:r>
    </w:p>
    <w:p w14:paraId="29204A6C" w14:textId="59CA42D5" w:rsidR="00B44EDF" w:rsidRPr="00691B27" w:rsidRDefault="00B44EDF" w:rsidP="0016593D">
      <w:pPr>
        <w:rPr>
          <w:rFonts w:ascii="Arial" w:hAnsi="Arial" w:cs="Arial"/>
          <w:b/>
        </w:rPr>
      </w:pPr>
      <w:r w:rsidRPr="00691B27">
        <w:rPr>
          <w:rFonts w:ascii="Arial" w:hAnsi="Arial" w:cs="Arial"/>
          <w:b/>
        </w:rPr>
        <w:t xml:space="preserve"> </w:t>
      </w:r>
    </w:p>
    <w:p w14:paraId="2085C049" w14:textId="03009A8A" w:rsidR="00287DFD" w:rsidRPr="00287DFD" w:rsidRDefault="00287DFD" w:rsidP="00287DFD">
      <w:pPr>
        <w:rPr>
          <w:rFonts w:ascii="Arial" w:eastAsia="Times New Roman" w:hAnsi="Arial" w:cs="Arial"/>
          <w:lang w:val="en-US"/>
        </w:rPr>
      </w:pPr>
      <w:r w:rsidRPr="00691B27">
        <w:rPr>
          <w:rFonts w:ascii="Arial" w:eastAsia="Times New Roman" w:hAnsi="Arial" w:cs="Arial"/>
          <w:lang w:val="en-US"/>
        </w:rPr>
        <w:t>“</w:t>
      </w:r>
      <w:r w:rsidRPr="00287DFD">
        <w:rPr>
          <w:rFonts w:ascii="Arial" w:eastAsia="Times New Roman" w:hAnsi="Arial" w:cs="Arial"/>
          <w:lang w:val="en-US"/>
        </w:rPr>
        <w:t>A Context Packet Stream shall be paired with at most one Data Packet Stream. This pairing shall be indicated on the link by the sharing of a Stream ID between the Data Packet Stream and the paired Context Packet Stream.</w:t>
      </w:r>
      <w:r w:rsidRPr="00691B27">
        <w:rPr>
          <w:rFonts w:ascii="Arial" w:eastAsia="Times New Roman" w:hAnsi="Arial" w:cs="Arial"/>
          <w:lang w:val="en-US"/>
        </w:rPr>
        <w:t>”</w:t>
      </w:r>
    </w:p>
    <w:p w14:paraId="50A763D3" w14:textId="77777777" w:rsidR="00B44EDF" w:rsidRDefault="00B44EDF" w:rsidP="0016593D">
      <w:pPr>
        <w:rPr>
          <w:rFonts w:ascii="Arial" w:hAnsi="Arial" w:cs="Arial"/>
        </w:rPr>
      </w:pPr>
    </w:p>
    <w:p w14:paraId="7FBC5006" w14:textId="1BB33A5F" w:rsidR="00691B27" w:rsidRPr="00691B27" w:rsidRDefault="00691B27" w:rsidP="0016593D">
      <w:pPr>
        <w:rPr>
          <w:rFonts w:ascii="Arial" w:hAnsi="Arial" w:cs="Arial"/>
        </w:rPr>
      </w:pPr>
      <w:r>
        <w:rPr>
          <w:rFonts w:ascii="Arial" w:hAnsi="Arial" w:cs="Arial"/>
        </w:rPr>
        <w:t>Note: for 802.22.3 SCOS, “streams” may not be appropriate as the SCOS requirement is not necessarily for a synchronous sensing capability, or for real-time streaming of sensing data.  However, it may be advantageous to implement this kind of design (even if the streams are “virtual” inside the Spectrum Sensing Device (SSD) which gathers a sequence into a package of sensing data which is then transmitted over the SSD-SSMS Ingest interface.</w:t>
      </w:r>
    </w:p>
    <w:p w14:paraId="40AD7DE1" w14:textId="77777777" w:rsidR="00B44EDF" w:rsidRPr="00691B27" w:rsidRDefault="00B44EDF" w:rsidP="0016593D">
      <w:pPr>
        <w:rPr>
          <w:rFonts w:ascii="Arial" w:hAnsi="Arial" w:cs="Arial"/>
        </w:rPr>
      </w:pPr>
    </w:p>
    <w:p w14:paraId="56D3EA53" w14:textId="38837485" w:rsidR="00B44EDF" w:rsidRPr="003E61F5" w:rsidRDefault="00B44EDF" w:rsidP="0016593D">
      <w:pPr>
        <w:rPr>
          <w:rFonts w:ascii="Arial" w:hAnsi="Arial" w:cs="Arial"/>
          <w:b/>
        </w:rPr>
      </w:pPr>
      <w:r w:rsidRPr="003E61F5">
        <w:rPr>
          <w:rFonts w:ascii="Arial" w:hAnsi="Arial" w:cs="Arial"/>
          <w:b/>
        </w:rPr>
        <w:t>Context Fields</w:t>
      </w:r>
    </w:p>
    <w:p w14:paraId="1BA588F2" w14:textId="77777777" w:rsidR="00B44EDF" w:rsidRPr="00691B27" w:rsidRDefault="00B44EDF" w:rsidP="0016593D">
      <w:pPr>
        <w:rPr>
          <w:rFonts w:ascii="Arial" w:hAnsi="Arial" w:cs="Arial"/>
        </w:rPr>
      </w:pPr>
    </w:p>
    <w:p w14:paraId="2619EC88" w14:textId="2F5286A5" w:rsidR="00B44EDF" w:rsidRPr="00691B27" w:rsidRDefault="00B44EDF" w:rsidP="0016593D">
      <w:pPr>
        <w:rPr>
          <w:rFonts w:ascii="Arial" w:hAnsi="Arial" w:cs="Arial"/>
        </w:rPr>
      </w:pPr>
      <w:r w:rsidRPr="00691B27">
        <w:rPr>
          <w:rFonts w:ascii="Arial" w:hAnsi="Arial" w:cs="Arial"/>
        </w:rPr>
        <w:drawing>
          <wp:inline distT="0" distB="0" distL="0" distR="0" wp14:anchorId="0C044289" wp14:editId="42798F4B">
            <wp:extent cx="4509135" cy="3652299"/>
            <wp:effectExtent l="0" t="0" r="1206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12860" cy="3655316"/>
                    </a:xfrm>
                    <a:prstGeom prst="rect">
                      <a:avLst/>
                    </a:prstGeom>
                  </pic:spPr>
                </pic:pic>
              </a:graphicData>
            </a:graphic>
          </wp:inline>
        </w:drawing>
      </w:r>
    </w:p>
    <w:p w14:paraId="24D9C7B6" w14:textId="77777777" w:rsidR="003E61F5" w:rsidRDefault="003E61F5" w:rsidP="0016593D">
      <w:pPr>
        <w:rPr>
          <w:rFonts w:ascii="Arial" w:eastAsia="Times New Roman" w:hAnsi="Arial" w:cs="Arial"/>
          <w:lang w:val="en-US"/>
        </w:rPr>
      </w:pPr>
    </w:p>
    <w:p w14:paraId="1D9A5EA1" w14:textId="49472A54" w:rsidR="003E61F5" w:rsidRDefault="00B5207B" w:rsidP="0016593D">
      <w:pPr>
        <w:rPr>
          <w:rFonts w:ascii="Arial" w:eastAsia="Times New Roman" w:hAnsi="Arial" w:cs="Arial"/>
          <w:lang w:val="en-US"/>
        </w:rPr>
      </w:pPr>
      <w:r w:rsidRPr="00B5207B">
        <w:rPr>
          <w:rFonts w:ascii="Arial" w:eastAsia="Times New Roman" w:hAnsi="Arial" w:cs="Arial"/>
          <w:u w:val="single"/>
          <w:lang w:val="en-US"/>
        </w:rPr>
        <w:t>Context Field Change Indicator</w:t>
      </w:r>
      <w:r w:rsidRPr="003E61F5">
        <w:rPr>
          <w:rFonts w:ascii="Arial" w:eastAsia="Times New Roman" w:hAnsi="Arial" w:cs="Arial"/>
          <w:u w:val="single"/>
          <w:lang w:val="en-US"/>
        </w:rPr>
        <w:t>:</w:t>
      </w:r>
      <w:r w:rsidRPr="00691B27">
        <w:rPr>
          <w:rFonts w:ascii="Arial" w:eastAsia="Times New Roman" w:hAnsi="Arial" w:cs="Arial"/>
          <w:lang w:val="en-US"/>
        </w:rPr>
        <w:t xml:space="preserve"> </w:t>
      </w:r>
      <w:r w:rsidRPr="00B5207B">
        <w:rPr>
          <w:rFonts w:ascii="Arial" w:eastAsia="Times New Roman" w:hAnsi="Arial" w:cs="Arial"/>
          <w:lang w:val="en-US"/>
        </w:rPr>
        <w:t>In many systems it is desirable to periodically send Context information updates even when the Contex</w:t>
      </w:r>
      <w:r w:rsidR="003E61F5">
        <w:rPr>
          <w:rFonts w:ascii="Arial" w:eastAsia="Times New Roman" w:hAnsi="Arial" w:cs="Arial"/>
          <w:lang w:val="en-US"/>
        </w:rPr>
        <w:t xml:space="preserve">t information has not changed. </w:t>
      </w:r>
    </w:p>
    <w:p w14:paraId="4C7B097C" w14:textId="51CF65DC" w:rsidR="00B44EDF" w:rsidRPr="00691B27" w:rsidRDefault="00B5207B" w:rsidP="0016593D">
      <w:pPr>
        <w:rPr>
          <w:rFonts w:ascii="Arial" w:eastAsia="Times New Roman" w:hAnsi="Arial" w:cs="Arial"/>
          <w:lang w:val="en-US"/>
        </w:rPr>
      </w:pPr>
      <w:r w:rsidRPr="00B5207B">
        <w:rPr>
          <w:rFonts w:ascii="Arial" w:eastAsia="Times New Roman" w:hAnsi="Arial" w:cs="Arial"/>
          <w:u w:val="single"/>
          <w:lang w:val="en-US"/>
        </w:rPr>
        <w:t>Reference Point Identifier</w:t>
      </w:r>
      <w:r w:rsidRPr="003E61F5">
        <w:rPr>
          <w:rFonts w:ascii="Arial" w:eastAsia="Times New Roman" w:hAnsi="Arial" w:cs="Arial"/>
          <w:u w:val="single"/>
          <w:lang w:val="en-US"/>
        </w:rPr>
        <w:t>:</w:t>
      </w:r>
      <w:r w:rsidRPr="00691B27">
        <w:rPr>
          <w:rFonts w:ascii="Arial" w:eastAsia="Times New Roman" w:hAnsi="Arial" w:cs="Arial"/>
          <w:lang w:val="en-US"/>
        </w:rPr>
        <w:t xml:space="preserve"> I</w:t>
      </w:r>
      <w:r w:rsidRPr="00B5207B">
        <w:rPr>
          <w:rFonts w:ascii="Arial" w:eastAsia="Times New Roman" w:hAnsi="Arial" w:cs="Arial"/>
          <w:lang w:val="en-US"/>
        </w:rPr>
        <w:t>ndicate</w:t>
      </w:r>
      <w:r w:rsidRPr="00691B27">
        <w:rPr>
          <w:rFonts w:ascii="Arial" w:eastAsia="Times New Roman" w:hAnsi="Arial" w:cs="Arial"/>
          <w:lang w:val="en-US"/>
        </w:rPr>
        <w:t>s</w:t>
      </w:r>
      <w:r w:rsidRPr="00B5207B">
        <w:rPr>
          <w:rFonts w:ascii="Arial" w:eastAsia="Times New Roman" w:hAnsi="Arial" w:cs="Arial"/>
          <w:lang w:val="en-US"/>
        </w:rPr>
        <w:t xml:space="preserve"> the point in the system where the Context applies. </w:t>
      </w:r>
    </w:p>
    <w:p w14:paraId="5D80D85F" w14:textId="4A2FBFB1" w:rsidR="00B5207B" w:rsidRPr="00B5207B" w:rsidRDefault="00B5207B" w:rsidP="00B5207B">
      <w:pPr>
        <w:rPr>
          <w:rFonts w:ascii="Arial" w:eastAsia="Times New Roman" w:hAnsi="Arial" w:cs="Arial"/>
          <w:lang w:val="en-US"/>
        </w:rPr>
      </w:pPr>
      <w:r w:rsidRPr="00B5207B">
        <w:rPr>
          <w:rFonts w:ascii="Arial" w:eastAsia="Times New Roman" w:hAnsi="Arial" w:cs="Arial"/>
          <w:u w:val="single"/>
          <w:lang w:val="en-US"/>
        </w:rPr>
        <w:t>Bandwidth Field</w:t>
      </w:r>
      <w:r w:rsidRPr="003E61F5">
        <w:rPr>
          <w:rFonts w:ascii="Arial" w:eastAsia="Times New Roman" w:hAnsi="Arial" w:cs="Arial"/>
          <w:u w:val="single"/>
          <w:lang w:val="en-US"/>
        </w:rPr>
        <w:t>:</w:t>
      </w:r>
      <w:r w:rsidRPr="00691B27">
        <w:rPr>
          <w:rFonts w:ascii="Arial" w:eastAsia="Times New Roman" w:hAnsi="Arial" w:cs="Arial"/>
          <w:lang w:val="en-US"/>
        </w:rPr>
        <w:t xml:space="preserve"> Describes</w:t>
      </w:r>
      <w:r w:rsidRPr="00B5207B">
        <w:rPr>
          <w:rFonts w:ascii="Arial" w:eastAsia="Times New Roman" w:hAnsi="Arial" w:cs="Arial"/>
          <w:lang w:val="en-US"/>
        </w:rPr>
        <w:t xml:space="preserve"> the amount of usable spectrum at the output of a process. </w:t>
      </w:r>
    </w:p>
    <w:p w14:paraId="510F7CEC" w14:textId="5A0EE680" w:rsidR="00B5207B" w:rsidRPr="00B5207B" w:rsidRDefault="00B5207B" w:rsidP="00B5207B">
      <w:pPr>
        <w:rPr>
          <w:rFonts w:ascii="Arial" w:eastAsia="Times New Roman" w:hAnsi="Arial" w:cs="Arial"/>
          <w:lang w:val="en-US"/>
        </w:rPr>
      </w:pPr>
      <w:r w:rsidRPr="00B5207B">
        <w:rPr>
          <w:rFonts w:ascii="Arial" w:eastAsia="Times New Roman" w:hAnsi="Arial" w:cs="Arial"/>
          <w:u w:val="single"/>
          <w:lang w:val="en-US"/>
        </w:rPr>
        <w:t>IF Reference Frequency Field</w:t>
      </w:r>
      <w:r w:rsidRPr="003E61F5">
        <w:rPr>
          <w:rFonts w:ascii="Arial" w:eastAsia="Times New Roman" w:hAnsi="Arial" w:cs="Arial"/>
          <w:u w:val="single"/>
          <w:lang w:val="en-US"/>
        </w:rPr>
        <w:t>:</w:t>
      </w:r>
      <w:r w:rsidRPr="00B5207B">
        <w:rPr>
          <w:rFonts w:ascii="Arial" w:eastAsia="Times New Roman" w:hAnsi="Arial" w:cs="Arial"/>
          <w:lang w:val="en-US"/>
        </w:rPr>
        <w:t xml:space="preserve"> </w:t>
      </w:r>
      <w:r w:rsidRPr="00691B27">
        <w:rPr>
          <w:rFonts w:ascii="Arial" w:eastAsia="Times New Roman" w:hAnsi="Arial" w:cs="Arial"/>
          <w:lang w:val="en-US"/>
        </w:rPr>
        <w:t>1.</w:t>
      </w:r>
      <w:r w:rsidRPr="00B5207B">
        <w:rPr>
          <w:rFonts w:ascii="Arial" w:eastAsia="Times New Roman" w:hAnsi="Arial" w:cs="Arial"/>
          <w:lang w:val="en-US"/>
        </w:rPr>
        <w:t xml:space="preserve"> </w:t>
      </w:r>
      <w:r w:rsidRPr="00691B27">
        <w:rPr>
          <w:rFonts w:ascii="Arial" w:eastAsia="Times New Roman" w:hAnsi="Arial" w:cs="Arial"/>
          <w:lang w:val="en-US"/>
        </w:rPr>
        <w:t>W</w:t>
      </w:r>
      <w:r w:rsidRPr="00B5207B">
        <w:rPr>
          <w:rFonts w:ascii="Arial" w:eastAsia="Times New Roman" w:hAnsi="Arial" w:cs="Arial"/>
          <w:lang w:val="en-US"/>
        </w:rPr>
        <w:t>ork in conjunction with the RF Reference Frequency field to identify the original RF frequency band from whic</w:t>
      </w:r>
      <w:r w:rsidRPr="00691B27">
        <w:rPr>
          <w:rFonts w:ascii="Arial" w:eastAsia="Times New Roman" w:hAnsi="Arial" w:cs="Arial"/>
          <w:lang w:val="en-US"/>
        </w:rPr>
        <w:t>h a digital or analog IF signal</w:t>
      </w:r>
      <w:r w:rsidRPr="00B5207B">
        <w:rPr>
          <w:rFonts w:ascii="Arial" w:eastAsia="Times New Roman" w:hAnsi="Arial" w:cs="Arial"/>
          <w:lang w:val="en-US"/>
        </w:rPr>
        <w:t xml:space="preserve"> has been translated. </w:t>
      </w:r>
      <w:r w:rsidRPr="00691B27">
        <w:rPr>
          <w:rFonts w:ascii="Arial" w:eastAsia="Times New Roman" w:hAnsi="Arial" w:cs="Arial"/>
          <w:lang w:val="en-US"/>
        </w:rPr>
        <w:t>2. I</w:t>
      </w:r>
      <w:r w:rsidRPr="00B5207B">
        <w:rPr>
          <w:rFonts w:ascii="Arial" w:eastAsia="Times New Roman" w:hAnsi="Arial" w:cs="Arial"/>
          <w:lang w:val="en-US"/>
        </w:rPr>
        <w:t xml:space="preserve">dentify the center of the band described by the Bandwidth field. The value in this field may be equal to the band center, or in some cases it may work in conjunction with the IF Band Offset field to indicate the band center. </w:t>
      </w:r>
    </w:p>
    <w:p w14:paraId="6D1F2FC1" w14:textId="6077FDAA" w:rsidR="00B5207B" w:rsidRPr="00691B27" w:rsidRDefault="00B5207B" w:rsidP="00B5207B">
      <w:pPr>
        <w:rPr>
          <w:rFonts w:ascii="Arial" w:eastAsia="Times New Roman" w:hAnsi="Arial" w:cs="Arial"/>
          <w:lang w:val="en-US"/>
        </w:rPr>
      </w:pPr>
      <w:r w:rsidRPr="00B5207B">
        <w:rPr>
          <w:rFonts w:ascii="Arial" w:eastAsia="Times New Roman" w:hAnsi="Arial" w:cs="Arial"/>
          <w:u w:val="single"/>
          <w:lang w:val="en-US"/>
        </w:rPr>
        <w:t>RF Reference Frequency Field</w:t>
      </w:r>
      <w:r w:rsidRPr="003E61F5">
        <w:rPr>
          <w:rFonts w:ascii="Arial" w:eastAsia="Times New Roman" w:hAnsi="Arial" w:cs="Arial"/>
          <w:u w:val="single"/>
          <w:lang w:val="en-US"/>
        </w:rPr>
        <w:t>:</w:t>
      </w:r>
      <w:r w:rsidRPr="00B5207B">
        <w:rPr>
          <w:rFonts w:ascii="Arial" w:eastAsia="Times New Roman" w:hAnsi="Arial" w:cs="Arial"/>
          <w:lang w:val="en-US"/>
        </w:rPr>
        <w:t xml:space="preserve"> </w:t>
      </w:r>
      <w:r w:rsidRPr="00691B27">
        <w:rPr>
          <w:rFonts w:ascii="Arial" w:eastAsia="Times New Roman" w:hAnsi="Arial" w:cs="Arial"/>
          <w:lang w:val="en-US"/>
        </w:rPr>
        <w:t xml:space="preserve">The original frequency that was ultimately translated to the IF Reference Frequency is specified with the RF Reference Frequency field. </w:t>
      </w:r>
    </w:p>
    <w:p w14:paraId="581117D1" w14:textId="77777777" w:rsidR="002B0A05" w:rsidRPr="00691B27" w:rsidRDefault="002B0A05" w:rsidP="002B0A05">
      <w:pPr>
        <w:rPr>
          <w:rFonts w:ascii="Arial" w:eastAsia="Times New Roman" w:hAnsi="Arial" w:cs="Arial"/>
          <w:lang w:val="en-US"/>
        </w:rPr>
      </w:pPr>
      <w:r w:rsidRPr="002B0A05">
        <w:rPr>
          <w:rFonts w:ascii="Arial" w:eastAsia="Times New Roman" w:hAnsi="Arial" w:cs="Arial"/>
          <w:lang w:val="en-US"/>
        </w:rPr>
        <w:t>RF Reference Frequency Offset Field</w:t>
      </w:r>
      <w:r w:rsidRPr="00691B27">
        <w:rPr>
          <w:rFonts w:ascii="Arial" w:eastAsia="Times New Roman" w:hAnsi="Arial" w:cs="Arial"/>
          <w:lang w:val="en-US"/>
        </w:rPr>
        <w:t>:</w:t>
      </w:r>
      <w:r w:rsidRPr="002B0A05">
        <w:rPr>
          <w:rFonts w:ascii="Arial" w:eastAsia="Times New Roman" w:hAnsi="Arial" w:cs="Arial"/>
          <w:lang w:val="en-US"/>
        </w:rPr>
        <w:t xml:space="preserve"> </w:t>
      </w:r>
      <w:r w:rsidRPr="00691B27">
        <w:rPr>
          <w:rFonts w:ascii="Arial" w:eastAsia="Times New Roman" w:hAnsi="Arial" w:cs="Arial"/>
          <w:lang w:val="en-US"/>
        </w:rPr>
        <w:t xml:space="preserve">provides a method to send an update in only a single Context packet when the tuner frequency changes, avoiding potential link congestion. </w:t>
      </w:r>
    </w:p>
    <w:p w14:paraId="700207C3" w14:textId="64AF6D92" w:rsidR="002B0A05" w:rsidRPr="00691B27" w:rsidRDefault="002B0A05" w:rsidP="002B0A05">
      <w:pPr>
        <w:rPr>
          <w:rFonts w:ascii="Arial" w:eastAsia="Times New Roman" w:hAnsi="Arial" w:cs="Arial"/>
          <w:lang w:val="en-US"/>
        </w:rPr>
      </w:pPr>
      <w:r w:rsidRPr="002B0A05">
        <w:rPr>
          <w:rFonts w:ascii="Arial" w:eastAsia="Times New Roman" w:hAnsi="Arial" w:cs="Arial"/>
          <w:u w:val="single"/>
          <w:lang w:val="en-US"/>
        </w:rPr>
        <w:t>IF Band Offset Field</w:t>
      </w:r>
      <w:r w:rsidRPr="003E61F5">
        <w:rPr>
          <w:rFonts w:ascii="Arial" w:eastAsia="Times New Roman" w:hAnsi="Arial" w:cs="Arial"/>
          <w:u w:val="single"/>
          <w:lang w:val="en-US"/>
        </w:rPr>
        <w:t>:</w:t>
      </w:r>
      <w:r w:rsidRPr="00691B27">
        <w:rPr>
          <w:rFonts w:ascii="Arial" w:eastAsia="Times New Roman" w:hAnsi="Arial" w:cs="Arial"/>
          <w:lang w:val="en-US"/>
        </w:rPr>
        <w:t xml:space="preserve"> Used to specify the frequency offset from the IF Reference Frequency to the center of the band.</w:t>
      </w:r>
    </w:p>
    <w:p w14:paraId="56E2A793" w14:textId="3E736C99" w:rsidR="002B0A05" w:rsidRPr="00691B27" w:rsidRDefault="002B0A05" w:rsidP="002B0A05">
      <w:pPr>
        <w:rPr>
          <w:rFonts w:ascii="Arial" w:eastAsia="Times New Roman" w:hAnsi="Arial" w:cs="Arial"/>
          <w:lang w:val="en-US"/>
        </w:rPr>
      </w:pPr>
      <w:r w:rsidRPr="002B0A05">
        <w:rPr>
          <w:rFonts w:ascii="Arial" w:eastAsia="Times New Roman" w:hAnsi="Arial" w:cs="Arial"/>
          <w:u w:val="single"/>
          <w:lang w:val="en-US"/>
        </w:rPr>
        <w:t>Reference Level Field</w:t>
      </w:r>
      <w:r w:rsidRPr="003E61F5">
        <w:rPr>
          <w:rFonts w:ascii="Arial" w:eastAsia="Times New Roman" w:hAnsi="Arial" w:cs="Arial"/>
          <w:u w:val="single"/>
          <w:lang w:val="en-US"/>
        </w:rPr>
        <w:t>:</w:t>
      </w:r>
      <w:r w:rsidRPr="00691B27">
        <w:rPr>
          <w:rFonts w:ascii="Arial" w:eastAsia="Times New Roman" w:hAnsi="Arial" w:cs="Arial"/>
          <w:lang w:val="en-US"/>
        </w:rPr>
        <w:t xml:space="preserve"> </w:t>
      </w:r>
      <w:r w:rsidR="003E61F5">
        <w:rPr>
          <w:rFonts w:ascii="Arial" w:eastAsia="Times New Roman" w:hAnsi="Arial" w:cs="Arial"/>
          <w:lang w:val="en-US"/>
        </w:rPr>
        <w:t>R</w:t>
      </w:r>
      <w:r w:rsidRPr="00691B27">
        <w:rPr>
          <w:rFonts w:ascii="Arial" w:eastAsia="Times New Roman" w:hAnsi="Arial" w:cs="Arial"/>
          <w:lang w:val="en-US"/>
        </w:rPr>
        <w:t>elate</w:t>
      </w:r>
      <w:r w:rsidR="003E61F5">
        <w:rPr>
          <w:rFonts w:ascii="Arial" w:eastAsia="Times New Roman" w:hAnsi="Arial" w:cs="Arial"/>
          <w:lang w:val="en-US"/>
        </w:rPr>
        <w:t>s</w:t>
      </w:r>
      <w:r w:rsidRPr="00691B27">
        <w:rPr>
          <w:rFonts w:ascii="Arial" w:eastAsia="Times New Roman" w:hAnsi="Arial" w:cs="Arial"/>
          <w:lang w:val="en-US"/>
        </w:rPr>
        <w:t xml:space="preserve"> the physical signal amplitude at the Reference Point (as identified by the Reference Point ID) with the values of the Data Samples in an IF Data packet payload (in </w:t>
      </w:r>
      <w:proofErr w:type="spellStart"/>
      <w:r w:rsidRPr="00691B27">
        <w:rPr>
          <w:rFonts w:ascii="Arial" w:eastAsia="Times New Roman" w:hAnsi="Arial" w:cs="Arial"/>
          <w:lang w:val="en-US"/>
        </w:rPr>
        <w:t>dBm</w:t>
      </w:r>
      <w:proofErr w:type="spellEnd"/>
      <w:r w:rsidRPr="00691B27">
        <w:rPr>
          <w:rFonts w:ascii="Arial" w:eastAsia="Times New Roman" w:hAnsi="Arial" w:cs="Arial"/>
          <w:lang w:val="en-US"/>
        </w:rPr>
        <w:t xml:space="preserve">) </w:t>
      </w:r>
    </w:p>
    <w:p w14:paraId="599D7A08" w14:textId="7BF6306A" w:rsidR="002B0A05" w:rsidRPr="00691B27" w:rsidRDefault="002B0A05" w:rsidP="002B0A05">
      <w:pPr>
        <w:rPr>
          <w:rFonts w:ascii="Arial" w:eastAsia="Times New Roman" w:hAnsi="Arial" w:cs="Arial"/>
          <w:lang w:val="en-US"/>
        </w:rPr>
      </w:pPr>
      <w:r w:rsidRPr="002B0A05">
        <w:rPr>
          <w:rFonts w:ascii="Arial" w:eastAsia="Times New Roman" w:hAnsi="Arial" w:cs="Arial"/>
          <w:u w:val="single"/>
          <w:lang w:val="en-US"/>
        </w:rPr>
        <w:t>Gain Field</w:t>
      </w:r>
      <w:r w:rsidRPr="003E61F5">
        <w:rPr>
          <w:rFonts w:ascii="Arial" w:eastAsia="Times New Roman" w:hAnsi="Arial" w:cs="Arial"/>
          <w:u w:val="single"/>
          <w:lang w:val="en-US"/>
        </w:rPr>
        <w:t>:</w:t>
      </w:r>
      <w:r w:rsidRPr="002B0A05">
        <w:rPr>
          <w:rFonts w:ascii="Arial" w:eastAsia="Times New Roman" w:hAnsi="Arial" w:cs="Arial"/>
          <w:lang w:val="en-US"/>
        </w:rPr>
        <w:t xml:space="preserve"> </w:t>
      </w:r>
      <w:r w:rsidRPr="00691B27">
        <w:rPr>
          <w:rFonts w:ascii="Arial" w:eastAsia="Times New Roman" w:hAnsi="Arial" w:cs="Arial"/>
          <w:lang w:val="en-US"/>
        </w:rPr>
        <w:t>D</w:t>
      </w:r>
      <w:r w:rsidRPr="002B0A05">
        <w:rPr>
          <w:rFonts w:ascii="Arial" w:eastAsia="Times New Roman" w:hAnsi="Arial" w:cs="Arial"/>
          <w:lang w:val="en-US"/>
        </w:rPr>
        <w:t>escribes the amount of signal gain or attenuation from the Reference Point to the Described Signal</w:t>
      </w:r>
      <w:r w:rsidRPr="00691B27">
        <w:rPr>
          <w:rFonts w:ascii="Arial" w:eastAsia="Times New Roman" w:hAnsi="Arial" w:cs="Arial"/>
          <w:lang w:val="en-US"/>
        </w:rPr>
        <w:t xml:space="preserve"> (dB)</w:t>
      </w:r>
      <w:r w:rsidRPr="002B0A05">
        <w:rPr>
          <w:rFonts w:ascii="Arial" w:eastAsia="Times New Roman" w:hAnsi="Arial" w:cs="Arial"/>
          <w:lang w:val="en-US"/>
        </w:rPr>
        <w:t xml:space="preserve">. </w:t>
      </w:r>
    </w:p>
    <w:p w14:paraId="1C36CFE1" w14:textId="527E8B5E" w:rsidR="002B0A05" w:rsidRPr="002B0A05" w:rsidRDefault="002B0A05" w:rsidP="002B0A05">
      <w:pPr>
        <w:rPr>
          <w:rFonts w:ascii="Arial" w:eastAsia="Times New Roman" w:hAnsi="Arial" w:cs="Arial"/>
          <w:lang w:val="en-US"/>
        </w:rPr>
      </w:pPr>
      <w:r w:rsidRPr="002B0A05">
        <w:rPr>
          <w:rFonts w:ascii="Arial" w:eastAsia="Times New Roman" w:hAnsi="Arial" w:cs="Arial"/>
          <w:u w:val="single"/>
          <w:lang w:val="en-US"/>
        </w:rPr>
        <w:t>Over-range Count Field</w:t>
      </w:r>
      <w:r w:rsidRPr="003E61F5">
        <w:rPr>
          <w:rFonts w:ascii="Arial" w:eastAsia="Times New Roman" w:hAnsi="Arial" w:cs="Arial"/>
          <w:u w:val="single"/>
          <w:lang w:val="en-US"/>
        </w:rPr>
        <w:t>:</w:t>
      </w:r>
      <w:r w:rsidRPr="00691B27">
        <w:rPr>
          <w:rFonts w:ascii="Arial" w:eastAsia="Times New Roman" w:hAnsi="Arial" w:cs="Arial"/>
          <w:lang w:val="en-US"/>
        </w:rPr>
        <w:t xml:space="preserve"> C</w:t>
      </w:r>
      <w:r w:rsidRPr="002B0A05">
        <w:rPr>
          <w:rFonts w:ascii="Arial" w:eastAsia="Times New Roman" w:hAnsi="Arial" w:cs="Arial"/>
          <w:lang w:val="en-US"/>
        </w:rPr>
        <w:t>onvey</w:t>
      </w:r>
      <w:r w:rsidRPr="00691B27">
        <w:rPr>
          <w:rFonts w:ascii="Arial" w:eastAsia="Times New Roman" w:hAnsi="Arial" w:cs="Arial"/>
          <w:lang w:val="en-US"/>
        </w:rPr>
        <w:t>s</w:t>
      </w:r>
      <w:r w:rsidRPr="002B0A05">
        <w:rPr>
          <w:rFonts w:ascii="Arial" w:eastAsia="Times New Roman" w:hAnsi="Arial" w:cs="Arial"/>
          <w:lang w:val="en-US"/>
        </w:rPr>
        <w:t xml:space="preserve"> the number of over-range Data Samples in a single paired Data packet. </w:t>
      </w:r>
    </w:p>
    <w:p w14:paraId="5B88C6BF" w14:textId="27589709" w:rsidR="002B0A05" w:rsidRPr="002B0A05" w:rsidRDefault="002B0A05" w:rsidP="002B0A05">
      <w:pPr>
        <w:rPr>
          <w:rFonts w:ascii="Arial" w:eastAsia="Times New Roman" w:hAnsi="Arial" w:cs="Arial"/>
          <w:lang w:val="en-US"/>
        </w:rPr>
      </w:pPr>
      <w:r w:rsidRPr="002B0A05">
        <w:rPr>
          <w:rFonts w:ascii="Arial" w:eastAsia="Times New Roman" w:hAnsi="Arial" w:cs="Arial"/>
          <w:u w:val="single"/>
          <w:lang w:val="en-US"/>
        </w:rPr>
        <w:t xml:space="preserve">Sample Rate </w:t>
      </w:r>
      <w:r w:rsidRPr="003E61F5">
        <w:rPr>
          <w:rFonts w:ascii="Arial" w:eastAsia="Times New Roman" w:hAnsi="Arial" w:cs="Arial"/>
          <w:u w:val="single"/>
          <w:lang w:val="en-US"/>
        </w:rPr>
        <w:t>Field:</w:t>
      </w:r>
      <w:r w:rsidRPr="00691B27">
        <w:rPr>
          <w:rFonts w:ascii="Arial" w:eastAsia="Times New Roman" w:hAnsi="Arial" w:cs="Arial"/>
          <w:lang w:val="en-US"/>
        </w:rPr>
        <w:t xml:space="preserve"> E</w:t>
      </w:r>
      <w:r w:rsidRPr="002B0A05">
        <w:rPr>
          <w:rFonts w:ascii="Arial" w:eastAsia="Times New Roman" w:hAnsi="Arial" w:cs="Arial"/>
          <w:lang w:val="en-US"/>
        </w:rPr>
        <w:t>xpress</w:t>
      </w:r>
      <w:r w:rsidRPr="00691B27">
        <w:rPr>
          <w:rFonts w:ascii="Arial" w:eastAsia="Times New Roman" w:hAnsi="Arial" w:cs="Arial"/>
          <w:lang w:val="en-US"/>
        </w:rPr>
        <w:t>es</w:t>
      </w:r>
      <w:r w:rsidRPr="002B0A05">
        <w:rPr>
          <w:rFonts w:ascii="Arial" w:eastAsia="Times New Roman" w:hAnsi="Arial" w:cs="Arial"/>
          <w:lang w:val="en-US"/>
        </w:rPr>
        <w:t xml:space="preserve"> the sample rate of the Data Samples in the payload of the paired Data Packet Stream</w:t>
      </w:r>
      <w:r w:rsidRPr="00691B27">
        <w:rPr>
          <w:rFonts w:ascii="Arial" w:eastAsia="Times New Roman" w:hAnsi="Arial" w:cs="Arial"/>
          <w:lang w:val="en-US"/>
        </w:rPr>
        <w:t xml:space="preserve"> (Hz)</w:t>
      </w:r>
      <w:r w:rsidRPr="002B0A05">
        <w:rPr>
          <w:rFonts w:ascii="Arial" w:eastAsia="Times New Roman" w:hAnsi="Arial" w:cs="Arial"/>
          <w:lang w:val="en-US"/>
        </w:rPr>
        <w:t xml:space="preserve">. </w:t>
      </w:r>
    </w:p>
    <w:p w14:paraId="08670177" w14:textId="77777777" w:rsidR="00E04090" w:rsidRPr="00691B27" w:rsidRDefault="002B0A05" w:rsidP="00E04090">
      <w:pPr>
        <w:rPr>
          <w:rFonts w:ascii="Arial" w:eastAsia="Times New Roman" w:hAnsi="Arial" w:cs="Arial"/>
          <w:lang w:val="en-US"/>
        </w:rPr>
      </w:pPr>
      <w:r w:rsidRPr="003E61F5">
        <w:rPr>
          <w:rFonts w:ascii="Arial" w:eastAsia="Times New Roman" w:hAnsi="Arial" w:cs="Arial"/>
          <w:u w:val="single"/>
          <w:lang w:val="en-US"/>
        </w:rPr>
        <w:t>Timestamp Adjustment Field:</w:t>
      </w:r>
      <w:r w:rsidRPr="00691B27">
        <w:rPr>
          <w:rFonts w:ascii="Arial" w:eastAsia="Times New Roman" w:hAnsi="Arial" w:cs="Arial"/>
          <w:lang w:val="en-US"/>
        </w:rPr>
        <w:t xml:space="preserve"> </w:t>
      </w:r>
      <w:r w:rsidR="00E04090" w:rsidRPr="00691B27">
        <w:rPr>
          <w:rFonts w:ascii="Arial" w:eastAsia="Times New Roman" w:hAnsi="Arial" w:cs="Arial"/>
          <w:lang w:val="en-US"/>
        </w:rPr>
        <w:t xml:space="preserve">The Timestamp field in the IF Data packet is often used to give the time of signal digitization. The Timestamp Adjustment field is used to adjust this Timestamp so that together they reflect the Reference Point Time. </w:t>
      </w:r>
    </w:p>
    <w:p w14:paraId="506741B2" w14:textId="389AA588" w:rsidR="00E04090" w:rsidRPr="00E04090" w:rsidRDefault="00E04090" w:rsidP="00E04090">
      <w:pPr>
        <w:rPr>
          <w:rFonts w:ascii="Arial" w:eastAsia="Times New Roman" w:hAnsi="Arial" w:cs="Arial"/>
          <w:lang w:val="en-US"/>
        </w:rPr>
      </w:pPr>
      <w:r w:rsidRPr="00E04090">
        <w:rPr>
          <w:rFonts w:ascii="Arial" w:eastAsia="Times New Roman" w:hAnsi="Arial" w:cs="Arial"/>
          <w:u w:val="single"/>
          <w:lang w:val="en-US"/>
        </w:rPr>
        <w:t>Timestamp Calibration Time</w:t>
      </w:r>
      <w:r w:rsidRPr="003E61F5">
        <w:rPr>
          <w:rFonts w:ascii="Arial" w:eastAsia="Times New Roman" w:hAnsi="Arial" w:cs="Arial"/>
          <w:u w:val="single"/>
          <w:lang w:val="en-US"/>
        </w:rPr>
        <w:t>:</w:t>
      </w:r>
      <w:r w:rsidRPr="00E04090">
        <w:rPr>
          <w:rFonts w:ascii="Arial" w:eastAsia="Times New Roman" w:hAnsi="Arial" w:cs="Arial"/>
          <w:lang w:val="en-US"/>
        </w:rPr>
        <w:t xml:space="preserve"> </w:t>
      </w:r>
      <w:r w:rsidRPr="00691B27">
        <w:rPr>
          <w:rFonts w:ascii="Arial" w:eastAsia="Times New Roman" w:hAnsi="Arial" w:cs="Arial"/>
          <w:lang w:val="en-US"/>
        </w:rPr>
        <w:t>C</w:t>
      </w:r>
      <w:r w:rsidRPr="00E04090">
        <w:rPr>
          <w:rFonts w:ascii="Arial" w:eastAsia="Times New Roman" w:hAnsi="Arial" w:cs="Arial"/>
          <w:lang w:val="en-US"/>
        </w:rPr>
        <w:t xml:space="preserve">onveys the date and time at which the Timestamp in the Data and Context packets was known to be correct. </w:t>
      </w:r>
    </w:p>
    <w:p w14:paraId="23E1B5EE" w14:textId="77777777" w:rsidR="00E04090" w:rsidRPr="00691B27" w:rsidRDefault="00E04090" w:rsidP="00E04090">
      <w:pPr>
        <w:rPr>
          <w:rFonts w:ascii="Arial" w:eastAsia="Times New Roman" w:hAnsi="Arial" w:cs="Arial"/>
          <w:lang w:val="en-US"/>
        </w:rPr>
      </w:pPr>
      <w:r w:rsidRPr="00E04090">
        <w:rPr>
          <w:rFonts w:ascii="Arial" w:eastAsia="Times New Roman" w:hAnsi="Arial" w:cs="Arial"/>
          <w:u w:val="single"/>
          <w:lang w:val="en-US"/>
        </w:rPr>
        <w:t>Temperature Field</w:t>
      </w:r>
      <w:r w:rsidRPr="003E61F5">
        <w:rPr>
          <w:rFonts w:ascii="Arial" w:eastAsia="Times New Roman" w:hAnsi="Arial" w:cs="Arial"/>
          <w:u w:val="single"/>
          <w:lang w:val="en-US"/>
        </w:rPr>
        <w:t>:</w:t>
      </w:r>
      <w:r w:rsidRPr="00E04090">
        <w:rPr>
          <w:rFonts w:ascii="Arial" w:eastAsia="Times New Roman" w:hAnsi="Arial" w:cs="Arial"/>
          <w:lang w:val="en-US"/>
        </w:rPr>
        <w:t xml:space="preserve"> </w:t>
      </w:r>
      <w:r w:rsidRPr="00691B27">
        <w:rPr>
          <w:rFonts w:ascii="Arial" w:eastAsia="Times New Roman" w:hAnsi="Arial" w:cs="Arial"/>
          <w:lang w:val="en-US"/>
        </w:rPr>
        <w:t>C</w:t>
      </w:r>
      <w:r w:rsidRPr="00E04090">
        <w:rPr>
          <w:rFonts w:ascii="Arial" w:eastAsia="Times New Roman" w:hAnsi="Arial" w:cs="Arial"/>
          <w:lang w:val="en-US"/>
        </w:rPr>
        <w:t>onvey</w:t>
      </w:r>
      <w:r w:rsidRPr="00691B27">
        <w:rPr>
          <w:rFonts w:ascii="Arial" w:eastAsia="Times New Roman" w:hAnsi="Arial" w:cs="Arial"/>
          <w:lang w:val="en-US"/>
        </w:rPr>
        <w:t>s</w:t>
      </w:r>
      <w:r w:rsidRPr="00E04090">
        <w:rPr>
          <w:rFonts w:ascii="Arial" w:eastAsia="Times New Roman" w:hAnsi="Arial" w:cs="Arial"/>
          <w:lang w:val="en-US"/>
        </w:rPr>
        <w:t xml:space="preserve"> the temperature of some process or process component that may affect some aspect of the Described Signal</w:t>
      </w:r>
      <w:r w:rsidRPr="00691B27">
        <w:rPr>
          <w:rFonts w:ascii="Arial" w:eastAsia="Times New Roman" w:hAnsi="Arial" w:cs="Arial"/>
          <w:lang w:val="en-US"/>
        </w:rPr>
        <w:t xml:space="preserve"> (C)</w:t>
      </w:r>
      <w:r w:rsidRPr="00E04090">
        <w:rPr>
          <w:rFonts w:ascii="Arial" w:eastAsia="Times New Roman" w:hAnsi="Arial" w:cs="Arial"/>
          <w:lang w:val="en-US"/>
        </w:rPr>
        <w:t>.</w:t>
      </w:r>
    </w:p>
    <w:p w14:paraId="30E19D51" w14:textId="77777777" w:rsidR="00E04090" w:rsidRPr="00691B27" w:rsidRDefault="00E04090" w:rsidP="00E04090">
      <w:pPr>
        <w:rPr>
          <w:rFonts w:ascii="Arial" w:eastAsia="Times New Roman" w:hAnsi="Arial" w:cs="Arial"/>
          <w:lang w:val="en-US"/>
        </w:rPr>
      </w:pPr>
      <w:r w:rsidRPr="00E04090">
        <w:rPr>
          <w:rFonts w:ascii="Arial" w:eastAsia="Times New Roman" w:hAnsi="Arial" w:cs="Arial"/>
          <w:u w:val="single"/>
          <w:lang w:val="en-US"/>
        </w:rPr>
        <w:t>Device Identifier Field</w:t>
      </w:r>
      <w:r w:rsidRPr="003E61F5">
        <w:rPr>
          <w:rFonts w:ascii="Arial" w:eastAsia="Times New Roman" w:hAnsi="Arial" w:cs="Arial"/>
          <w:u w:val="single"/>
          <w:lang w:val="en-US"/>
        </w:rPr>
        <w:t>:</w:t>
      </w:r>
      <w:r w:rsidRPr="00691B27">
        <w:rPr>
          <w:rFonts w:ascii="Arial" w:eastAsia="Times New Roman" w:hAnsi="Arial" w:cs="Arial"/>
          <w:lang w:val="en-US"/>
        </w:rPr>
        <w:t xml:space="preserve"> I</w:t>
      </w:r>
      <w:r w:rsidRPr="00E04090">
        <w:rPr>
          <w:rFonts w:ascii="Arial" w:eastAsia="Times New Roman" w:hAnsi="Arial" w:cs="Arial"/>
          <w:lang w:val="en-US"/>
        </w:rPr>
        <w:t>dentif</w:t>
      </w:r>
      <w:r w:rsidRPr="00691B27">
        <w:rPr>
          <w:rFonts w:ascii="Arial" w:eastAsia="Times New Roman" w:hAnsi="Arial" w:cs="Arial"/>
          <w:lang w:val="en-US"/>
        </w:rPr>
        <w:t>ies</w:t>
      </w:r>
      <w:r w:rsidRPr="00E04090">
        <w:rPr>
          <w:rFonts w:ascii="Arial" w:eastAsia="Times New Roman" w:hAnsi="Arial" w:cs="Arial"/>
          <w:lang w:val="en-US"/>
        </w:rPr>
        <w:t xml:space="preserve"> the manufacturer and model of the device generating an IF Context Packet Stream</w:t>
      </w:r>
      <w:r w:rsidRPr="00691B27">
        <w:rPr>
          <w:rFonts w:ascii="Arial" w:eastAsia="Times New Roman" w:hAnsi="Arial" w:cs="Arial"/>
          <w:lang w:val="en-US"/>
        </w:rPr>
        <w:t xml:space="preserve"> (IEEE OUI)</w:t>
      </w:r>
      <w:r w:rsidRPr="00E04090">
        <w:rPr>
          <w:rFonts w:ascii="Arial" w:eastAsia="Times New Roman" w:hAnsi="Arial" w:cs="Arial"/>
          <w:lang w:val="en-US"/>
        </w:rPr>
        <w:t>.</w:t>
      </w:r>
    </w:p>
    <w:p w14:paraId="79FF0CD7" w14:textId="46591AC2" w:rsidR="00E04090" w:rsidRPr="00691B27" w:rsidRDefault="00E04090" w:rsidP="00E04090">
      <w:pPr>
        <w:rPr>
          <w:rFonts w:ascii="Arial" w:eastAsia="Times New Roman" w:hAnsi="Arial" w:cs="Arial"/>
          <w:lang w:val="en-US"/>
        </w:rPr>
      </w:pPr>
      <w:r w:rsidRPr="00E04090">
        <w:rPr>
          <w:rFonts w:ascii="Arial" w:eastAsia="Times New Roman" w:hAnsi="Arial" w:cs="Arial"/>
          <w:u w:val="single"/>
          <w:lang w:val="en-US"/>
        </w:rPr>
        <w:t>State and Event Indicator Field</w:t>
      </w:r>
      <w:r w:rsidRPr="003E61F5">
        <w:rPr>
          <w:rFonts w:ascii="Arial" w:eastAsia="Times New Roman" w:hAnsi="Arial" w:cs="Arial"/>
          <w:u w:val="single"/>
          <w:lang w:val="en-US"/>
        </w:rPr>
        <w:t>:</w:t>
      </w:r>
      <w:r w:rsidRPr="00E04090">
        <w:rPr>
          <w:rFonts w:ascii="Arial" w:eastAsia="Times New Roman" w:hAnsi="Arial" w:cs="Arial"/>
          <w:lang w:val="en-US"/>
        </w:rPr>
        <w:t xml:space="preserve"> </w:t>
      </w:r>
      <w:r w:rsidRPr="00691B27">
        <w:rPr>
          <w:rFonts w:ascii="Arial" w:eastAsia="Times New Roman" w:hAnsi="Arial" w:cs="Arial"/>
          <w:lang w:val="en-US"/>
        </w:rPr>
        <w:t>C</w:t>
      </w:r>
      <w:r w:rsidRPr="00E04090">
        <w:rPr>
          <w:rFonts w:ascii="Arial" w:eastAsia="Times New Roman" w:hAnsi="Arial" w:cs="Arial"/>
          <w:lang w:val="en-US"/>
        </w:rPr>
        <w:t>onvey a set of binary indications and a limited number of non-binary state indications. It contains eight predefined Indicator bits</w:t>
      </w:r>
      <w:r w:rsidRPr="00691B27">
        <w:rPr>
          <w:rFonts w:ascii="Arial" w:eastAsia="Times New Roman" w:hAnsi="Arial" w:cs="Arial"/>
          <w:lang w:val="en-US"/>
        </w:rPr>
        <w:t xml:space="preserve"> and user defined bits.</w:t>
      </w:r>
    </w:p>
    <w:p w14:paraId="562E394D" w14:textId="615332EB" w:rsidR="00E04090" w:rsidRPr="00691B27" w:rsidRDefault="00C427F3" w:rsidP="003E61F5">
      <w:pPr>
        <w:rPr>
          <w:rFonts w:ascii="Arial" w:eastAsia="Times New Roman" w:hAnsi="Arial" w:cs="Arial"/>
          <w:lang w:val="en-US"/>
        </w:rPr>
      </w:pPr>
      <w:r w:rsidRPr="00691B27">
        <w:rPr>
          <w:rFonts w:ascii="Arial" w:eastAsia="Times New Roman" w:hAnsi="Arial" w:cs="Arial"/>
          <w:lang w:val="en-US"/>
        </w:rPr>
        <w:drawing>
          <wp:inline distT="0" distB="0" distL="0" distR="0" wp14:anchorId="4FD53C42" wp14:editId="3851AB6D">
            <wp:extent cx="2818765" cy="115344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38650" cy="1161581"/>
                    </a:xfrm>
                    <a:prstGeom prst="rect">
                      <a:avLst/>
                    </a:prstGeom>
                  </pic:spPr>
                </pic:pic>
              </a:graphicData>
            </a:graphic>
          </wp:inline>
        </w:drawing>
      </w:r>
    </w:p>
    <w:p w14:paraId="302A47C6" w14:textId="77777777" w:rsidR="00C427F3" w:rsidRPr="00691B27" w:rsidRDefault="00C427F3" w:rsidP="00C427F3">
      <w:pPr>
        <w:jc w:val="center"/>
        <w:rPr>
          <w:rFonts w:ascii="Arial" w:eastAsia="Times New Roman" w:hAnsi="Arial" w:cs="Arial"/>
          <w:lang w:val="en-US"/>
        </w:rPr>
      </w:pPr>
    </w:p>
    <w:p w14:paraId="4F85ACD4" w14:textId="46B0F496" w:rsidR="00AD57EF" w:rsidRPr="00691B27" w:rsidRDefault="00AD57EF" w:rsidP="00AD57EF">
      <w:pPr>
        <w:rPr>
          <w:rFonts w:ascii="Arial" w:eastAsia="Times New Roman" w:hAnsi="Arial" w:cs="Arial"/>
          <w:lang w:val="en-US"/>
        </w:rPr>
      </w:pPr>
      <w:r w:rsidRPr="00AD57EF">
        <w:rPr>
          <w:rFonts w:ascii="Arial" w:eastAsia="Times New Roman" w:hAnsi="Arial" w:cs="Arial"/>
          <w:u w:val="single"/>
          <w:lang w:val="en-US"/>
        </w:rPr>
        <w:t>Data Packet Payload Format</w:t>
      </w:r>
      <w:r w:rsidRPr="003E61F5">
        <w:rPr>
          <w:rFonts w:ascii="Arial" w:eastAsia="Times New Roman" w:hAnsi="Arial" w:cs="Arial"/>
          <w:u w:val="single"/>
          <w:lang w:val="en-US"/>
        </w:rPr>
        <w:t>:</w:t>
      </w:r>
      <w:r w:rsidRPr="00691B27">
        <w:rPr>
          <w:rFonts w:ascii="Arial" w:eastAsia="Times New Roman" w:hAnsi="Arial" w:cs="Arial"/>
          <w:lang w:val="en-US"/>
        </w:rPr>
        <w:t xml:space="preserve"> Specifies the packing and content of the payload of the paired Data Packet Stream</w:t>
      </w:r>
    </w:p>
    <w:p w14:paraId="5F39DE99" w14:textId="59515F79" w:rsidR="00AD57EF" w:rsidRPr="00AD57EF" w:rsidRDefault="00AD57EF" w:rsidP="00AD57EF">
      <w:pPr>
        <w:rPr>
          <w:rFonts w:ascii="Arial" w:eastAsia="Times New Roman" w:hAnsi="Arial" w:cs="Arial"/>
          <w:lang w:val="en-US"/>
        </w:rPr>
      </w:pPr>
      <w:r w:rsidRPr="003E61F5">
        <w:rPr>
          <w:rFonts w:ascii="Arial" w:eastAsia="Times New Roman" w:hAnsi="Arial" w:cs="Arial"/>
          <w:u w:val="single"/>
          <w:lang w:val="en-US"/>
        </w:rPr>
        <w:t xml:space="preserve">Formatted GPS </w:t>
      </w:r>
      <w:r w:rsidRPr="00AD57EF">
        <w:rPr>
          <w:rFonts w:ascii="Arial" w:eastAsia="Times New Roman" w:hAnsi="Arial" w:cs="Arial"/>
          <w:u w:val="single"/>
          <w:lang w:val="en-US"/>
        </w:rPr>
        <w:t xml:space="preserve">Geolocation </w:t>
      </w:r>
      <w:r w:rsidR="00C91B3F" w:rsidRPr="003E61F5">
        <w:rPr>
          <w:rFonts w:ascii="Arial" w:eastAsia="Times New Roman" w:hAnsi="Arial" w:cs="Arial"/>
          <w:u w:val="single"/>
          <w:lang w:val="en-US"/>
        </w:rPr>
        <w:t xml:space="preserve">and INS </w:t>
      </w:r>
      <w:r w:rsidRPr="00AD57EF">
        <w:rPr>
          <w:rFonts w:ascii="Arial" w:eastAsia="Times New Roman" w:hAnsi="Arial" w:cs="Arial"/>
          <w:u w:val="single"/>
          <w:lang w:val="en-US"/>
        </w:rPr>
        <w:t>Field</w:t>
      </w:r>
      <w:r w:rsidR="00C91B3F" w:rsidRPr="003E61F5">
        <w:rPr>
          <w:rFonts w:ascii="Arial" w:eastAsia="Times New Roman" w:hAnsi="Arial" w:cs="Arial"/>
          <w:u w:val="single"/>
          <w:lang w:val="en-US"/>
        </w:rPr>
        <w:t>s</w:t>
      </w:r>
      <w:r w:rsidRPr="003E61F5">
        <w:rPr>
          <w:rFonts w:ascii="Arial" w:eastAsia="Times New Roman" w:hAnsi="Arial" w:cs="Arial"/>
          <w:u w:val="single"/>
          <w:lang w:val="en-US"/>
        </w:rPr>
        <w:t>:</w:t>
      </w:r>
      <w:r w:rsidRPr="00691B27">
        <w:rPr>
          <w:rFonts w:ascii="Arial" w:eastAsia="Times New Roman" w:hAnsi="Arial" w:cs="Arial"/>
          <w:lang w:val="en-US"/>
        </w:rPr>
        <w:t xml:space="preserve"> </w:t>
      </w:r>
      <w:r w:rsidRPr="00AD57EF">
        <w:rPr>
          <w:rFonts w:ascii="Arial" w:eastAsia="Times New Roman" w:hAnsi="Arial" w:cs="Arial"/>
          <w:lang w:val="en-US"/>
        </w:rPr>
        <w:t xml:space="preserve">GPS (Global Positioning System) and INS (Inertial Navigation System) Geolocation fields share the same format </w:t>
      </w:r>
    </w:p>
    <w:p w14:paraId="41C8C993" w14:textId="746DDCFF" w:rsidR="00F543B5" w:rsidRPr="00F543B5" w:rsidRDefault="00F543B5" w:rsidP="00F543B5">
      <w:pPr>
        <w:rPr>
          <w:rFonts w:ascii="Arial" w:eastAsia="Times New Roman" w:hAnsi="Arial" w:cs="Arial"/>
          <w:lang w:val="en-US"/>
        </w:rPr>
      </w:pPr>
      <w:r w:rsidRPr="00F543B5">
        <w:rPr>
          <w:rFonts w:ascii="Arial" w:eastAsia="Times New Roman" w:hAnsi="Arial" w:cs="Arial"/>
          <w:u w:val="single"/>
          <w:lang w:val="en-US"/>
        </w:rPr>
        <w:t>ECEF (Earth-Centered, Earth-Fixed) Ephemeris Field</w:t>
      </w:r>
      <w:r w:rsidRPr="003E61F5">
        <w:rPr>
          <w:rFonts w:ascii="Arial" w:eastAsia="Times New Roman" w:hAnsi="Arial" w:cs="Arial"/>
          <w:u w:val="single"/>
          <w:lang w:val="en-US"/>
        </w:rPr>
        <w:t>:</w:t>
      </w:r>
      <w:r w:rsidRPr="00F543B5">
        <w:rPr>
          <w:rFonts w:ascii="Arial" w:eastAsia="Times New Roman" w:hAnsi="Arial" w:cs="Arial"/>
          <w:lang w:val="en-US"/>
        </w:rPr>
        <w:t xml:space="preserve"> </w:t>
      </w:r>
      <w:r w:rsidRPr="00691B27">
        <w:rPr>
          <w:rFonts w:ascii="Arial" w:eastAsia="Times New Roman" w:hAnsi="Arial" w:cs="Arial"/>
          <w:lang w:val="en-US"/>
        </w:rPr>
        <w:t>P</w:t>
      </w:r>
      <w:r w:rsidRPr="00F543B5">
        <w:rPr>
          <w:rFonts w:ascii="Arial" w:eastAsia="Times New Roman" w:hAnsi="Arial" w:cs="Arial"/>
          <w:lang w:val="en-US"/>
        </w:rPr>
        <w:t xml:space="preserve">rovides a format to convey location in Earth-Centered, Earth-Fixed Cartesian coordinates. </w:t>
      </w:r>
    </w:p>
    <w:p w14:paraId="1A4EE85E" w14:textId="21C88A0A" w:rsidR="00F543B5" w:rsidRPr="00691B27" w:rsidRDefault="00F543B5" w:rsidP="00F543B5">
      <w:pPr>
        <w:rPr>
          <w:rFonts w:ascii="Arial" w:eastAsia="Times New Roman" w:hAnsi="Arial" w:cs="Arial"/>
          <w:lang w:val="en-US"/>
        </w:rPr>
      </w:pPr>
      <w:r w:rsidRPr="003E61F5">
        <w:rPr>
          <w:rFonts w:ascii="Arial" w:eastAsia="Times New Roman" w:hAnsi="Arial" w:cs="Arial"/>
          <w:u w:val="single"/>
          <w:lang w:val="en-US"/>
        </w:rPr>
        <w:t>Relative Ephemeris Fields:</w:t>
      </w:r>
      <w:r w:rsidRPr="00691B27">
        <w:rPr>
          <w:rFonts w:ascii="Arial" w:eastAsia="Times New Roman" w:hAnsi="Arial" w:cs="Arial"/>
          <w:lang w:val="en-US"/>
        </w:rPr>
        <w:t xml:space="preserve"> S</w:t>
      </w:r>
      <w:r w:rsidRPr="00F543B5">
        <w:rPr>
          <w:rFonts w:ascii="Arial" w:eastAsia="Times New Roman" w:hAnsi="Arial" w:cs="Arial"/>
          <w:lang w:val="en-US"/>
        </w:rPr>
        <w:t xml:space="preserve">ame format as the ECEF Ephemeris field </w:t>
      </w:r>
    </w:p>
    <w:p w14:paraId="08FBD500" w14:textId="6554CEF3" w:rsidR="00F543B5" w:rsidRPr="00691B27" w:rsidRDefault="00F543B5" w:rsidP="00F543B5">
      <w:pPr>
        <w:rPr>
          <w:rFonts w:ascii="Arial" w:eastAsia="Times New Roman" w:hAnsi="Arial" w:cs="Arial"/>
          <w:lang w:val="en-US"/>
        </w:rPr>
      </w:pPr>
      <w:r w:rsidRPr="00F543B5">
        <w:rPr>
          <w:rFonts w:ascii="Arial" w:eastAsia="Times New Roman" w:hAnsi="Arial" w:cs="Arial"/>
          <w:u w:val="single"/>
          <w:lang w:val="en-US"/>
        </w:rPr>
        <w:t>Ephemeris Reference Identifier</w:t>
      </w:r>
      <w:r w:rsidRPr="003E61F5">
        <w:rPr>
          <w:rFonts w:ascii="Arial" w:eastAsia="Times New Roman" w:hAnsi="Arial" w:cs="Arial"/>
          <w:u w:val="single"/>
          <w:lang w:val="en-US"/>
        </w:rPr>
        <w:t>:</w:t>
      </w:r>
      <w:r w:rsidRPr="00691B27">
        <w:rPr>
          <w:rFonts w:ascii="Arial" w:eastAsia="Times New Roman" w:hAnsi="Arial" w:cs="Arial"/>
          <w:lang w:val="en-US"/>
        </w:rPr>
        <w:t xml:space="preserve"> I</w:t>
      </w:r>
      <w:r w:rsidRPr="00F543B5">
        <w:rPr>
          <w:rFonts w:ascii="Arial" w:eastAsia="Times New Roman" w:hAnsi="Arial" w:cs="Arial"/>
          <w:lang w:val="en-US"/>
        </w:rPr>
        <w:t>dentif</w:t>
      </w:r>
      <w:r w:rsidRPr="00691B27">
        <w:rPr>
          <w:rFonts w:ascii="Arial" w:eastAsia="Times New Roman" w:hAnsi="Arial" w:cs="Arial"/>
          <w:lang w:val="en-US"/>
        </w:rPr>
        <w:t>ies</w:t>
      </w:r>
      <w:r w:rsidRPr="00F543B5">
        <w:rPr>
          <w:rFonts w:ascii="Arial" w:eastAsia="Times New Roman" w:hAnsi="Arial" w:cs="Arial"/>
          <w:lang w:val="en-US"/>
        </w:rPr>
        <w:t xml:space="preserve"> the process whose location serves as the ori</w:t>
      </w:r>
      <w:r w:rsidRPr="00691B27">
        <w:rPr>
          <w:rFonts w:ascii="Arial" w:eastAsia="Times New Roman" w:hAnsi="Arial" w:cs="Arial"/>
          <w:lang w:val="en-US"/>
        </w:rPr>
        <w:t>gin for the Relative Ephemeris</w:t>
      </w:r>
      <w:r w:rsidR="004D1912" w:rsidRPr="00691B27">
        <w:rPr>
          <w:rFonts w:ascii="Arial" w:eastAsia="Times New Roman" w:hAnsi="Arial" w:cs="Arial"/>
          <w:lang w:val="en-US"/>
        </w:rPr>
        <w:t>.</w:t>
      </w:r>
    </w:p>
    <w:p w14:paraId="5DD77ED0" w14:textId="2F28DB10" w:rsidR="004D1912" w:rsidRDefault="004D1912" w:rsidP="004D1912">
      <w:pPr>
        <w:rPr>
          <w:rFonts w:ascii="Arial" w:eastAsia="Times New Roman" w:hAnsi="Arial" w:cs="Arial"/>
          <w:lang w:val="en-US"/>
        </w:rPr>
      </w:pPr>
      <w:r w:rsidRPr="004D1912">
        <w:rPr>
          <w:rFonts w:ascii="Arial" w:eastAsia="Times New Roman" w:hAnsi="Arial" w:cs="Arial"/>
          <w:u w:val="single"/>
          <w:lang w:val="en-US"/>
        </w:rPr>
        <w:t>GPS ASCII Field</w:t>
      </w:r>
      <w:r w:rsidRPr="003E61F5">
        <w:rPr>
          <w:rFonts w:ascii="Arial" w:eastAsia="Times New Roman" w:hAnsi="Arial" w:cs="Arial"/>
          <w:u w:val="single"/>
          <w:lang w:val="en-US"/>
        </w:rPr>
        <w:t>:</w:t>
      </w:r>
      <w:r w:rsidRPr="004D1912">
        <w:rPr>
          <w:rFonts w:ascii="Arial" w:eastAsia="Times New Roman" w:hAnsi="Arial" w:cs="Arial"/>
          <w:lang w:val="en-US"/>
        </w:rPr>
        <w:t xml:space="preserve"> Some GPS devices output their information in the form of formatted ASCII strings, known as GPS “sentences.” </w:t>
      </w:r>
    </w:p>
    <w:p w14:paraId="474BA564" w14:textId="77777777" w:rsidR="003E61F5" w:rsidRDefault="003E61F5" w:rsidP="004D1912">
      <w:pPr>
        <w:rPr>
          <w:rFonts w:ascii="Arial" w:eastAsia="Times New Roman" w:hAnsi="Arial" w:cs="Arial"/>
          <w:lang w:val="en-US"/>
        </w:rPr>
      </w:pPr>
    </w:p>
    <w:p w14:paraId="25645662" w14:textId="77777777" w:rsidR="003E61F5" w:rsidRDefault="003E61F5" w:rsidP="004D1912">
      <w:pPr>
        <w:rPr>
          <w:rFonts w:ascii="Arial" w:eastAsia="Times New Roman" w:hAnsi="Arial" w:cs="Arial"/>
          <w:lang w:val="en-US"/>
        </w:rPr>
      </w:pPr>
    </w:p>
    <w:p w14:paraId="21C61899" w14:textId="6779488B" w:rsidR="003E61F5" w:rsidRDefault="003E61F5" w:rsidP="004D1912">
      <w:pPr>
        <w:rPr>
          <w:rFonts w:ascii="Arial" w:eastAsia="Times New Roman" w:hAnsi="Arial" w:cs="Arial"/>
          <w:lang w:val="en-US"/>
        </w:rPr>
      </w:pPr>
      <w:r>
        <w:rPr>
          <w:rFonts w:ascii="Arial" w:eastAsia="Times New Roman" w:hAnsi="Arial" w:cs="Arial"/>
          <w:lang w:val="en-US"/>
        </w:rPr>
        <w:t xml:space="preserve">Other fields that are recommended that may be of interest for 802.22.3 SCOS metadata are accuracy </w:t>
      </w:r>
      <w:proofErr w:type="spellStart"/>
      <w:r>
        <w:rPr>
          <w:rFonts w:ascii="Arial" w:eastAsia="Times New Roman" w:hAnsi="Arial" w:cs="Arial"/>
          <w:lang w:val="en-US"/>
        </w:rPr>
        <w:t>paremeters</w:t>
      </w:r>
      <w:proofErr w:type="spellEnd"/>
      <w:r>
        <w:rPr>
          <w:rFonts w:ascii="Arial" w:eastAsia="Times New Roman" w:hAnsi="Arial" w:cs="Arial"/>
          <w:lang w:val="en-US"/>
        </w:rPr>
        <w:t>:</w:t>
      </w:r>
    </w:p>
    <w:p w14:paraId="23021400" w14:textId="77777777" w:rsidR="003E61F5" w:rsidRPr="00691B27" w:rsidRDefault="003E61F5" w:rsidP="004D1912">
      <w:pPr>
        <w:rPr>
          <w:rFonts w:ascii="Arial" w:eastAsia="Times New Roman" w:hAnsi="Arial" w:cs="Arial"/>
          <w:lang w:val="en-US"/>
        </w:rPr>
      </w:pPr>
    </w:p>
    <w:p w14:paraId="4D68C50F" w14:textId="36C13A56" w:rsidR="004D1912" w:rsidRPr="004D1912" w:rsidRDefault="007225D7" w:rsidP="004D1912">
      <w:pPr>
        <w:rPr>
          <w:rFonts w:ascii="Arial" w:eastAsia="Times New Roman" w:hAnsi="Arial" w:cs="Arial"/>
          <w:lang w:val="en-US"/>
        </w:rPr>
      </w:pPr>
      <w:r w:rsidRPr="00691B27">
        <w:rPr>
          <w:rFonts w:ascii="Arial" w:eastAsia="Times New Roman" w:hAnsi="Arial" w:cs="Arial"/>
          <w:lang w:val="en-US"/>
        </w:rPr>
        <w:drawing>
          <wp:inline distT="0" distB="0" distL="0" distR="0" wp14:anchorId="2DE7C066" wp14:editId="1E78D852">
            <wp:extent cx="3275965" cy="145784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90606" cy="1464356"/>
                    </a:xfrm>
                    <a:prstGeom prst="rect">
                      <a:avLst/>
                    </a:prstGeom>
                  </pic:spPr>
                </pic:pic>
              </a:graphicData>
            </a:graphic>
          </wp:inline>
        </w:drawing>
      </w:r>
    </w:p>
    <w:p w14:paraId="72C879A3" w14:textId="77777777" w:rsidR="00F543B5" w:rsidRPr="00F543B5" w:rsidRDefault="00F543B5" w:rsidP="00F543B5">
      <w:pPr>
        <w:rPr>
          <w:rFonts w:ascii="Arial" w:eastAsia="Times New Roman" w:hAnsi="Arial" w:cs="Arial"/>
          <w:lang w:val="en-US"/>
        </w:rPr>
      </w:pPr>
    </w:p>
    <w:p w14:paraId="52E04D33" w14:textId="18C22B31" w:rsidR="00F543B5" w:rsidRPr="00691B27" w:rsidRDefault="003E61F5" w:rsidP="00F543B5">
      <w:pPr>
        <w:rPr>
          <w:rFonts w:ascii="Arial" w:eastAsia="Times New Roman" w:hAnsi="Arial" w:cs="Arial"/>
          <w:lang w:val="en-US"/>
        </w:rPr>
      </w:pPr>
      <w:r>
        <w:rPr>
          <w:rFonts w:ascii="Arial" w:eastAsia="Times New Roman" w:hAnsi="Arial" w:cs="Arial"/>
          <w:lang w:val="en-US"/>
        </w:rPr>
        <w:t>Also, s</w:t>
      </w:r>
      <w:r w:rsidR="00691B27" w:rsidRPr="00691B27">
        <w:rPr>
          <w:rFonts w:ascii="Arial" w:eastAsia="Times New Roman" w:hAnsi="Arial" w:cs="Arial"/>
          <w:lang w:val="en-US"/>
        </w:rPr>
        <w:t>ome recommended “system specific” items:</w:t>
      </w:r>
    </w:p>
    <w:p w14:paraId="3BF5DC26" w14:textId="77777777" w:rsidR="00691B27" w:rsidRPr="00691B27" w:rsidRDefault="00691B27" w:rsidP="00691B27">
      <w:pPr>
        <w:rPr>
          <w:rFonts w:ascii="Arial" w:eastAsia="Times New Roman" w:hAnsi="Arial" w:cs="Arial"/>
          <w:lang w:val="en-US"/>
        </w:rPr>
      </w:pPr>
      <w:r w:rsidRPr="00691B27">
        <w:rPr>
          <w:rFonts w:ascii="Arial" w:eastAsia="Times New Roman" w:hAnsi="Arial" w:cs="Arial"/>
          <w:lang w:val="en-US"/>
        </w:rPr>
        <w:t>• Receiver noise figure.</w:t>
      </w:r>
    </w:p>
    <w:p w14:paraId="620B64D6" w14:textId="77777777" w:rsidR="00691B27" w:rsidRPr="00691B27" w:rsidRDefault="00691B27" w:rsidP="00691B27">
      <w:pPr>
        <w:rPr>
          <w:rFonts w:ascii="Arial" w:eastAsia="Times New Roman" w:hAnsi="Arial" w:cs="Arial"/>
          <w:lang w:val="en-US"/>
        </w:rPr>
      </w:pPr>
      <w:r w:rsidRPr="00691B27">
        <w:rPr>
          <w:rFonts w:ascii="Arial" w:eastAsia="Times New Roman" w:hAnsi="Arial" w:cs="Arial"/>
          <w:lang w:val="en-US"/>
        </w:rPr>
        <w:t>• Receiver tuning range.</w:t>
      </w:r>
    </w:p>
    <w:p w14:paraId="6A284712" w14:textId="77777777" w:rsidR="00691B27" w:rsidRPr="00691B27" w:rsidRDefault="00691B27" w:rsidP="00691B27">
      <w:pPr>
        <w:rPr>
          <w:rFonts w:ascii="Arial" w:eastAsia="Times New Roman" w:hAnsi="Arial" w:cs="Arial"/>
          <w:lang w:val="en-US"/>
        </w:rPr>
      </w:pPr>
      <w:r w:rsidRPr="00691B27">
        <w:rPr>
          <w:rFonts w:ascii="Arial" w:eastAsia="Times New Roman" w:hAnsi="Arial" w:cs="Arial"/>
          <w:lang w:val="en-US"/>
        </w:rPr>
        <w:t>• Equipment operating temperature range.</w:t>
      </w:r>
    </w:p>
    <w:p w14:paraId="6E026EC6" w14:textId="263B7BDF" w:rsidR="00691B27" w:rsidRPr="00F543B5" w:rsidRDefault="00691B27" w:rsidP="00691B27">
      <w:pPr>
        <w:rPr>
          <w:rFonts w:ascii="Arial" w:eastAsia="Times New Roman" w:hAnsi="Arial" w:cs="Arial"/>
          <w:lang w:val="en-US"/>
        </w:rPr>
      </w:pPr>
      <w:r w:rsidRPr="00691B27">
        <w:rPr>
          <w:rFonts w:ascii="Arial" w:eastAsia="Times New Roman" w:hAnsi="Arial" w:cs="Arial"/>
          <w:lang w:val="en-US"/>
        </w:rPr>
        <w:t>• Maximum required power.</w:t>
      </w:r>
    </w:p>
    <w:p w14:paraId="216D513C" w14:textId="79D2399E" w:rsidR="00AD57EF" w:rsidRPr="00691B27" w:rsidRDefault="00AD57EF" w:rsidP="00AD57EF">
      <w:pPr>
        <w:rPr>
          <w:rFonts w:ascii="Arial" w:eastAsia="Times New Roman" w:hAnsi="Arial" w:cs="Arial"/>
          <w:lang w:val="en-US"/>
        </w:rPr>
      </w:pPr>
      <w:r w:rsidRPr="00AD57EF">
        <w:rPr>
          <w:rFonts w:ascii="Arial" w:eastAsia="Times New Roman" w:hAnsi="Arial" w:cs="Arial"/>
          <w:lang w:val="en-US"/>
        </w:rPr>
        <w:t xml:space="preserve"> </w:t>
      </w:r>
    </w:p>
    <w:p w14:paraId="3A8FA9B5" w14:textId="77777777" w:rsidR="00B44EDF" w:rsidRPr="00691B27" w:rsidRDefault="00B44EDF" w:rsidP="0016593D">
      <w:pPr>
        <w:rPr>
          <w:rFonts w:ascii="Arial" w:hAnsi="Arial" w:cs="Arial"/>
        </w:rPr>
      </w:pPr>
    </w:p>
    <w:sectPr w:rsidR="00B44EDF" w:rsidRPr="00691B27" w:rsidSect="000375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1DA0"/>
    <w:multiLevelType w:val="hybridMultilevel"/>
    <w:tmpl w:val="648E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E4601"/>
    <w:multiLevelType w:val="hybridMultilevel"/>
    <w:tmpl w:val="B2A2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4F0944"/>
    <w:multiLevelType w:val="hybridMultilevel"/>
    <w:tmpl w:val="4848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41"/>
    <w:rsid w:val="00037516"/>
    <w:rsid w:val="000B0EAE"/>
    <w:rsid w:val="000D4D41"/>
    <w:rsid w:val="000E2144"/>
    <w:rsid w:val="0016593D"/>
    <w:rsid w:val="00287DFD"/>
    <w:rsid w:val="002B0A05"/>
    <w:rsid w:val="00337E20"/>
    <w:rsid w:val="003E61F5"/>
    <w:rsid w:val="004D1912"/>
    <w:rsid w:val="00542A66"/>
    <w:rsid w:val="00691B27"/>
    <w:rsid w:val="007225D7"/>
    <w:rsid w:val="008A65B6"/>
    <w:rsid w:val="00AD57EF"/>
    <w:rsid w:val="00B26FA3"/>
    <w:rsid w:val="00B44EDF"/>
    <w:rsid w:val="00B5207B"/>
    <w:rsid w:val="00BC0021"/>
    <w:rsid w:val="00C427F3"/>
    <w:rsid w:val="00C91B3F"/>
    <w:rsid w:val="00D13B13"/>
    <w:rsid w:val="00E04090"/>
    <w:rsid w:val="00E81C6F"/>
    <w:rsid w:val="00F54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DFB06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E20"/>
    <w:pPr>
      <w:ind w:left="720"/>
      <w:contextualSpacing/>
    </w:pPr>
  </w:style>
  <w:style w:type="character" w:styleId="Hyperlink">
    <w:name w:val="Hyperlink"/>
    <w:basedOn w:val="DefaultParagraphFont"/>
    <w:uiPriority w:val="99"/>
    <w:unhideWhenUsed/>
    <w:rsid w:val="00337E20"/>
    <w:rPr>
      <w:color w:val="0563C1" w:themeColor="hyperlink"/>
      <w:u w:val="single"/>
    </w:rPr>
  </w:style>
  <w:style w:type="table" w:styleId="TableGrid">
    <w:name w:val="Table Grid"/>
    <w:basedOn w:val="TableNormal"/>
    <w:uiPriority w:val="39"/>
    <w:rsid w:val="00337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536">
      <w:bodyDiv w:val="1"/>
      <w:marLeft w:val="0"/>
      <w:marRight w:val="0"/>
      <w:marTop w:val="0"/>
      <w:marBottom w:val="0"/>
      <w:divBdr>
        <w:top w:val="none" w:sz="0" w:space="0" w:color="auto"/>
        <w:left w:val="none" w:sz="0" w:space="0" w:color="auto"/>
        <w:bottom w:val="none" w:sz="0" w:space="0" w:color="auto"/>
        <w:right w:val="none" w:sz="0" w:space="0" w:color="auto"/>
      </w:divBdr>
    </w:div>
    <w:div w:id="50929637">
      <w:bodyDiv w:val="1"/>
      <w:marLeft w:val="0"/>
      <w:marRight w:val="0"/>
      <w:marTop w:val="0"/>
      <w:marBottom w:val="0"/>
      <w:divBdr>
        <w:top w:val="none" w:sz="0" w:space="0" w:color="auto"/>
        <w:left w:val="none" w:sz="0" w:space="0" w:color="auto"/>
        <w:bottom w:val="none" w:sz="0" w:space="0" w:color="auto"/>
        <w:right w:val="none" w:sz="0" w:space="0" w:color="auto"/>
      </w:divBdr>
    </w:div>
    <w:div w:id="167716589">
      <w:bodyDiv w:val="1"/>
      <w:marLeft w:val="0"/>
      <w:marRight w:val="0"/>
      <w:marTop w:val="0"/>
      <w:marBottom w:val="0"/>
      <w:divBdr>
        <w:top w:val="none" w:sz="0" w:space="0" w:color="auto"/>
        <w:left w:val="none" w:sz="0" w:space="0" w:color="auto"/>
        <w:bottom w:val="none" w:sz="0" w:space="0" w:color="auto"/>
        <w:right w:val="none" w:sz="0" w:space="0" w:color="auto"/>
      </w:divBdr>
    </w:div>
    <w:div w:id="287124491">
      <w:bodyDiv w:val="1"/>
      <w:marLeft w:val="0"/>
      <w:marRight w:val="0"/>
      <w:marTop w:val="0"/>
      <w:marBottom w:val="0"/>
      <w:divBdr>
        <w:top w:val="none" w:sz="0" w:space="0" w:color="auto"/>
        <w:left w:val="none" w:sz="0" w:space="0" w:color="auto"/>
        <w:bottom w:val="none" w:sz="0" w:space="0" w:color="auto"/>
        <w:right w:val="none" w:sz="0" w:space="0" w:color="auto"/>
      </w:divBdr>
    </w:div>
    <w:div w:id="358052032">
      <w:bodyDiv w:val="1"/>
      <w:marLeft w:val="0"/>
      <w:marRight w:val="0"/>
      <w:marTop w:val="0"/>
      <w:marBottom w:val="0"/>
      <w:divBdr>
        <w:top w:val="none" w:sz="0" w:space="0" w:color="auto"/>
        <w:left w:val="none" w:sz="0" w:space="0" w:color="auto"/>
        <w:bottom w:val="none" w:sz="0" w:space="0" w:color="auto"/>
        <w:right w:val="none" w:sz="0" w:space="0" w:color="auto"/>
      </w:divBdr>
    </w:div>
    <w:div w:id="368921210">
      <w:bodyDiv w:val="1"/>
      <w:marLeft w:val="0"/>
      <w:marRight w:val="0"/>
      <w:marTop w:val="0"/>
      <w:marBottom w:val="0"/>
      <w:divBdr>
        <w:top w:val="none" w:sz="0" w:space="0" w:color="auto"/>
        <w:left w:val="none" w:sz="0" w:space="0" w:color="auto"/>
        <w:bottom w:val="none" w:sz="0" w:space="0" w:color="auto"/>
        <w:right w:val="none" w:sz="0" w:space="0" w:color="auto"/>
      </w:divBdr>
    </w:div>
    <w:div w:id="442961882">
      <w:bodyDiv w:val="1"/>
      <w:marLeft w:val="0"/>
      <w:marRight w:val="0"/>
      <w:marTop w:val="0"/>
      <w:marBottom w:val="0"/>
      <w:divBdr>
        <w:top w:val="none" w:sz="0" w:space="0" w:color="auto"/>
        <w:left w:val="none" w:sz="0" w:space="0" w:color="auto"/>
        <w:bottom w:val="none" w:sz="0" w:space="0" w:color="auto"/>
        <w:right w:val="none" w:sz="0" w:space="0" w:color="auto"/>
      </w:divBdr>
    </w:div>
    <w:div w:id="561670840">
      <w:bodyDiv w:val="1"/>
      <w:marLeft w:val="0"/>
      <w:marRight w:val="0"/>
      <w:marTop w:val="0"/>
      <w:marBottom w:val="0"/>
      <w:divBdr>
        <w:top w:val="none" w:sz="0" w:space="0" w:color="auto"/>
        <w:left w:val="none" w:sz="0" w:space="0" w:color="auto"/>
        <w:bottom w:val="none" w:sz="0" w:space="0" w:color="auto"/>
        <w:right w:val="none" w:sz="0" w:space="0" w:color="auto"/>
      </w:divBdr>
    </w:div>
    <w:div w:id="654922030">
      <w:bodyDiv w:val="1"/>
      <w:marLeft w:val="0"/>
      <w:marRight w:val="0"/>
      <w:marTop w:val="0"/>
      <w:marBottom w:val="0"/>
      <w:divBdr>
        <w:top w:val="none" w:sz="0" w:space="0" w:color="auto"/>
        <w:left w:val="none" w:sz="0" w:space="0" w:color="auto"/>
        <w:bottom w:val="none" w:sz="0" w:space="0" w:color="auto"/>
        <w:right w:val="none" w:sz="0" w:space="0" w:color="auto"/>
      </w:divBdr>
    </w:div>
    <w:div w:id="694157709">
      <w:bodyDiv w:val="1"/>
      <w:marLeft w:val="0"/>
      <w:marRight w:val="0"/>
      <w:marTop w:val="0"/>
      <w:marBottom w:val="0"/>
      <w:divBdr>
        <w:top w:val="none" w:sz="0" w:space="0" w:color="auto"/>
        <w:left w:val="none" w:sz="0" w:space="0" w:color="auto"/>
        <w:bottom w:val="none" w:sz="0" w:space="0" w:color="auto"/>
        <w:right w:val="none" w:sz="0" w:space="0" w:color="auto"/>
      </w:divBdr>
    </w:div>
    <w:div w:id="710108661">
      <w:bodyDiv w:val="1"/>
      <w:marLeft w:val="0"/>
      <w:marRight w:val="0"/>
      <w:marTop w:val="0"/>
      <w:marBottom w:val="0"/>
      <w:divBdr>
        <w:top w:val="none" w:sz="0" w:space="0" w:color="auto"/>
        <w:left w:val="none" w:sz="0" w:space="0" w:color="auto"/>
        <w:bottom w:val="none" w:sz="0" w:space="0" w:color="auto"/>
        <w:right w:val="none" w:sz="0" w:space="0" w:color="auto"/>
      </w:divBdr>
    </w:div>
    <w:div w:id="792791987">
      <w:bodyDiv w:val="1"/>
      <w:marLeft w:val="0"/>
      <w:marRight w:val="0"/>
      <w:marTop w:val="0"/>
      <w:marBottom w:val="0"/>
      <w:divBdr>
        <w:top w:val="none" w:sz="0" w:space="0" w:color="auto"/>
        <w:left w:val="none" w:sz="0" w:space="0" w:color="auto"/>
        <w:bottom w:val="none" w:sz="0" w:space="0" w:color="auto"/>
        <w:right w:val="none" w:sz="0" w:space="0" w:color="auto"/>
      </w:divBdr>
    </w:div>
    <w:div w:id="840923534">
      <w:bodyDiv w:val="1"/>
      <w:marLeft w:val="0"/>
      <w:marRight w:val="0"/>
      <w:marTop w:val="0"/>
      <w:marBottom w:val="0"/>
      <w:divBdr>
        <w:top w:val="none" w:sz="0" w:space="0" w:color="auto"/>
        <w:left w:val="none" w:sz="0" w:space="0" w:color="auto"/>
        <w:bottom w:val="none" w:sz="0" w:space="0" w:color="auto"/>
        <w:right w:val="none" w:sz="0" w:space="0" w:color="auto"/>
      </w:divBdr>
    </w:div>
    <w:div w:id="869760175">
      <w:bodyDiv w:val="1"/>
      <w:marLeft w:val="0"/>
      <w:marRight w:val="0"/>
      <w:marTop w:val="0"/>
      <w:marBottom w:val="0"/>
      <w:divBdr>
        <w:top w:val="none" w:sz="0" w:space="0" w:color="auto"/>
        <w:left w:val="none" w:sz="0" w:space="0" w:color="auto"/>
        <w:bottom w:val="none" w:sz="0" w:space="0" w:color="auto"/>
        <w:right w:val="none" w:sz="0" w:space="0" w:color="auto"/>
      </w:divBdr>
    </w:div>
    <w:div w:id="879980224">
      <w:bodyDiv w:val="1"/>
      <w:marLeft w:val="0"/>
      <w:marRight w:val="0"/>
      <w:marTop w:val="0"/>
      <w:marBottom w:val="0"/>
      <w:divBdr>
        <w:top w:val="none" w:sz="0" w:space="0" w:color="auto"/>
        <w:left w:val="none" w:sz="0" w:space="0" w:color="auto"/>
        <w:bottom w:val="none" w:sz="0" w:space="0" w:color="auto"/>
        <w:right w:val="none" w:sz="0" w:space="0" w:color="auto"/>
      </w:divBdr>
    </w:div>
    <w:div w:id="889002945">
      <w:bodyDiv w:val="1"/>
      <w:marLeft w:val="0"/>
      <w:marRight w:val="0"/>
      <w:marTop w:val="0"/>
      <w:marBottom w:val="0"/>
      <w:divBdr>
        <w:top w:val="none" w:sz="0" w:space="0" w:color="auto"/>
        <w:left w:val="none" w:sz="0" w:space="0" w:color="auto"/>
        <w:bottom w:val="none" w:sz="0" w:space="0" w:color="auto"/>
        <w:right w:val="none" w:sz="0" w:space="0" w:color="auto"/>
      </w:divBdr>
    </w:div>
    <w:div w:id="1025788240">
      <w:bodyDiv w:val="1"/>
      <w:marLeft w:val="0"/>
      <w:marRight w:val="0"/>
      <w:marTop w:val="0"/>
      <w:marBottom w:val="0"/>
      <w:divBdr>
        <w:top w:val="none" w:sz="0" w:space="0" w:color="auto"/>
        <w:left w:val="none" w:sz="0" w:space="0" w:color="auto"/>
        <w:bottom w:val="none" w:sz="0" w:space="0" w:color="auto"/>
        <w:right w:val="none" w:sz="0" w:space="0" w:color="auto"/>
      </w:divBdr>
    </w:div>
    <w:div w:id="1049457083">
      <w:bodyDiv w:val="1"/>
      <w:marLeft w:val="0"/>
      <w:marRight w:val="0"/>
      <w:marTop w:val="0"/>
      <w:marBottom w:val="0"/>
      <w:divBdr>
        <w:top w:val="none" w:sz="0" w:space="0" w:color="auto"/>
        <w:left w:val="none" w:sz="0" w:space="0" w:color="auto"/>
        <w:bottom w:val="none" w:sz="0" w:space="0" w:color="auto"/>
        <w:right w:val="none" w:sz="0" w:space="0" w:color="auto"/>
      </w:divBdr>
    </w:div>
    <w:div w:id="1100490347">
      <w:bodyDiv w:val="1"/>
      <w:marLeft w:val="0"/>
      <w:marRight w:val="0"/>
      <w:marTop w:val="0"/>
      <w:marBottom w:val="0"/>
      <w:divBdr>
        <w:top w:val="none" w:sz="0" w:space="0" w:color="auto"/>
        <w:left w:val="none" w:sz="0" w:space="0" w:color="auto"/>
        <w:bottom w:val="none" w:sz="0" w:space="0" w:color="auto"/>
        <w:right w:val="none" w:sz="0" w:space="0" w:color="auto"/>
      </w:divBdr>
    </w:div>
    <w:div w:id="1123646530">
      <w:bodyDiv w:val="1"/>
      <w:marLeft w:val="0"/>
      <w:marRight w:val="0"/>
      <w:marTop w:val="0"/>
      <w:marBottom w:val="0"/>
      <w:divBdr>
        <w:top w:val="none" w:sz="0" w:space="0" w:color="auto"/>
        <w:left w:val="none" w:sz="0" w:space="0" w:color="auto"/>
        <w:bottom w:val="none" w:sz="0" w:space="0" w:color="auto"/>
        <w:right w:val="none" w:sz="0" w:space="0" w:color="auto"/>
      </w:divBdr>
    </w:div>
    <w:div w:id="1212810509">
      <w:bodyDiv w:val="1"/>
      <w:marLeft w:val="0"/>
      <w:marRight w:val="0"/>
      <w:marTop w:val="0"/>
      <w:marBottom w:val="0"/>
      <w:divBdr>
        <w:top w:val="none" w:sz="0" w:space="0" w:color="auto"/>
        <w:left w:val="none" w:sz="0" w:space="0" w:color="auto"/>
        <w:bottom w:val="none" w:sz="0" w:space="0" w:color="auto"/>
        <w:right w:val="none" w:sz="0" w:space="0" w:color="auto"/>
      </w:divBdr>
    </w:div>
    <w:div w:id="1221207896">
      <w:bodyDiv w:val="1"/>
      <w:marLeft w:val="0"/>
      <w:marRight w:val="0"/>
      <w:marTop w:val="0"/>
      <w:marBottom w:val="0"/>
      <w:divBdr>
        <w:top w:val="none" w:sz="0" w:space="0" w:color="auto"/>
        <w:left w:val="none" w:sz="0" w:space="0" w:color="auto"/>
        <w:bottom w:val="none" w:sz="0" w:space="0" w:color="auto"/>
        <w:right w:val="none" w:sz="0" w:space="0" w:color="auto"/>
      </w:divBdr>
    </w:div>
    <w:div w:id="1264264498">
      <w:bodyDiv w:val="1"/>
      <w:marLeft w:val="0"/>
      <w:marRight w:val="0"/>
      <w:marTop w:val="0"/>
      <w:marBottom w:val="0"/>
      <w:divBdr>
        <w:top w:val="none" w:sz="0" w:space="0" w:color="auto"/>
        <w:left w:val="none" w:sz="0" w:space="0" w:color="auto"/>
        <w:bottom w:val="none" w:sz="0" w:space="0" w:color="auto"/>
        <w:right w:val="none" w:sz="0" w:space="0" w:color="auto"/>
      </w:divBdr>
    </w:div>
    <w:div w:id="1316060262">
      <w:bodyDiv w:val="1"/>
      <w:marLeft w:val="0"/>
      <w:marRight w:val="0"/>
      <w:marTop w:val="0"/>
      <w:marBottom w:val="0"/>
      <w:divBdr>
        <w:top w:val="none" w:sz="0" w:space="0" w:color="auto"/>
        <w:left w:val="none" w:sz="0" w:space="0" w:color="auto"/>
        <w:bottom w:val="none" w:sz="0" w:space="0" w:color="auto"/>
        <w:right w:val="none" w:sz="0" w:space="0" w:color="auto"/>
      </w:divBdr>
    </w:div>
    <w:div w:id="1321275927">
      <w:bodyDiv w:val="1"/>
      <w:marLeft w:val="0"/>
      <w:marRight w:val="0"/>
      <w:marTop w:val="0"/>
      <w:marBottom w:val="0"/>
      <w:divBdr>
        <w:top w:val="none" w:sz="0" w:space="0" w:color="auto"/>
        <w:left w:val="none" w:sz="0" w:space="0" w:color="auto"/>
        <w:bottom w:val="none" w:sz="0" w:space="0" w:color="auto"/>
        <w:right w:val="none" w:sz="0" w:space="0" w:color="auto"/>
      </w:divBdr>
    </w:div>
    <w:div w:id="1398820955">
      <w:bodyDiv w:val="1"/>
      <w:marLeft w:val="0"/>
      <w:marRight w:val="0"/>
      <w:marTop w:val="0"/>
      <w:marBottom w:val="0"/>
      <w:divBdr>
        <w:top w:val="none" w:sz="0" w:space="0" w:color="auto"/>
        <w:left w:val="none" w:sz="0" w:space="0" w:color="auto"/>
        <w:bottom w:val="none" w:sz="0" w:space="0" w:color="auto"/>
        <w:right w:val="none" w:sz="0" w:space="0" w:color="auto"/>
      </w:divBdr>
    </w:div>
    <w:div w:id="1418668553">
      <w:bodyDiv w:val="1"/>
      <w:marLeft w:val="0"/>
      <w:marRight w:val="0"/>
      <w:marTop w:val="0"/>
      <w:marBottom w:val="0"/>
      <w:divBdr>
        <w:top w:val="none" w:sz="0" w:space="0" w:color="auto"/>
        <w:left w:val="none" w:sz="0" w:space="0" w:color="auto"/>
        <w:bottom w:val="none" w:sz="0" w:space="0" w:color="auto"/>
        <w:right w:val="none" w:sz="0" w:space="0" w:color="auto"/>
      </w:divBdr>
    </w:div>
    <w:div w:id="1490365487">
      <w:bodyDiv w:val="1"/>
      <w:marLeft w:val="0"/>
      <w:marRight w:val="0"/>
      <w:marTop w:val="0"/>
      <w:marBottom w:val="0"/>
      <w:divBdr>
        <w:top w:val="none" w:sz="0" w:space="0" w:color="auto"/>
        <w:left w:val="none" w:sz="0" w:space="0" w:color="auto"/>
        <w:bottom w:val="none" w:sz="0" w:space="0" w:color="auto"/>
        <w:right w:val="none" w:sz="0" w:space="0" w:color="auto"/>
      </w:divBdr>
    </w:div>
    <w:div w:id="1587887242">
      <w:bodyDiv w:val="1"/>
      <w:marLeft w:val="0"/>
      <w:marRight w:val="0"/>
      <w:marTop w:val="0"/>
      <w:marBottom w:val="0"/>
      <w:divBdr>
        <w:top w:val="none" w:sz="0" w:space="0" w:color="auto"/>
        <w:left w:val="none" w:sz="0" w:space="0" w:color="auto"/>
        <w:bottom w:val="none" w:sz="0" w:space="0" w:color="auto"/>
        <w:right w:val="none" w:sz="0" w:space="0" w:color="auto"/>
      </w:divBdr>
    </w:div>
    <w:div w:id="1589652778">
      <w:bodyDiv w:val="1"/>
      <w:marLeft w:val="0"/>
      <w:marRight w:val="0"/>
      <w:marTop w:val="0"/>
      <w:marBottom w:val="0"/>
      <w:divBdr>
        <w:top w:val="none" w:sz="0" w:space="0" w:color="auto"/>
        <w:left w:val="none" w:sz="0" w:space="0" w:color="auto"/>
        <w:bottom w:val="none" w:sz="0" w:space="0" w:color="auto"/>
        <w:right w:val="none" w:sz="0" w:space="0" w:color="auto"/>
      </w:divBdr>
    </w:div>
    <w:div w:id="1592229678">
      <w:bodyDiv w:val="1"/>
      <w:marLeft w:val="0"/>
      <w:marRight w:val="0"/>
      <w:marTop w:val="0"/>
      <w:marBottom w:val="0"/>
      <w:divBdr>
        <w:top w:val="none" w:sz="0" w:space="0" w:color="auto"/>
        <w:left w:val="none" w:sz="0" w:space="0" w:color="auto"/>
        <w:bottom w:val="none" w:sz="0" w:space="0" w:color="auto"/>
        <w:right w:val="none" w:sz="0" w:space="0" w:color="auto"/>
      </w:divBdr>
    </w:div>
    <w:div w:id="1677998616">
      <w:bodyDiv w:val="1"/>
      <w:marLeft w:val="0"/>
      <w:marRight w:val="0"/>
      <w:marTop w:val="0"/>
      <w:marBottom w:val="0"/>
      <w:divBdr>
        <w:top w:val="none" w:sz="0" w:space="0" w:color="auto"/>
        <w:left w:val="none" w:sz="0" w:space="0" w:color="auto"/>
        <w:bottom w:val="none" w:sz="0" w:space="0" w:color="auto"/>
        <w:right w:val="none" w:sz="0" w:space="0" w:color="auto"/>
      </w:divBdr>
    </w:div>
    <w:div w:id="1697845222">
      <w:bodyDiv w:val="1"/>
      <w:marLeft w:val="0"/>
      <w:marRight w:val="0"/>
      <w:marTop w:val="0"/>
      <w:marBottom w:val="0"/>
      <w:divBdr>
        <w:top w:val="none" w:sz="0" w:space="0" w:color="auto"/>
        <w:left w:val="none" w:sz="0" w:space="0" w:color="auto"/>
        <w:bottom w:val="none" w:sz="0" w:space="0" w:color="auto"/>
        <w:right w:val="none" w:sz="0" w:space="0" w:color="auto"/>
      </w:divBdr>
    </w:div>
    <w:div w:id="1707682900">
      <w:bodyDiv w:val="1"/>
      <w:marLeft w:val="0"/>
      <w:marRight w:val="0"/>
      <w:marTop w:val="0"/>
      <w:marBottom w:val="0"/>
      <w:divBdr>
        <w:top w:val="none" w:sz="0" w:space="0" w:color="auto"/>
        <w:left w:val="none" w:sz="0" w:space="0" w:color="auto"/>
        <w:bottom w:val="none" w:sz="0" w:space="0" w:color="auto"/>
        <w:right w:val="none" w:sz="0" w:space="0" w:color="auto"/>
      </w:divBdr>
    </w:div>
    <w:div w:id="1895849915">
      <w:bodyDiv w:val="1"/>
      <w:marLeft w:val="0"/>
      <w:marRight w:val="0"/>
      <w:marTop w:val="0"/>
      <w:marBottom w:val="0"/>
      <w:divBdr>
        <w:top w:val="none" w:sz="0" w:space="0" w:color="auto"/>
        <w:left w:val="none" w:sz="0" w:space="0" w:color="auto"/>
        <w:bottom w:val="none" w:sz="0" w:space="0" w:color="auto"/>
        <w:right w:val="none" w:sz="0" w:space="0" w:color="auto"/>
      </w:divBdr>
    </w:div>
    <w:div w:id="19968324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embeddedtechtrends.com/2016/PDF_Presentations/T11-Pentek.pdf"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914</Words>
  <Characters>5210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cp:lastModifiedBy>
  <cp:revision>4</cp:revision>
  <dcterms:created xsi:type="dcterms:W3CDTF">2016-09-07T12:05:00Z</dcterms:created>
  <dcterms:modified xsi:type="dcterms:W3CDTF">2016-09-07T14:19:00Z</dcterms:modified>
</cp:coreProperties>
</file>