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1BE7C8C3"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2F4E96E2" w:rsidR="00281643" w:rsidRPr="00920C1D" w:rsidRDefault="00920C1D" w:rsidP="00175B90">
            <w:pPr>
              <w:pStyle w:val="covertext"/>
              <w:rPr>
                <w:rFonts w:eastAsia="MS Mincho"/>
                <w:b/>
                <w:lang w:eastAsia="ja-JP"/>
              </w:rPr>
            </w:pPr>
            <w:r>
              <w:rPr>
                <w:rFonts w:ascii="맑은 고딕" w:eastAsia="맑은 고딕" w:hAnsi="맑은 고딕" w:cs="맑은 고딕" w:hint="eastAsia"/>
                <w:b/>
              </w:rPr>
              <w:t xml:space="preserve">MIH </w:t>
            </w:r>
            <w:r>
              <w:rPr>
                <w:rFonts w:ascii="맑은 고딕" w:eastAsia="맑은 고딕" w:hAnsi="맑은 고딕" w:cs="맑은 고딕"/>
                <w:b/>
              </w:rPr>
              <w:t>for VR Content based HMD</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41280BC5" w:rsidR="00281643" w:rsidRPr="001747DF" w:rsidRDefault="00944453" w:rsidP="00401735">
            <w:pPr>
              <w:pStyle w:val="covertext"/>
              <w:rPr>
                <w:b/>
              </w:rPr>
            </w:pPr>
            <w:r>
              <w:rPr>
                <w:rFonts w:ascii="Verdana" w:hAnsi="Verdana"/>
                <w:b/>
                <w:bCs/>
                <w:color w:val="000000"/>
                <w:sz w:val="20"/>
                <w:szCs w:val="20"/>
                <w:shd w:val="clear" w:color="auto" w:fill="FFFFFF"/>
              </w:rPr>
              <w:t>21-16-0097-00-0000</w:t>
            </w:r>
            <w:bookmarkStart w:id="0" w:name="_GoBack"/>
            <w:bookmarkEnd w:id="0"/>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1126D425" w:rsidR="00281643" w:rsidRPr="001747DF" w:rsidRDefault="00D14B26" w:rsidP="00175B90">
            <w:pPr>
              <w:pStyle w:val="covertext"/>
              <w:rPr>
                <w:b/>
              </w:rPr>
            </w:pPr>
            <w:r>
              <w:rPr>
                <w:rFonts w:hint="eastAsia"/>
                <w:b/>
              </w:rPr>
              <w:t>Aug</w:t>
            </w:r>
            <w:r w:rsidR="00B558AA">
              <w:rPr>
                <w:rFonts w:hint="eastAsia"/>
                <w:b/>
              </w:rPr>
              <w:t xml:space="preserve"> </w:t>
            </w:r>
            <w:r w:rsidR="00E41AB5">
              <w:rPr>
                <w:rFonts w:eastAsia="MS Mincho"/>
                <w:b/>
                <w:lang w:eastAsia="ja-JP"/>
              </w:rPr>
              <w:t>25</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C66FC13" w14:textId="0288B0EE" w:rsidR="00641221" w:rsidRDefault="00641221" w:rsidP="001066E3">
            <w:pPr>
              <w:pStyle w:val="covertext"/>
              <w:rPr>
                <w:rFonts w:eastAsia="MS Mincho"/>
                <w:lang w:eastAsia="ja-JP"/>
              </w:rPr>
            </w:pPr>
            <w:r>
              <w:rPr>
                <w:rFonts w:eastAsia="MS Mincho"/>
                <w:lang w:eastAsia="ja-JP"/>
              </w:rPr>
              <w:t xml:space="preserve">Sangkwon Peter Jeong, Gookhwan Lee, Hyunsam </w:t>
            </w:r>
            <w:r w:rsidR="00CB0BA0">
              <w:rPr>
                <w:rFonts w:eastAsia="MS Mincho"/>
                <w:lang w:eastAsia="ja-JP"/>
              </w:rPr>
              <w:t>Kang</w:t>
            </w:r>
            <w:r>
              <w:rPr>
                <w:rFonts w:eastAsia="MS Mincho"/>
                <w:lang w:eastAsia="ja-JP"/>
              </w:rPr>
              <w:t xml:space="preserve"> </w:t>
            </w:r>
            <w:r w:rsidR="00B558AA">
              <w:rPr>
                <w:rFonts w:eastAsia="MS Mincho" w:hint="eastAsia"/>
                <w:lang w:eastAsia="ja-JP"/>
              </w:rPr>
              <w:t>(</w:t>
            </w:r>
            <w:r>
              <w:rPr>
                <w:rFonts w:eastAsia="MS Mincho"/>
                <w:lang w:eastAsia="ja-JP"/>
              </w:rPr>
              <w:t>JoyFun</w:t>
            </w:r>
            <w:r w:rsidR="00D14B26">
              <w:rPr>
                <w:rFonts w:eastAsia="MS Mincho"/>
                <w:lang w:eastAsia="ja-JP"/>
              </w:rPr>
              <w:t xml:space="preserve"> Inc.,)</w:t>
            </w:r>
          </w:p>
          <w:p w14:paraId="12513C04" w14:textId="0A15F4F8" w:rsidR="005A4208" w:rsidRDefault="00D14B26" w:rsidP="00D14B26">
            <w:pPr>
              <w:pStyle w:val="covertext"/>
              <w:rPr>
                <w:rFonts w:eastAsia="MS Mincho"/>
                <w:lang w:eastAsia="ja-JP"/>
              </w:rPr>
            </w:pPr>
            <w:r>
              <w:rPr>
                <w:rFonts w:eastAsia="MS Mincho"/>
                <w:lang w:eastAsia="ja-JP"/>
              </w:rPr>
              <w:t xml:space="preserve">Heeseob Lee </w:t>
            </w:r>
            <w:r>
              <w:rPr>
                <w:rFonts w:eastAsia="MS Mincho" w:hint="eastAsia"/>
                <w:lang w:eastAsia="ja-JP"/>
              </w:rPr>
              <w:t>(</w:t>
            </w:r>
            <w:r>
              <w:rPr>
                <w:rFonts w:eastAsia="MS Mincho"/>
                <w:lang w:eastAsia="ja-JP"/>
              </w:rPr>
              <w:t>SecuAce</w:t>
            </w:r>
            <w:r>
              <w:rPr>
                <w:rFonts w:eastAsia="MS Mincho" w:hint="eastAsia"/>
                <w:lang w:eastAsia="ja-JP"/>
              </w:rPr>
              <w:t>)</w:t>
            </w:r>
          </w:p>
          <w:p w14:paraId="1001291E" w14:textId="77777777" w:rsidR="002A19CC" w:rsidRDefault="00D14B26" w:rsidP="00D14B26">
            <w:pPr>
              <w:pStyle w:val="covertext"/>
              <w:rPr>
                <w:rFonts w:eastAsia="MS Mincho"/>
                <w:lang w:eastAsia="ja-JP"/>
              </w:rPr>
            </w:pPr>
            <w:r>
              <w:rPr>
                <w:rFonts w:eastAsia="MS Mincho"/>
                <w:lang w:eastAsia="ja-JP"/>
              </w:rPr>
              <w:t>Changhwa Lyou (Seeroo Infomation)</w:t>
            </w:r>
          </w:p>
          <w:p w14:paraId="649CAD2B" w14:textId="740BD1E6" w:rsidR="005A4208" w:rsidRPr="005A4208" w:rsidRDefault="005A4208" w:rsidP="00D14B26">
            <w:pPr>
              <w:pStyle w:val="covertext"/>
              <w:rPr>
                <w:rFonts w:eastAsia="MS Mincho"/>
                <w:lang w:eastAsia="ja-JP"/>
              </w:rPr>
            </w:pPr>
            <w:r>
              <w:rPr>
                <w:rFonts w:ascii="맑은 고딕" w:eastAsia="맑은 고딕" w:hAnsi="맑은 고딕" w:cs="맑은 고딕" w:hint="eastAsia"/>
              </w:rPr>
              <w:t>J</w:t>
            </w:r>
            <w:r>
              <w:rPr>
                <w:rFonts w:ascii="맑은 고딕" w:eastAsia="맑은 고딕" w:hAnsi="맑은 고딕" w:cs="맑은 고딕"/>
              </w:rPr>
              <w:t>unghun Kim (TTA)</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66534057" w:rsidR="00281643" w:rsidRPr="00F473D8" w:rsidRDefault="00431E6F" w:rsidP="00D14B26">
            <w:pPr>
              <w:pStyle w:val="covertext"/>
              <w:rPr>
                <w:rFonts w:eastAsia="MS Mincho"/>
                <w:lang w:val="en-GB" w:eastAsia="ja-JP"/>
              </w:rPr>
            </w:pPr>
            <w:r>
              <w:rPr>
                <w:rFonts w:eastAsia="MS Mincho" w:hint="eastAsia"/>
                <w:lang w:val="en-GB" w:eastAsia="ja-JP"/>
              </w:rPr>
              <w:t>Session #</w:t>
            </w:r>
            <w:r w:rsidR="00641221">
              <w:rPr>
                <w:rFonts w:eastAsia="MS Mincho" w:hint="eastAsia"/>
                <w:lang w:val="en-GB" w:eastAsia="ja-JP"/>
              </w:rPr>
              <w:t>7</w:t>
            </w:r>
            <w:r w:rsidR="00D14B26">
              <w:rPr>
                <w:rFonts w:eastAsia="MS Mincho"/>
                <w:lang w:val="en-GB" w:eastAsia="ja-JP"/>
              </w:rPr>
              <w:t>6</w:t>
            </w:r>
            <w:r>
              <w:rPr>
                <w:rFonts w:eastAsia="MS Mincho"/>
                <w:lang w:val="en-GB" w:eastAsia="ja-JP"/>
              </w:rPr>
              <w:t xml:space="preserve">, </w:t>
            </w:r>
            <w:r w:rsidR="00D14B26">
              <w:rPr>
                <w:rFonts w:ascii="맑은 고딕" w:eastAsia="맑은 고딕" w:hAnsi="맑은 고딕" w:cs="맑은 고딕"/>
                <w:lang w:val="en-GB"/>
              </w:rPr>
              <w:t>Warsaw</w:t>
            </w:r>
            <w:r w:rsidR="00641221">
              <w:rPr>
                <w:rFonts w:eastAsia="MS Mincho"/>
                <w:lang w:val="en-GB" w:eastAsia="ja-JP"/>
              </w:rPr>
              <w:t xml:space="preserve">, </w:t>
            </w:r>
            <w:r w:rsidR="00D14B26">
              <w:rPr>
                <w:rFonts w:eastAsia="MS Mincho"/>
                <w:lang w:val="en-GB" w:eastAsia="ja-JP"/>
              </w:rPr>
              <w:t>Poland</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040D126A" w:rsidR="00476CEE" w:rsidRPr="00697DC5" w:rsidRDefault="00697DC5" w:rsidP="00697DC5">
            <w:pPr>
              <w:widowControl w:val="0"/>
              <w:tabs>
                <w:tab w:val="clear" w:pos="284"/>
              </w:tabs>
              <w:autoSpaceDE w:val="0"/>
              <w:autoSpaceDN w:val="0"/>
              <w:snapToGrid w:val="0"/>
              <w:spacing w:after="120"/>
              <w:jc w:val="both"/>
              <w:textAlignment w:val="baseline"/>
              <w:rPr>
                <w:rFonts w:ascii="Times New Roman" w:eastAsia="굴림" w:hAnsi="굴림" w:cs="굴림"/>
                <w:color w:val="000000"/>
                <w:sz w:val="20"/>
                <w:szCs w:val="20"/>
                <w:lang w:val="en-US"/>
              </w:rPr>
            </w:pPr>
            <w:r w:rsidRPr="00697DC5">
              <w:rPr>
                <w:rFonts w:ascii="Times New Roman" w:eastAsiaTheme="minorEastAsia" w:hAnsi="Times New Roman"/>
                <w:sz w:val="20"/>
                <w:lang w:val="en-US" w:bidi="he-IL"/>
              </w:rPr>
              <w:t>This document suggests utilizing MIHF to prevent Data Packet Losses that happens when Vertical Handover takes place from faster mobile communication environment like IMT-2020 to much slower mobile communication environment.</w:t>
            </w:r>
          </w:p>
        </w:tc>
      </w:tr>
      <w:tr w:rsidR="00281643" w:rsidRPr="001747DF" w14:paraId="53DE8B12" w14:textId="77777777" w:rsidTr="00201002">
        <w:tc>
          <w:tcPr>
            <w:tcW w:w="1350" w:type="dxa"/>
          </w:tcPr>
          <w:p w14:paraId="0D776EFD" w14:textId="4EA26FEF" w:rsidR="00281643" w:rsidRPr="001747DF" w:rsidRDefault="00281643" w:rsidP="00201002">
            <w:pPr>
              <w:pStyle w:val="covertext"/>
            </w:pPr>
            <w:r w:rsidRPr="001747DF">
              <w:t>Purpose</w:t>
            </w:r>
          </w:p>
        </w:tc>
        <w:tc>
          <w:tcPr>
            <w:tcW w:w="9018" w:type="dxa"/>
          </w:tcPr>
          <w:p w14:paraId="39E9A7FE" w14:textId="086ABADB" w:rsidR="00281643" w:rsidRPr="006A4C7D" w:rsidRDefault="001066E3" w:rsidP="001066E3">
            <w:pPr>
              <w:pStyle w:val="covertext"/>
              <w:jc w:val="both"/>
              <w:rPr>
                <w:sz w:val="20"/>
              </w:rPr>
            </w:pPr>
            <w:r w:rsidRPr="006A4C7D">
              <w:rPr>
                <w:sz w:val="20"/>
              </w:rPr>
              <w:t>P</w:t>
            </w:r>
            <w:r w:rsidR="003748DC" w:rsidRPr="006A4C7D">
              <w:rPr>
                <w:sz w:val="20"/>
              </w:rPr>
              <w:t>ropos</w:t>
            </w:r>
            <w:r w:rsidRPr="006A4C7D">
              <w:rPr>
                <w:sz w:val="20"/>
              </w:rPr>
              <w:t>e to new use case</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FBE5CDD"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bookmarkStart w:id="1" w:name="_Toc445127122"/>
    </w:p>
    <w:p w14:paraId="294FE1C8"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77EC88F"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F288367"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73FE128B"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C4BB1D6"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57899A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6454E8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3D5F31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3E9956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AEF7A1B"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D2BAF4A"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26791EB8"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6D82C0A" w14:textId="47C2C17A" w:rsidR="009F3823" w:rsidRPr="00D14B26" w:rsidRDefault="00D14B26" w:rsidP="00D14B26">
      <w:pPr>
        <w:pStyle w:val="a5"/>
        <w:spacing w:line="360" w:lineRule="auto"/>
        <w:ind w:leftChars="0" w:left="0"/>
        <w:jc w:val="center"/>
        <w:rPr>
          <w:rFonts w:ascii="Times New Roman" w:eastAsia="맑은 고딕" w:hAnsi="Times New Roman"/>
          <w:noProof/>
          <w:szCs w:val="20"/>
          <w:lang w:val="en-US"/>
        </w:rPr>
      </w:pPr>
      <w:r w:rsidRPr="00D14B26">
        <w:rPr>
          <w:rFonts w:ascii="Times New Roman" w:eastAsia="맑은 고딕" w:hAnsi="Times New Roman"/>
          <w:noProof/>
          <w:szCs w:val="20"/>
          <w:lang w:val="en-US"/>
        </w:rPr>
        <w:t xml:space="preserve">&lt; </w:t>
      </w:r>
      <w:r w:rsidR="009F3823" w:rsidRPr="00D14B26">
        <w:rPr>
          <w:rFonts w:ascii="Times New Roman" w:eastAsia="맑은 고딕" w:hAnsi="Times New Roman" w:hint="eastAsia"/>
          <w:noProof/>
          <w:szCs w:val="20"/>
          <w:lang w:val="en-US"/>
        </w:rPr>
        <w:t>I</w:t>
      </w:r>
      <w:r w:rsidR="009F3823" w:rsidRPr="00D14B26">
        <w:rPr>
          <w:rFonts w:ascii="Times New Roman" w:eastAsia="맑은 고딕" w:hAnsi="Times New Roman"/>
          <w:noProof/>
          <w:szCs w:val="20"/>
          <w:lang w:val="en-US"/>
        </w:rPr>
        <w:t xml:space="preserve">MT-2020 vs </w:t>
      </w:r>
      <w:r w:rsidRPr="00D14B26">
        <w:rPr>
          <w:rFonts w:ascii="Times New Roman" w:eastAsia="맑은 고딕" w:hAnsi="Times New Roman"/>
          <w:noProof/>
          <w:szCs w:val="20"/>
          <w:lang w:val="en-US"/>
        </w:rPr>
        <w:t xml:space="preserve">WLAN vs </w:t>
      </w:r>
      <w:r w:rsidR="009F3823" w:rsidRPr="00D14B26">
        <w:rPr>
          <w:rFonts w:ascii="Times New Roman" w:eastAsia="맑은 고딕" w:hAnsi="Times New Roman"/>
          <w:noProof/>
          <w:szCs w:val="20"/>
          <w:lang w:val="en-US"/>
        </w:rPr>
        <w:t>IMT-Advance</w:t>
      </w:r>
      <w:r w:rsidR="00F02F76" w:rsidRPr="00D14B26">
        <w:rPr>
          <w:rFonts w:ascii="Times New Roman" w:eastAsia="맑은 고딕" w:hAnsi="Times New Roman"/>
          <w:noProof/>
          <w:szCs w:val="20"/>
          <w:lang w:val="en-US"/>
        </w:rPr>
        <w:t>d</w:t>
      </w:r>
      <w:r>
        <w:rPr>
          <w:rFonts w:ascii="Times New Roman" w:eastAsia="맑은 고딕" w:hAnsi="Times New Roman"/>
          <w:noProof/>
          <w:szCs w:val="20"/>
          <w:lang w:val="en-US"/>
        </w:rPr>
        <w:t>&gt;</w:t>
      </w:r>
    </w:p>
    <w:tbl>
      <w:tblPr>
        <w:tblStyle w:val="ab"/>
        <w:tblW w:w="0" w:type="auto"/>
        <w:tblLook w:val="04A0" w:firstRow="1" w:lastRow="0" w:firstColumn="1" w:lastColumn="0" w:noHBand="0" w:noVBand="1"/>
      </w:tblPr>
      <w:tblGrid>
        <w:gridCol w:w="2222"/>
        <w:gridCol w:w="2223"/>
        <w:gridCol w:w="2222"/>
        <w:gridCol w:w="2223"/>
      </w:tblGrid>
      <w:tr w:rsidR="007A4CEB" w14:paraId="4A61A417" w14:textId="77777777" w:rsidTr="00D14B26">
        <w:trPr>
          <w:trHeight w:hRule="exact" w:val="546"/>
        </w:trPr>
        <w:tc>
          <w:tcPr>
            <w:tcW w:w="2222" w:type="dxa"/>
            <w:shd w:val="clear" w:color="auto" w:fill="D9D9D9" w:themeFill="background1" w:themeFillShade="D9"/>
            <w:vAlign w:val="center"/>
          </w:tcPr>
          <w:p w14:paraId="7A57AEB4" w14:textId="77777777"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p>
        </w:tc>
        <w:tc>
          <w:tcPr>
            <w:tcW w:w="2223" w:type="dxa"/>
            <w:shd w:val="clear" w:color="auto" w:fill="D9D9D9" w:themeFill="background1" w:themeFillShade="D9"/>
            <w:vAlign w:val="center"/>
          </w:tcPr>
          <w:p w14:paraId="10D635F8" w14:textId="07C54A8A"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IMT-Advanced</w:t>
            </w:r>
          </w:p>
        </w:tc>
        <w:tc>
          <w:tcPr>
            <w:tcW w:w="2222" w:type="dxa"/>
            <w:shd w:val="clear" w:color="auto" w:fill="D9D9D9" w:themeFill="background1" w:themeFillShade="D9"/>
            <w:vAlign w:val="center"/>
          </w:tcPr>
          <w:p w14:paraId="06D8C239" w14:textId="7B28F2B2" w:rsidR="007A4CEB" w:rsidRPr="00D14B26" w:rsidRDefault="00F85CAA" w:rsidP="007A4CEB">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WLAN</w:t>
            </w:r>
            <w:r w:rsidRPr="00D14B26">
              <w:rPr>
                <w:rFonts w:ascii="Times New Roman" w:eastAsia="맑은 고딕" w:hAnsi="Times New Roman" w:hint="eastAsia"/>
                <w:noProof/>
                <w:sz w:val="20"/>
                <w:szCs w:val="20"/>
                <w:lang w:val="en-US"/>
              </w:rPr>
              <w:t>(</w:t>
            </w:r>
            <w:r w:rsidR="007A4CEB" w:rsidRPr="00D14B26">
              <w:rPr>
                <w:rFonts w:ascii="Times New Roman" w:eastAsia="맑은 고딕" w:hAnsi="Times New Roman" w:hint="eastAsia"/>
                <w:noProof/>
                <w:sz w:val="20"/>
                <w:szCs w:val="20"/>
                <w:lang w:val="en-US"/>
              </w:rPr>
              <w:t>802.11</w:t>
            </w:r>
            <w:r w:rsidR="00123770" w:rsidRPr="00D14B26">
              <w:rPr>
                <w:rFonts w:ascii="Times New Roman" w:eastAsia="맑은 고딕" w:hAnsi="Times New Roman"/>
                <w:noProof/>
                <w:sz w:val="20"/>
                <w:szCs w:val="20"/>
                <w:lang w:val="en-US"/>
              </w:rPr>
              <w:t>ac</w:t>
            </w:r>
            <w:r w:rsidRPr="00D14B26">
              <w:rPr>
                <w:rFonts w:ascii="Times New Roman" w:eastAsia="맑은 고딕" w:hAnsi="Times New Roman"/>
                <w:noProof/>
                <w:sz w:val="20"/>
                <w:szCs w:val="20"/>
                <w:lang w:val="en-US"/>
              </w:rPr>
              <w:t>)</w:t>
            </w:r>
          </w:p>
        </w:tc>
        <w:tc>
          <w:tcPr>
            <w:tcW w:w="2223" w:type="dxa"/>
            <w:shd w:val="clear" w:color="auto" w:fill="D9D9D9" w:themeFill="background1" w:themeFillShade="D9"/>
            <w:vAlign w:val="center"/>
          </w:tcPr>
          <w:p w14:paraId="04E117FB" w14:textId="1E1E2E09"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IMT-2020</w:t>
            </w:r>
          </w:p>
        </w:tc>
      </w:tr>
      <w:tr w:rsidR="007A4CEB" w14:paraId="2A4D7A67" w14:textId="77777777" w:rsidTr="00D14B26">
        <w:trPr>
          <w:trHeight w:hRule="exact" w:val="426"/>
        </w:trPr>
        <w:tc>
          <w:tcPr>
            <w:tcW w:w="2222" w:type="dxa"/>
            <w:shd w:val="clear" w:color="auto" w:fill="D9D9D9" w:themeFill="background1" w:themeFillShade="D9"/>
            <w:vAlign w:val="center"/>
          </w:tcPr>
          <w:p w14:paraId="1EE0F121" w14:textId="10F10942"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Peak data rate</w:t>
            </w:r>
          </w:p>
        </w:tc>
        <w:tc>
          <w:tcPr>
            <w:tcW w:w="2223" w:type="dxa"/>
            <w:vAlign w:val="center"/>
          </w:tcPr>
          <w:p w14:paraId="368F529C" w14:textId="71B3EA25"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 Gbps</w:t>
            </w:r>
          </w:p>
        </w:tc>
        <w:tc>
          <w:tcPr>
            <w:tcW w:w="2222" w:type="dxa"/>
            <w:vAlign w:val="center"/>
          </w:tcPr>
          <w:p w14:paraId="72AD7305" w14:textId="3A82C116" w:rsidR="007A4CEB" w:rsidRPr="00D14B26" w:rsidRDefault="00123770" w:rsidP="007A4CEB">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7Gbps</w:t>
            </w:r>
          </w:p>
        </w:tc>
        <w:tc>
          <w:tcPr>
            <w:tcW w:w="2223" w:type="dxa"/>
            <w:vAlign w:val="center"/>
          </w:tcPr>
          <w:p w14:paraId="3360F96C" w14:textId="330C1C7B"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20 Gbps</w:t>
            </w:r>
          </w:p>
        </w:tc>
      </w:tr>
      <w:tr w:rsidR="007A4CEB" w14:paraId="2668A821" w14:textId="77777777" w:rsidTr="00D14B26">
        <w:trPr>
          <w:trHeight w:hRule="exact" w:val="843"/>
        </w:trPr>
        <w:tc>
          <w:tcPr>
            <w:tcW w:w="2222" w:type="dxa"/>
            <w:shd w:val="clear" w:color="auto" w:fill="D9D9D9" w:themeFill="background1" w:themeFillShade="D9"/>
            <w:vAlign w:val="center"/>
          </w:tcPr>
          <w:p w14:paraId="795D96E8" w14:textId="0DECC04D"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User experienced data rate</w:t>
            </w:r>
          </w:p>
        </w:tc>
        <w:tc>
          <w:tcPr>
            <w:tcW w:w="2223" w:type="dxa"/>
            <w:vAlign w:val="center"/>
          </w:tcPr>
          <w:p w14:paraId="14FDF87C" w14:textId="77777777" w:rsidR="00123770"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w:t>
            </w:r>
          </w:p>
          <w:p w14:paraId="16734C27" w14:textId="35FBB93C" w:rsidR="007A4CEB" w:rsidRPr="00D14B26" w:rsidRDefault="00123770"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2" w:type="dxa"/>
            <w:vAlign w:val="center"/>
          </w:tcPr>
          <w:p w14:paraId="22AFB9CD" w14:textId="77777777" w:rsidR="007A4CEB" w:rsidRPr="00D14B26" w:rsidRDefault="00123770" w:rsidP="007A4CEB">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300Mpbs</w:t>
            </w:r>
          </w:p>
          <w:p w14:paraId="3F8C8EB0" w14:textId="54F4A137" w:rsidR="00123770" w:rsidRPr="00D14B26" w:rsidRDefault="00123770" w:rsidP="007A4CEB">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3" w:type="dxa"/>
            <w:vAlign w:val="center"/>
          </w:tcPr>
          <w:p w14:paraId="603D3009" w14:textId="01D766BA"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100 Mbps (urban/suburban), 1Gbps (hotspots)</w:t>
            </w:r>
          </w:p>
        </w:tc>
      </w:tr>
      <w:tr w:rsidR="007A4CEB" w14:paraId="62FA1A47" w14:textId="77777777" w:rsidTr="00D14B26">
        <w:trPr>
          <w:trHeight w:val="410"/>
        </w:trPr>
        <w:tc>
          <w:tcPr>
            <w:tcW w:w="2222" w:type="dxa"/>
            <w:shd w:val="clear" w:color="auto" w:fill="D9D9D9" w:themeFill="background1" w:themeFillShade="D9"/>
            <w:vAlign w:val="center"/>
          </w:tcPr>
          <w:p w14:paraId="1806D22F" w14:textId="2CC80693"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Mobility</w:t>
            </w:r>
          </w:p>
        </w:tc>
        <w:tc>
          <w:tcPr>
            <w:tcW w:w="2223" w:type="dxa"/>
            <w:vAlign w:val="center"/>
          </w:tcPr>
          <w:p w14:paraId="58BA0088" w14:textId="545679B4"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350 Km/h</w:t>
            </w:r>
          </w:p>
        </w:tc>
        <w:tc>
          <w:tcPr>
            <w:tcW w:w="2222" w:type="dxa"/>
            <w:vAlign w:val="center"/>
          </w:tcPr>
          <w:p w14:paraId="50932230" w14:textId="41F21582" w:rsidR="007A4CEB" w:rsidRPr="00D14B26" w:rsidRDefault="00123770" w:rsidP="007A4CEB">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72B348BB" w14:textId="485DC674"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500 Km/h</w:t>
            </w:r>
          </w:p>
        </w:tc>
      </w:tr>
      <w:tr w:rsidR="007A4CEB" w14:paraId="5F1DBDE4" w14:textId="77777777" w:rsidTr="00D14B26">
        <w:trPr>
          <w:trHeight w:val="416"/>
        </w:trPr>
        <w:tc>
          <w:tcPr>
            <w:tcW w:w="2222" w:type="dxa"/>
            <w:shd w:val="clear" w:color="auto" w:fill="D9D9D9" w:themeFill="background1" w:themeFillShade="D9"/>
            <w:vAlign w:val="center"/>
          </w:tcPr>
          <w:p w14:paraId="2FCF08CF" w14:textId="68A186FA"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Area traffic capacity</w:t>
            </w:r>
          </w:p>
        </w:tc>
        <w:tc>
          <w:tcPr>
            <w:tcW w:w="2223" w:type="dxa"/>
            <w:vAlign w:val="center"/>
          </w:tcPr>
          <w:p w14:paraId="3491C012" w14:textId="2B17C5F4"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0.1 Mbps/ m2</w:t>
            </w:r>
          </w:p>
        </w:tc>
        <w:tc>
          <w:tcPr>
            <w:tcW w:w="2222" w:type="dxa"/>
            <w:vAlign w:val="center"/>
          </w:tcPr>
          <w:p w14:paraId="07049B27" w14:textId="2E7BE916" w:rsidR="007A4CEB" w:rsidRPr="00D14B26" w:rsidRDefault="002A166A" w:rsidP="007A4CEB">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56824855" w14:textId="02A4CACC" w:rsidR="007A4CEB" w:rsidRPr="00D14B26" w:rsidRDefault="007A4CEB" w:rsidP="008003AD">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 m2</w:t>
            </w:r>
          </w:p>
        </w:tc>
      </w:tr>
    </w:tbl>
    <w:p w14:paraId="141A45CB" w14:textId="30D4B107" w:rsidR="00697DC5" w:rsidRPr="00697DC5" w:rsidRDefault="00697DC5" w:rsidP="00697DC5">
      <w:pPr>
        <w:pStyle w:val="IEEEStdsImage"/>
        <w:spacing w:line="360" w:lineRule="auto"/>
        <w:contextualSpacing/>
        <w:jc w:val="both"/>
        <w:rPr>
          <w:noProof/>
          <w:lang w:eastAsia="ko-KR"/>
        </w:rPr>
      </w:pPr>
      <w:r w:rsidRPr="00697DC5">
        <w:rPr>
          <w:noProof/>
          <w:lang w:eastAsia="ko-KR"/>
        </w:rPr>
        <w:t xml:space="preserve">Generally, most contents and application services have an advantage that can service in a better condition if the transmission speed of network is fast, but there is no case that service is unavailable as the net speed is slow. </w:t>
      </w:r>
    </w:p>
    <w:p w14:paraId="4DC8640D" w14:textId="77777777" w:rsidR="00697DC5" w:rsidRPr="00697DC5" w:rsidRDefault="00697DC5" w:rsidP="00697DC5">
      <w:pPr>
        <w:pStyle w:val="IEEEStdsImage"/>
        <w:spacing w:line="360" w:lineRule="auto"/>
        <w:contextualSpacing/>
        <w:jc w:val="both"/>
        <w:rPr>
          <w:noProof/>
          <w:lang w:eastAsia="ko-KR"/>
        </w:rPr>
      </w:pPr>
      <w:r w:rsidRPr="00697DC5">
        <w:rPr>
          <w:noProof/>
          <w:lang w:eastAsia="ko-KR"/>
        </w:rPr>
        <w:t>However, Virtual Reality(VR) Service based on HMD become unavailable.</w:t>
      </w:r>
    </w:p>
    <w:p w14:paraId="26D88746" w14:textId="1F6FB6CE" w:rsidR="00697DC5" w:rsidRDefault="00697DC5" w:rsidP="00697DC5">
      <w:pPr>
        <w:pStyle w:val="IEEEStdsImage"/>
        <w:spacing w:line="360" w:lineRule="auto"/>
        <w:contextualSpacing/>
        <w:jc w:val="both"/>
        <w:rPr>
          <w:noProof/>
          <w:lang w:eastAsia="ko-KR"/>
        </w:rPr>
      </w:pPr>
      <w:r w:rsidRPr="00697DC5">
        <w:rPr>
          <w:noProof/>
          <w:lang w:eastAsia="ko-KR"/>
        </w:rPr>
        <w:t>In case of Google, VR service based on HMD requires the service environment at least higher than 4K UHD graphics resolution and faster than 90Frame video playback speed per seconds. To meet these requirements, mobile communication environment should ensure at least IMT-Advanced.</w:t>
      </w:r>
    </w:p>
    <w:p w14:paraId="6FA90271" w14:textId="77777777" w:rsidR="00697DC5" w:rsidRPr="00697DC5" w:rsidRDefault="00697DC5" w:rsidP="00697DC5">
      <w:pPr>
        <w:pStyle w:val="IEEEStdsImage"/>
        <w:spacing w:line="360" w:lineRule="auto"/>
        <w:contextualSpacing/>
        <w:jc w:val="both"/>
        <w:rPr>
          <w:noProof/>
          <w:lang w:eastAsia="ko-KR"/>
        </w:rPr>
      </w:pPr>
      <w:r w:rsidRPr="00697DC5">
        <w:rPr>
          <w:noProof/>
          <w:lang w:eastAsia="ko-KR"/>
        </w:rPr>
        <w:t>The mobile communication environments that can serve VR service based on HMD are limited to Wi-Fi, IMT-Advanced and IMT-2020. Most experts anticipate that IMT-2020 will be the optimum environment.</w:t>
      </w:r>
    </w:p>
    <w:p w14:paraId="12386B76" w14:textId="150D9157" w:rsidR="00697DC5" w:rsidRPr="00697DC5" w:rsidRDefault="00697DC5" w:rsidP="00697DC5">
      <w:pPr>
        <w:pStyle w:val="IEEEStdsImage"/>
        <w:spacing w:line="360" w:lineRule="auto"/>
        <w:contextualSpacing/>
        <w:jc w:val="both"/>
        <w:rPr>
          <w:noProof/>
          <w:lang w:eastAsia="ko-KR"/>
        </w:rPr>
      </w:pPr>
      <w:r w:rsidRPr="00697DC5">
        <w:rPr>
          <w:noProof/>
          <w:lang w:eastAsia="ko-KR"/>
        </w:rPr>
        <w:t>Therefore, in IEEE 802.21 WG, only six cases needs to be paid attention in the perspective of Verti</w:t>
      </w:r>
      <w:r>
        <w:rPr>
          <w:rFonts w:hint="eastAsia"/>
          <w:noProof/>
          <w:lang w:eastAsia="ko-KR"/>
        </w:rPr>
        <w:t>c</w:t>
      </w:r>
      <w:r w:rsidRPr="00697DC5">
        <w:rPr>
          <w:noProof/>
          <w:lang w:eastAsia="ko-KR"/>
        </w:rPr>
        <w:t xml:space="preserve">al Handover. </w:t>
      </w:r>
    </w:p>
    <w:p w14:paraId="3C830906" w14:textId="00707118" w:rsidR="007A4CEB" w:rsidRDefault="007A4CEB" w:rsidP="00697DC5">
      <w:pPr>
        <w:pStyle w:val="IEEEStdsImage"/>
        <w:spacing w:line="360" w:lineRule="auto"/>
        <w:ind w:leftChars="354" w:left="850"/>
        <w:contextualSpacing/>
        <w:jc w:val="left"/>
        <w:rPr>
          <w:noProof/>
          <w:lang w:eastAsia="ko-KR"/>
        </w:rPr>
      </w:pPr>
      <w:r>
        <w:rPr>
          <w:noProof/>
          <w:lang w:eastAsia="ko-KR"/>
        </w:rPr>
        <w:t xml:space="preserve">IMT-Advanced to </w:t>
      </w:r>
      <w:r>
        <w:rPr>
          <w:rFonts w:hint="eastAsia"/>
          <w:noProof/>
          <w:lang w:eastAsia="ko-KR"/>
        </w:rPr>
        <w:t>IMT-2020</w:t>
      </w:r>
    </w:p>
    <w:p w14:paraId="74AF5D63" w14:textId="1F3B27CE" w:rsidR="00F85CAA" w:rsidRPr="00F85CAA" w:rsidRDefault="00F85CAA" w:rsidP="00697DC5">
      <w:pPr>
        <w:pStyle w:val="IEEEStdsImage"/>
        <w:spacing w:line="360" w:lineRule="auto"/>
        <w:ind w:leftChars="354" w:left="850"/>
        <w:contextualSpacing/>
        <w:jc w:val="left"/>
        <w:rPr>
          <w:noProof/>
          <w:lang w:eastAsia="ko-KR"/>
        </w:rPr>
      </w:pPr>
      <w:r>
        <w:rPr>
          <w:noProof/>
          <w:lang w:eastAsia="ko-KR"/>
        </w:rPr>
        <w:t xml:space="preserve">WLAN to </w:t>
      </w:r>
      <w:r>
        <w:rPr>
          <w:rFonts w:hint="eastAsia"/>
          <w:noProof/>
          <w:lang w:eastAsia="ko-KR"/>
        </w:rPr>
        <w:t>IMT-2020</w:t>
      </w:r>
    </w:p>
    <w:p w14:paraId="60176924" w14:textId="4BDC3EA9" w:rsidR="007A4CEB" w:rsidRPr="007A4CEB" w:rsidRDefault="007A4CEB" w:rsidP="00697DC5">
      <w:pPr>
        <w:pStyle w:val="IEEEStdsImage"/>
        <w:spacing w:line="360" w:lineRule="auto"/>
        <w:ind w:leftChars="354" w:left="850"/>
        <w:contextualSpacing/>
        <w:jc w:val="left"/>
        <w:rPr>
          <w:noProof/>
          <w:lang w:eastAsia="ko-KR"/>
        </w:rPr>
      </w:pPr>
      <w:r>
        <w:rPr>
          <w:noProof/>
          <w:lang w:eastAsia="ko-KR"/>
        </w:rPr>
        <w:t>IMT-Advanced to</w:t>
      </w:r>
      <w:r w:rsidR="00F85CAA" w:rsidRPr="00F85CAA">
        <w:rPr>
          <w:noProof/>
          <w:lang w:eastAsia="ko-KR"/>
        </w:rPr>
        <w:t xml:space="preserve"> </w:t>
      </w:r>
      <w:r w:rsidR="00F85CAA">
        <w:rPr>
          <w:noProof/>
          <w:lang w:eastAsia="ko-KR"/>
        </w:rPr>
        <w:t>WLAN</w:t>
      </w:r>
    </w:p>
    <w:p w14:paraId="2E61A5EF" w14:textId="5ED53419" w:rsidR="007A4CEB" w:rsidRPr="007A4CEB" w:rsidRDefault="00F85CAA" w:rsidP="00697DC5">
      <w:pPr>
        <w:pStyle w:val="IEEEStdsImage"/>
        <w:spacing w:line="360" w:lineRule="auto"/>
        <w:ind w:leftChars="354" w:left="850"/>
        <w:contextualSpacing/>
        <w:jc w:val="left"/>
        <w:rPr>
          <w:noProof/>
          <w:lang w:eastAsia="ko-KR"/>
        </w:rPr>
      </w:pPr>
      <w:r>
        <w:rPr>
          <w:noProof/>
          <w:lang w:eastAsia="ko-KR"/>
        </w:rPr>
        <w:t>WLAN</w:t>
      </w:r>
      <w:r w:rsidR="007A4CEB">
        <w:rPr>
          <w:noProof/>
          <w:lang w:eastAsia="ko-KR"/>
        </w:rPr>
        <w:t xml:space="preserve"> to </w:t>
      </w:r>
      <w:r w:rsidR="007A4CEB">
        <w:rPr>
          <w:rFonts w:hint="eastAsia"/>
          <w:noProof/>
          <w:lang w:eastAsia="ko-KR"/>
        </w:rPr>
        <w:t>IMT-Advanced</w:t>
      </w:r>
    </w:p>
    <w:p w14:paraId="4380BFA3" w14:textId="0A79B664" w:rsidR="007A4CEB" w:rsidRDefault="007A4CEB" w:rsidP="00697DC5">
      <w:pPr>
        <w:pStyle w:val="IEEEStdsImage"/>
        <w:spacing w:line="360" w:lineRule="auto"/>
        <w:ind w:leftChars="354" w:left="850"/>
        <w:contextualSpacing/>
        <w:jc w:val="left"/>
        <w:rPr>
          <w:noProof/>
          <w:lang w:eastAsia="ko-KR"/>
        </w:rPr>
      </w:pPr>
      <w:r>
        <w:rPr>
          <w:rFonts w:hint="eastAsia"/>
          <w:noProof/>
          <w:lang w:eastAsia="ko-KR"/>
        </w:rPr>
        <w:t>IMT-2020</w:t>
      </w:r>
      <w:r>
        <w:rPr>
          <w:noProof/>
          <w:lang w:eastAsia="ko-KR"/>
        </w:rPr>
        <w:t xml:space="preserve"> to </w:t>
      </w:r>
      <w:r>
        <w:rPr>
          <w:rFonts w:hint="eastAsia"/>
          <w:noProof/>
          <w:lang w:eastAsia="ko-KR"/>
        </w:rPr>
        <w:t>IMT-Advan</w:t>
      </w:r>
      <w:r>
        <w:rPr>
          <w:noProof/>
          <w:lang w:eastAsia="ko-KR"/>
        </w:rPr>
        <w:t>c</w:t>
      </w:r>
      <w:r>
        <w:rPr>
          <w:rFonts w:hint="eastAsia"/>
          <w:noProof/>
          <w:lang w:eastAsia="ko-KR"/>
        </w:rPr>
        <w:t>ed</w:t>
      </w:r>
    </w:p>
    <w:p w14:paraId="647183CB" w14:textId="2671B30A" w:rsidR="007A4CEB" w:rsidRPr="007A4CEB" w:rsidRDefault="007A4CEB" w:rsidP="00697DC5">
      <w:pPr>
        <w:pStyle w:val="IEEEStdsImage"/>
        <w:spacing w:line="360" w:lineRule="auto"/>
        <w:ind w:leftChars="354" w:left="850"/>
        <w:contextualSpacing/>
        <w:jc w:val="left"/>
        <w:rPr>
          <w:noProof/>
          <w:lang w:eastAsia="ko-KR"/>
        </w:rPr>
      </w:pPr>
      <w:r>
        <w:rPr>
          <w:rFonts w:hint="eastAsia"/>
          <w:noProof/>
          <w:lang w:eastAsia="ko-KR"/>
        </w:rPr>
        <w:t>IMT-2020</w:t>
      </w:r>
      <w:r>
        <w:rPr>
          <w:noProof/>
          <w:lang w:eastAsia="ko-KR"/>
        </w:rPr>
        <w:t xml:space="preserve"> to </w:t>
      </w:r>
      <w:r w:rsidR="00F85CAA">
        <w:rPr>
          <w:noProof/>
          <w:lang w:eastAsia="ko-KR"/>
        </w:rPr>
        <w:t>WLAN</w:t>
      </w:r>
    </w:p>
    <w:p w14:paraId="7A56E075" w14:textId="77777777" w:rsidR="007A4CEB" w:rsidRPr="00697DC5" w:rsidRDefault="007A4CEB" w:rsidP="00697DC5">
      <w:pPr>
        <w:pStyle w:val="IEEEStdsParagraph"/>
        <w:spacing w:line="360" w:lineRule="auto"/>
        <w:contextualSpacing/>
        <w:rPr>
          <w:lang w:eastAsia="ko-KR"/>
        </w:rPr>
      </w:pPr>
    </w:p>
    <w:p w14:paraId="5D9F8EEE" w14:textId="63D4EA44" w:rsidR="00697DC5" w:rsidRDefault="00697DC5" w:rsidP="00697DC5">
      <w:pPr>
        <w:pStyle w:val="IEEEStdsImage"/>
        <w:spacing w:line="360" w:lineRule="auto"/>
        <w:contextualSpacing/>
        <w:jc w:val="both"/>
        <w:rPr>
          <w:noProof/>
          <w:lang w:eastAsia="ko-KR"/>
        </w:rPr>
      </w:pPr>
      <w:r w:rsidRPr="00697DC5">
        <w:rPr>
          <w:noProof/>
          <w:lang w:eastAsia="ko-KR"/>
        </w:rPr>
        <w:t xml:space="preserve">However, when Vertical Handover occurs from an environment with relatively slower data transfer speed to an environment with faster data transfer speed, there is no problem. Still, when an abrupt change in data transfer speed occurs, for example, Vertical Handover from IMT-2020 to IMT-Advanced, a communication environment with more than 10 times the speed of IMT-2020, severe problems emerge. Data process capacity is reduced to one-hundredth, resulting in sudden data packet losses. </w:t>
      </w:r>
    </w:p>
    <w:p w14:paraId="7A2C3021" w14:textId="0AD5C7F7" w:rsidR="00697DC5" w:rsidRPr="00697DC5" w:rsidRDefault="00697DC5" w:rsidP="00697DC5">
      <w:pPr>
        <w:pStyle w:val="IEEEStdsImage"/>
        <w:spacing w:line="360" w:lineRule="auto"/>
        <w:contextualSpacing/>
        <w:jc w:val="both"/>
        <w:rPr>
          <w:noProof/>
          <w:lang w:eastAsia="ko-KR"/>
        </w:rPr>
      </w:pPr>
      <w:r w:rsidRPr="00697DC5">
        <w:rPr>
          <w:noProof/>
          <w:lang w:eastAsia="ko-KR"/>
        </w:rPr>
        <w:t>In this situation, connection to Wireless Internet can be meaningless.</w:t>
      </w:r>
    </w:p>
    <w:p w14:paraId="7EC71D5C" w14:textId="76598CC8" w:rsidR="00D625DE" w:rsidRDefault="00D14B26" w:rsidP="00697DC5">
      <w:pPr>
        <w:pStyle w:val="IEEEStdsImage"/>
        <w:spacing w:line="360" w:lineRule="auto"/>
        <w:contextualSpacing/>
        <w:jc w:val="left"/>
        <w:rPr>
          <w:noProof/>
          <w:lang w:eastAsia="ko-KR"/>
        </w:rPr>
      </w:pPr>
      <w:r>
        <w:rPr>
          <w:noProof/>
          <w:lang w:eastAsia="ko-KR"/>
        </w:rPr>
        <w:drawing>
          <wp:inline distT="0" distB="0" distL="0" distR="0" wp14:anchorId="520DBFDF" wp14:editId="24B4114D">
            <wp:extent cx="5625877" cy="1503680"/>
            <wp:effectExtent l="0" t="0" r="0" b="0"/>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3598" cy="1511089"/>
                    </a:xfrm>
                    <a:prstGeom prst="rect">
                      <a:avLst/>
                    </a:prstGeom>
                    <a:noFill/>
                  </pic:spPr>
                </pic:pic>
              </a:graphicData>
            </a:graphic>
          </wp:inline>
        </w:drawing>
      </w:r>
    </w:p>
    <w:p w14:paraId="647ACF50" w14:textId="77777777" w:rsidR="00D14B26" w:rsidRPr="00D14B26" w:rsidRDefault="00D14B26" w:rsidP="00697DC5">
      <w:pPr>
        <w:pStyle w:val="IEEEStdsParagraph"/>
        <w:spacing w:line="360" w:lineRule="auto"/>
        <w:contextualSpacing/>
        <w:rPr>
          <w:lang w:eastAsia="ko-KR"/>
        </w:rPr>
      </w:pPr>
    </w:p>
    <w:p w14:paraId="351C5783" w14:textId="00CB9765" w:rsidR="00697DC5" w:rsidRDefault="00697DC5" w:rsidP="008B651F">
      <w:pPr>
        <w:pStyle w:val="IEEEStdsImage"/>
        <w:spacing w:line="360" w:lineRule="auto"/>
        <w:contextualSpacing/>
        <w:jc w:val="both"/>
        <w:rPr>
          <w:noProof/>
          <w:lang w:eastAsia="ko-KR"/>
        </w:rPr>
      </w:pPr>
      <w:r w:rsidRPr="00697DC5">
        <w:rPr>
          <w:noProof/>
          <w:lang w:eastAsia="ko-KR"/>
        </w:rPr>
        <w:lastRenderedPageBreak/>
        <w:t xml:space="preserve">Therefore, when Virtical Handover happens from the IMT-2020 environment to IMT-Advanced or WLAN, to prevent Packet damage occurred from rapid change of Data Rate and Capacity, it is meaningful to make the change of Data Rate and Capacity smooth by using MIHF(Media Independent Handover Function). </w:t>
      </w:r>
    </w:p>
    <w:p w14:paraId="65745E9D" w14:textId="77777777" w:rsidR="008B651F" w:rsidRPr="00697DC5" w:rsidRDefault="008B651F" w:rsidP="008B651F">
      <w:pPr>
        <w:pStyle w:val="IEEEStdsImage"/>
        <w:spacing w:line="360" w:lineRule="auto"/>
        <w:contextualSpacing/>
        <w:jc w:val="both"/>
        <w:rPr>
          <w:noProof/>
          <w:lang w:eastAsia="ko-KR"/>
        </w:rPr>
      </w:pPr>
      <w:r w:rsidRPr="00697DC5">
        <w:rPr>
          <w:noProof/>
          <w:lang w:eastAsia="ko-KR"/>
        </w:rPr>
        <w:t>Once the final speed has been reduced, the data transfer speed is adjusted with respect to the initial speed. Then, MIHF only has to intervene at the time of data change occurs. Thereafter, only thorough data packet management is needed to provide smooth VR services.</w:t>
      </w:r>
    </w:p>
    <w:p w14:paraId="6C8A1C7A" w14:textId="77777777" w:rsidR="008B651F" w:rsidRDefault="008B651F" w:rsidP="008B651F">
      <w:pPr>
        <w:pStyle w:val="IEEEStdsImage"/>
        <w:spacing w:line="360" w:lineRule="auto"/>
        <w:contextualSpacing/>
        <w:jc w:val="both"/>
        <w:rPr>
          <w:noProof/>
          <w:lang w:eastAsia="ko-KR"/>
        </w:rPr>
      </w:pPr>
      <w:r w:rsidRPr="008B651F">
        <w:rPr>
          <w:noProof/>
          <w:lang w:eastAsia="ko-KR"/>
        </w:rPr>
        <w:t>MIHF only takes charge of command control and not directly controls packet data. Therefore, make a setting to control packet data by utilizing MIHF. Consequently enable to control if the speed of the network is reduced below a certain level.</w:t>
      </w:r>
    </w:p>
    <w:p w14:paraId="41CD65FC" w14:textId="5431DC92" w:rsidR="008B651F" w:rsidRDefault="008B651F" w:rsidP="008B651F">
      <w:pPr>
        <w:pStyle w:val="IEEEStdsImage"/>
        <w:spacing w:line="360" w:lineRule="auto"/>
        <w:contextualSpacing/>
        <w:jc w:val="both"/>
        <w:rPr>
          <w:noProof/>
          <w:lang w:eastAsia="ko-KR"/>
        </w:rPr>
      </w:pPr>
      <w:r w:rsidRPr="008B651F">
        <w:rPr>
          <w:noProof/>
          <w:lang w:eastAsia="ko-KR"/>
        </w:rPr>
        <w:t> Considering that MIHF made the role of Management such as Data Repository and Time Scheduler possible, it is possible enough.</w:t>
      </w:r>
    </w:p>
    <w:p w14:paraId="17E7A708" w14:textId="77777777" w:rsidR="008B651F" w:rsidRPr="008B651F" w:rsidRDefault="008B651F" w:rsidP="008B651F">
      <w:pPr>
        <w:pStyle w:val="IEEEStdsParagraph"/>
        <w:rPr>
          <w:rFonts w:hint="eastAsia"/>
          <w:lang w:eastAsia="ko-KR"/>
        </w:rPr>
      </w:pPr>
    </w:p>
    <w:p w14:paraId="289788D2" w14:textId="42F600CE" w:rsidR="008B651F" w:rsidRPr="008B651F" w:rsidRDefault="008B651F" w:rsidP="008B651F">
      <w:pPr>
        <w:pStyle w:val="IEEEStdsImage"/>
        <w:spacing w:line="360" w:lineRule="auto"/>
        <w:contextualSpacing/>
        <w:jc w:val="both"/>
        <w:rPr>
          <w:rFonts w:hint="eastAsia"/>
          <w:b/>
          <w:noProof/>
          <w:lang w:eastAsia="ko-KR"/>
        </w:rPr>
      </w:pPr>
      <w:r w:rsidRPr="008B651F">
        <w:rPr>
          <w:rFonts w:hint="eastAsia"/>
          <w:b/>
          <w:noProof/>
          <w:lang w:eastAsia="ko-KR"/>
        </w:rPr>
        <w:t>P</w:t>
      </w:r>
      <w:r w:rsidRPr="008B651F">
        <w:rPr>
          <w:b/>
          <w:noProof/>
          <w:lang w:eastAsia="ko-KR"/>
        </w:rPr>
        <w:t>roposal</w:t>
      </w:r>
      <w:r>
        <w:rPr>
          <w:b/>
          <w:noProof/>
          <w:lang w:eastAsia="ko-KR"/>
        </w:rPr>
        <w:br/>
      </w:r>
      <w:r w:rsidRPr="008B651F">
        <w:rPr>
          <w:noProof/>
          <w:lang w:eastAsia="ko-KR"/>
        </w:rPr>
        <w:t>​This suggester is not a network specialist but a service provider, so doesn't have enough expert knowledge.</w:t>
      </w:r>
      <w:r w:rsidRPr="008B651F">
        <w:rPr>
          <w:noProof/>
          <w:lang w:eastAsia="ko-KR"/>
        </w:rPr>
        <w:br/>
        <w:t>Thus brings up a problem as a service provider, and hopes the network specialists on Heterogeneous handover offer a solution to this problem.</w:t>
      </w:r>
      <w:r>
        <w:rPr>
          <w:noProof/>
          <w:lang w:eastAsia="ko-KR"/>
        </w:rPr>
        <w:t xml:space="preserve"> </w:t>
      </w:r>
      <w:r w:rsidRPr="008B651F">
        <w:rPr>
          <w:noProof/>
          <w:lang w:eastAsia="ko-KR"/>
        </w:rPr>
        <w:t>If the standard which reflects the needs of the service industry is created, it will become a very valuable standard.</w:t>
      </w:r>
      <w:bookmarkEnd w:id="1"/>
    </w:p>
    <w:sectPr w:rsidR="008B651F" w:rsidRPr="008B651F" w:rsidSect="009D1C52">
      <w:footerReference w:type="default" r:id="rId13"/>
      <w:footnotePr>
        <w:numRestart w:val="eachSect"/>
      </w:footnotePr>
      <w:pgSz w:w="12240" w:h="15840"/>
      <w:pgMar w:top="840" w:right="1680" w:bottom="900" w:left="1660" w:header="657" w:footer="1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B371A" w14:textId="77777777" w:rsidR="00757B00" w:rsidRDefault="00757B00" w:rsidP="0010504F">
      <w:pPr>
        <w:spacing w:before="0"/>
      </w:pPr>
      <w:r>
        <w:separator/>
      </w:r>
    </w:p>
  </w:endnote>
  <w:endnote w:type="continuationSeparator" w:id="0">
    <w:p w14:paraId="348D69EB" w14:textId="77777777" w:rsidR="00757B00" w:rsidRDefault="00757B00"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CEF1" w14:textId="2A2BC434" w:rsidR="00DE6DD3" w:rsidRPr="00711CC4" w:rsidRDefault="00DE6DD3">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944453" w:rsidRPr="00944453">
      <w:rPr>
        <w:rFonts w:ascii="Times New Roman" w:hAnsi="Times New Roman"/>
        <w:noProof/>
        <w:lang w:val="ko-KR"/>
      </w:rPr>
      <w:t>2</w:t>
    </w:r>
    <w:r w:rsidRPr="00711CC4">
      <w:rPr>
        <w:rFonts w:ascii="Times New Roman" w:hAnsi="Times New Roman"/>
      </w:rPr>
      <w:fldChar w:fldCharType="end"/>
    </w:r>
  </w:p>
  <w:p w14:paraId="4939DBA0" w14:textId="77777777" w:rsidR="00DE6DD3" w:rsidRPr="00711CC4" w:rsidRDefault="00DE6DD3">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8AEEA" w14:textId="77777777" w:rsidR="00757B00" w:rsidRDefault="00757B00" w:rsidP="0010504F">
      <w:pPr>
        <w:spacing w:before="0"/>
      </w:pPr>
      <w:r>
        <w:separator/>
      </w:r>
    </w:p>
  </w:footnote>
  <w:footnote w:type="continuationSeparator" w:id="0">
    <w:p w14:paraId="0419BE6A" w14:textId="77777777" w:rsidR="00757B00" w:rsidRDefault="00757B00" w:rsidP="001050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A58348F"/>
    <w:multiLevelType w:val="hybridMultilevel"/>
    <w:tmpl w:val="9A9A9112"/>
    <w:lvl w:ilvl="0" w:tplc="D0A27D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1"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5"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6"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2"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3"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4"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7"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1"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abstractNum w:abstractNumId="33" w15:restartNumberingAfterBreak="0">
    <w:nsid w:val="7F716CDA"/>
    <w:multiLevelType w:val="hybridMultilevel"/>
    <w:tmpl w:val="1C5427B4"/>
    <w:lvl w:ilvl="0" w:tplc="32D6B38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1"/>
  </w:num>
  <w:num w:numId="2">
    <w:abstractNumId w:val="23"/>
  </w:num>
  <w:num w:numId="3">
    <w:abstractNumId w:val="28"/>
  </w:num>
  <w:num w:numId="4">
    <w:abstractNumId w:val="19"/>
  </w:num>
  <w:num w:numId="5">
    <w:abstractNumId w:val="22"/>
  </w:num>
  <w:num w:numId="6">
    <w:abstractNumId w:val="4"/>
  </w:num>
  <w:num w:numId="7">
    <w:abstractNumId w:val="6"/>
  </w:num>
  <w:num w:numId="8">
    <w:abstractNumId w:val="10"/>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7"/>
  </w:num>
  <w:num w:numId="13">
    <w:abstractNumId w:val="21"/>
  </w:num>
  <w:num w:numId="14">
    <w:abstractNumId w:val="30"/>
  </w:num>
  <w:num w:numId="15">
    <w:abstractNumId w:val="2"/>
  </w:num>
  <w:num w:numId="16">
    <w:abstractNumId w:val="5"/>
  </w:num>
  <w:num w:numId="17">
    <w:abstractNumId w:val="3"/>
  </w:num>
  <w:num w:numId="18">
    <w:abstractNumId w:val="24"/>
  </w:num>
  <w:num w:numId="19">
    <w:abstractNumId w:val="1"/>
  </w:num>
  <w:num w:numId="20">
    <w:abstractNumId w:val="12"/>
  </w:num>
  <w:num w:numId="21">
    <w:abstractNumId w:val="8"/>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9"/>
  </w:num>
  <w:num w:numId="27">
    <w:abstractNumId w:val="6"/>
  </w:num>
  <w:num w:numId="28">
    <w:abstractNumId w:val="6"/>
  </w:num>
  <w:num w:numId="29">
    <w:abstractNumId w:val="6"/>
  </w:num>
  <w:num w:numId="30">
    <w:abstractNumId w:val="6"/>
  </w:num>
  <w:num w:numId="31">
    <w:abstractNumId w:val="6"/>
  </w:num>
  <w:num w:numId="32">
    <w:abstractNumId w:val="14"/>
  </w:num>
  <w:num w:numId="33">
    <w:abstractNumId w:val="26"/>
  </w:num>
  <w:num w:numId="34">
    <w:abstractNumId w:val="15"/>
  </w:num>
  <w:num w:numId="35">
    <w:abstractNumId w:val="27"/>
  </w:num>
  <w:num w:numId="36">
    <w:abstractNumId w:val="0"/>
  </w:num>
  <w:num w:numId="37">
    <w:abstractNumId w:val="13"/>
  </w:num>
  <w:num w:numId="38">
    <w:abstractNumId w:val="11"/>
  </w:num>
  <w:num w:numId="39">
    <w:abstractNumId w:val="18"/>
  </w:num>
  <w:num w:numId="40">
    <w:abstractNumId w:val="25"/>
  </w:num>
  <w:num w:numId="41">
    <w:abstractNumId w:val="20"/>
  </w:num>
  <w:num w:numId="42">
    <w:abstractNumId w:val="33"/>
  </w:num>
  <w:num w:numId="4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doNotTrackMoves/>
  <w:doNotTrackFormatting/>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17543"/>
    <w:rsid w:val="00023699"/>
    <w:rsid w:val="00023EDF"/>
    <w:rsid w:val="00025138"/>
    <w:rsid w:val="00026D33"/>
    <w:rsid w:val="00031A30"/>
    <w:rsid w:val="00033398"/>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14F"/>
    <w:rsid w:val="00085937"/>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BD6"/>
    <w:rsid w:val="00103EAE"/>
    <w:rsid w:val="0010500E"/>
    <w:rsid w:val="0010504F"/>
    <w:rsid w:val="0010584C"/>
    <w:rsid w:val="00105A4B"/>
    <w:rsid w:val="00106085"/>
    <w:rsid w:val="001066E3"/>
    <w:rsid w:val="00110490"/>
    <w:rsid w:val="00110A1D"/>
    <w:rsid w:val="0011253A"/>
    <w:rsid w:val="0011311E"/>
    <w:rsid w:val="00114DDA"/>
    <w:rsid w:val="0011537D"/>
    <w:rsid w:val="00120A12"/>
    <w:rsid w:val="00120C0D"/>
    <w:rsid w:val="00122E3D"/>
    <w:rsid w:val="0012323D"/>
    <w:rsid w:val="00123770"/>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4F14"/>
    <w:rsid w:val="00146911"/>
    <w:rsid w:val="00146E76"/>
    <w:rsid w:val="00146E7C"/>
    <w:rsid w:val="001500A2"/>
    <w:rsid w:val="00162454"/>
    <w:rsid w:val="00163220"/>
    <w:rsid w:val="0016729F"/>
    <w:rsid w:val="00170BBB"/>
    <w:rsid w:val="00171D01"/>
    <w:rsid w:val="00171DBC"/>
    <w:rsid w:val="0017273A"/>
    <w:rsid w:val="001747DF"/>
    <w:rsid w:val="00175713"/>
    <w:rsid w:val="00175B90"/>
    <w:rsid w:val="00180CAC"/>
    <w:rsid w:val="001840BE"/>
    <w:rsid w:val="00186F30"/>
    <w:rsid w:val="00190BD6"/>
    <w:rsid w:val="00192A00"/>
    <w:rsid w:val="00194103"/>
    <w:rsid w:val="00194C73"/>
    <w:rsid w:val="00194F1F"/>
    <w:rsid w:val="0019510C"/>
    <w:rsid w:val="00197391"/>
    <w:rsid w:val="001A0300"/>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3A86"/>
    <w:rsid w:val="0022582B"/>
    <w:rsid w:val="002259F3"/>
    <w:rsid w:val="00226790"/>
    <w:rsid w:val="002302AC"/>
    <w:rsid w:val="002331AA"/>
    <w:rsid w:val="002366D9"/>
    <w:rsid w:val="002372C5"/>
    <w:rsid w:val="00237E4A"/>
    <w:rsid w:val="00242301"/>
    <w:rsid w:val="002444F4"/>
    <w:rsid w:val="00244575"/>
    <w:rsid w:val="00244918"/>
    <w:rsid w:val="0024623F"/>
    <w:rsid w:val="00247140"/>
    <w:rsid w:val="002471AF"/>
    <w:rsid w:val="00250076"/>
    <w:rsid w:val="00254B1C"/>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66A"/>
    <w:rsid w:val="002A19CC"/>
    <w:rsid w:val="002A1AAE"/>
    <w:rsid w:val="002A27D7"/>
    <w:rsid w:val="002A3E69"/>
    <w:rsid w:val="002A5BE9"/>
    <w:rsid w:val="002A7F8C"/>
    <w:rsid w:val="002B1B70"/>
    <w:rsid w:val="002B1D2D"/>
    <w:rsid w:val="002B27BC"/>
    <w:rsid w:val="002B5677"/>
    <w:rsid w:val="002B6232"/>
    <w:rsid w:val="002B6927"/>
    <w:rsid w:val="002B712A"/>
    <w:rsid w:val="002B7374"/>
    <w:rsid w:val="002C1C62"/>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1A15"/>
    <w:rsid w:val="0036203D"/>
    <w:rsid w:val="0036309F"/>
    <w:rsid w:val="00363849"/>
    <w:rsid w:val="00364432"/>
    <w:rsid w:val="0037263C"/>
    <w:rsid w:val="0037291C"/>
    <w:rsid w:val="003748DC"/>
    <w:rsid w:val="003754FB"/>
    <w:rsid w:val="00376193"/>
    <w:rsid w:val="0037653F"/>
    <w:rsid w:val="003807AA"/>
    <w:rsid w:val="0038278B"/>
    <w:rsid w:val="00387A52"/>
    <w:rsid w:val="00390F1E"/>
    <w:rsid w:val="00392ED7"/>
    <w:rsid w:val="0039411B"/>
    <w:rsid w:val="00396013"/>
    <w:rsid w:val="0039697F"/>
    <w:rsid w:val="00397D4A"/>
    <w:rsid w:val="003A3A90"/>
    <w:rsid w:val="003A5BBB"/>
    <w:rsid w:val="003A5FC2"/>
    <w:rsid w:val="003A6F3E"/>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1735"/>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243"/>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4208"/>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4258"/>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221"/>
    <w:rsid w:val="00641347"/>
    <w:rsid w:val="0064383D"/>
    <w:rsid w:val="00643B98"/>
    <w:rsid w:val="00644C8D"/>
    <w:rsid w:val="00644F43"/>
    <w:rsid w:val="00646956"/>
    <w:rsid w:val="00646A2B"/>
    <w:rsid w:val="00650E94"/>
    <w:rsid w:val="0065130E"/>
    <w:rsid w:val="00652A78"/>
    <w:rsid w:val="006534CF"/>
    <w:rsid w:val="00653A78"/>
    <w:rsid w:val="006555E0"/>
    <w:rsid w:val="0065612B"/>
    <w:rsid w:val="00656AB7"/>
    <w:rsid w:val="0065752F"/>
    <w:rsid w:val="00662D8E"/>
    <w:rsid w:val="00663E9D"/>
    <w:rsid w:val="00664492"/>
    <w:rsid w:val="0066455E"/>
    <w:rsid w:val="006658C1"/>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97DC5"/>
    <w:rsid w:val="006A0841"/>
    <w:rsid w:val="006A15E5"/>
    <w:rsid w:val="006A38E3"/>
    <w:rsid w:val="006A4C7D"/>
    <w:rsid w:val="006A7502"/>
    <w:rsid w:val="006A7E50"/>
    <w:rsid w:val="006B0D10"/>
    <w:rsid w:val="006B1B5E"/>
    <w:rsid w:val="006B2A64"/>
    <w:rsid w:val="006B62DF"/>
    <w:rsid w:val="006C0101"/>
    <w:rsid w:val="006C7322"/>
    <w:rsid w:val="006D28EA"/>
    <w:rsid w:val="006D2903"/>
    <w:rsid w:val="006D5DB0"/>
    <w:rsid w:val="006D7A0E"/>
    <w:rsid w:val="006E1993"/>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57B00"/>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4CEB"/>
    <w:rsid w:val="007A54BF"/>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03AD"/>
    <w:rsid w:val="008032B8"/>
    <w:rsid w:val="00803930"/>
    <w:rsid w:val="0080561B"/>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311"/>
    <w:rsid w:val="0084148C"/>
    <w:rsid w:val="008427F1"/>
    <w:rsid w:val="00844876"/>
    <w:rsid w:val="00844F84"/>
    <w:rsid w:val="008475A7"/>
    <w:rsid w:val="008501AB"/>
    <w:rsid w:val="008506F7"/>
    <w:rsid w:val="008512D8"/>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C48"/>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B651F"/>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0C1D"/>
    <w:rsid w:val="00922EB8"/>
    <w:rsid w:val="00923185"/>
    <w:rsid w:val="0092570A"/>
    <w:rsid w:val="00934CAC"/>
    <w:rsid w:val="00941381"/>
    <w:rsid w:val="00941917"/>
    <w:rsid w:val="00943C34"/>
    <w:rsid w:val="00944453"/>
    <w:rsid w:val="0095074A"/>
    <w:rsid w:val="00950D19"/>
    <w:rsid w:val="00952388"/>
    <w:rsid w:val="009533BB"/>
    <w:rsid w:val="00953EFE"/>
    <w:rsid w:val="00955C52"/>
    <w:rsid w:val="009611B8"/>
    <w:rsid w:val="00961D79"/>
    <w:rsid w:val="00962A90"/>
    <w:rsid w:val="00972735"/>
    <w:rsid w:val="00975320"/>
    <w:rsid w:val="009754A0"/>
    <w:rsid w:val="00977736"/>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C52"/>
    <w:rsid w:val="009D1F09"/>
    <w:rsid w:val="009D1F61"/>
    <w:rsid w:val="009D239C"/>
    <w:rsid w:val="009D30E1"/>
    <w:rsid w:val="009D5233"/>
    <w:rsid w:val="009E0BC4"/>
    <w:rsid w:val="009E1A65"/>
    <w:rsid w:val="009E3648"/>
    <w:rsid w:val="009E4E44"/>
    <w:rsid w:val="009E63B6"/>
    <w:rsid w:val="009F24B0"/>
    <w:rsid w:val="009F3823"/>
    <w:rsid w:val="009F4924"/>
    <w:rsid w:val="009F6CE6"/>
    <w:rsid w:val="009F70E4"/>
    <w:rsid w:val="00A01E5C"/>
    <w:rsid w:val="00A0281E"/>
    <w:rsid w:val="00A040DC"/>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681"/>
    <w:rsid w:val="00A86963"/>
    <w:rsid w:val="00A86A79"/>
    <w:rsid w:val="00A907F3"/>
    <w:rsid w:val="00A9135F"/>
    <w:rsid w:val="00A91576"/>
    <w:rsid w:val="00A9205B"/>
    <w:rsid w:val="00A94336"/>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065"/>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274A"/>
    <w:rsid w:val="00B038F1"/>
    <w:rsid w:val="00B03A74"/>
    <w:rsid w:val="00B03DC6"/>
    <w:rsid w:val="00B050B7"/>
    <w:rsid w:val="00B0537B"/>
    <w:rsid w:val="00B0739E"/>
    <w:rsid w:val="00B109B8"/>
    <w:rsid w:val="00B112C7"/>
    <w:rsid w:val="00B1164F"/>
    <w:rsid w:val="00B11923"/>
    <w:rsid w:val="00B12F11"/>
    <w:rsid w:val="00B17FB6"/>
    <w:rsid w:val="00B20D08"/>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86198"/>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0BA0"/>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5BB5"/>
    <w:rsid w:val="00CF6D84"/>
    <w:rsid w:val="00CF6DF3"/>
    <w:rsid w:val="00CF7B76"/>
    <w:rsid w:val="00CF7CEE"/>
    <w:rsid w:val="00D003B7"/>
    <w:rsid w:val="00D0041A"/>
    <w:rsid w:val="00D01C3F"/>
    <w:rsid w:val="00D04D5C"/>
    <w:rsid w:val="00D05A81"/>
    <w:rsid w:val="00D06371"/>
    <w:rsid w:val="00D078D8"/>
    <w:rsid w:val="00D12525"/>
    <w:rsid w:val="00D135DB"/>
    <w:rsid w:val="00D14B26"/>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25DE"/>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6DD3"/>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AB5"/>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B6C"/>
    <w:rsid w:val="00E92068"/>
    <w:rsid w:val="00E93EDB"/>
    <w:rsid w:val="00E95BC1"/>
    <w:rsid w:val="00E96178"/>
    <w:rsid w:val="00E96994"/>
    <w:rsid w:val="00EA122D"/>
    <w:rsid w:val="00EA6BC1"/>
    <w:rsid w:val="00EB05DC"/>
    <w:rsid w:val="00EB0F9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9D4"/>
    <w:rsid w:val="00EF0BB2"/>
    <w:rsid w:val="00EF0DE6"/>
    <w:rsid w:val="00EF1895"/>
    <w:rsid w:val="00EF1F8B"/>
    <w:rsid w:val="00EF222F"/>
    <w:rsid w:val="00EF2BA7"/>
    <w:rsid w:val="00EF6205"/>
    <w:rsid w:val="00EF7D0C"/>
    <w:rsid w:val="00F02F76"/>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5CAA"/>
    <w:rsid w:val="00F87936"/>
    <w:rsid w:val="00F87A9F"/>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A7CED"/>
    <w:rsid w:val="00FB104E"/>
    <w:rsid w:val="00FB1261"/>
    <w:rsid w:val="00FB1560"/>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2CFCA346-B727-4FFA-9F2F-22560AE3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MS Mincho"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맑은 고딕"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맑은 고딕"/>
    </w:rPr>
  </w:style>
  <w:style w:type="paragraph" w:customStyle="1" w:styleId="IEEEStdsTableColumnHead">
    <w:name w:val="IEEEStds Table Column Head"/>
    <w:basedOn w:val="IEEEStdsParagraph"/>
    <w:rsid w:val="00244918"/>
    <w:pPr>
      <w:keepNext/>
      <w:keepLines/>
      <w:spacing w:after="0"/>
      <w:jc w:val="center"/>
    </w:pPr>
    <w:rPr>
      <w:rFonts w:eastAsia="맑은 고딕"/>
      <w:b/>
      <w:sz w:val="18"/>
    </w:rPr>
  </w:style>
  <w:style w:type="paragraph" w:customStyle="1" w:styleId="IEEEStdsTableData-Left">
    <w:name w:val="IEEEStds Table Data - Left"/>
    <w:basedOn w:val="IEEEStdsParagraph"/>
    <w:rsid w:val="00244918"/>
    <w:pPr>
      <w:keepNext/>
      <w:keepLines/>
      <w:spacing w:after="0"/>
      <w:jc w:val="left"/>
    </w:pPr>
    <w:rPr>
      <w:rFonts w:eastAsia="맑은 고딕"/>
      <w:sz w:val="18"/>
    </w:rPr>
  </w:style>
  <w:style w:type="paragraph" w:styleId="af0">
    <w:name w:val="endnote text"/>
    <w:basedOn w:val="a"/>
    <w:link w:val="Char4"/>
    <w:uiPriority w:val="99"/>
    <w:semiHidden/>
    <w:unhideWhenUsed/>
    <w:rsid w:val="00E96178"/>
    <w:pPr>
      <w:snapToGrid w:val="0"/>
    </w:pPr>
  </w:style>
  <w:style w:type="character" w:customStyle="1" w:styleId="Char4">
    <w:name w:val="미주 텍스트 Char"/>
    <w:basedOn w:val="a0"/>
    <w:link w:val="af0"/>
    <w:uiPriority w:val="99"/>
    <w:semiHidden/>
    <w:rsid w:val="00E96178"/>
    <w:rPr>
      <w:rFonts w:ascii="Myriad Pro" w:eastAsia="Calibri" w:hAnsi="Myriad Pro" w:cs="Times New Roman"/>
      <w:sz w:val="24"/>
      <w:szCs w:val="24"/>
      <w:lang w:val="en-GB"/>
    </w:rPr>
  </w:style>
  <w:style w:type="character" w:styleId="af1">
    <w:name w:val="endnote reference"/>
    <w:basedOn w:val="a0"/>
    <w:uiPriority w:val="99"/>
    <w:semiHidden/>
    <w:unhideWhenUsed/>
    <w:rsid w:val="00E96178"/>
    <w:rPr>
      <w:vertAlign w:val="superscript"/>
    </w:rPr>
  </w:style>
  <w:style w:type="paragraph" w:styleId="af2">
    <w:name w:val="footnote text"/>
    <w:basedOn w:val="a"/>
    <w:link w:val="Char5"/>
    <w:uiPriority w:val="99"/>
    <w:semiHidden/>
    <w:unhideWhenUsed/>
    <w:rsid w:val="00E96178"/>
    <w:pPr>
      <w:snapToGrid w:val="0"/>
    </w:pPr>
  </w:style>
  <w:style w:type="character" w:customStyle="1" w:styleId="Char5">
    <w:name w:val="각주 텍스트 Char"/>
    <w:basedOn w:val="a0"/>
    <w:link w:val="af2"/>
    <w:uiPriority w:val="99"/>
    <w:semiHidden/>
    <w:rsid w:val="00E96178"/>
    <w:rPr>
      <w:rFonts w:ascii="Myriad Pro" w:eastAsia="Calibri" w:hAnsi="Myriad Pro" w:cs="Times New Roman"/>
      <w:sz w:val="24"/>
      <w:szCs w:val="24"/>
      <w:lang w:val="en-GB"/>
    </w:rPr>
  </w:style>
  <w:style w:type="character" w:styleId="af3">
    <w:name w:val="footnote reference"/>
    <w:basedOn w:val="a0"/>
    <w:uiPriority w:val="99"/>
    <w:semiHidden/>
    <w:unhideWhenUsed/>
    <w:rsid w:val="00E96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67752731">
      <w:bodyDiv w:val="1"/>
      <w:marLeft w:val="0"/>
      <w:marRight w:val="0"/>
      <w:marTop w:val="0"/>
      <w:marBottom w:val="0"/>
      <w:divBdr>
        <w:top w:val="none" w:sz="0" w:space="0" w:color="auto"/>
        <w:left w:val="none" w:sz="0" w:space="0" w:color="auto"/>
        <w:bottom w:val="none" w:sz="0" w:space="0" w:color="auto"/>
        <w:right w:val="none" w:sz="0" w:space="0" w:color="auto"/>
      </w:divBdr>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16188229">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0116612">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85165180">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77968872">
      <w:bodyDiv w:val="1"/>
      <w:marLeft w:val="0"/>
      <w:marRight w:val="0"/>
      <w:marTop w:val="0"/>
      <w:marBottom w:val="0"/>
      <w:divBdr>
        <w:top w:val="none" w:sz="0" w:space="0" w:color="auto"/>
        <w:left w:val="none" w:sz="0" w:space="0" w:color="auto"/>
        <w:bottom w:val="none" w:sz="0" w:space="0" w:color="auto"/>
        <w:right w:val="none" w:sz="0" w:space="0" w:color="auto"/>
      </w:divBdr>
    </w:div>
    <w:div w:id="1409226353">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12930584">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675642258">
      <w:bodyDiv w:val="1"/>
      <w:marLeft w:val="0"/>
      <w:marRight w:val="0"/>
      <w:marTop w:val="0"/>
      <w:marBottom w:val="0"/>
      <w:divBdr>
        <w:top w:val="none" w:sz="0" w:space="0" w:color="auto"/>
        <w:left w:val="none" w:sz="0" w:space="0" w:color="auto"/>
        <w:bottom w:val="none" w:sz="0" w:space="0" w:color="auto"/>
        <w:right w:val="none" w:sz="0" w:space="0" w:color="auto"/>
      </w:divBdr>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4F6E-E858-42D9-848D-808E9C22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Sangkwon Jeong</cp:lastModifiedBy>
  <cp:revision>2</cp:revision>
  <cp:lastPrinted>2014-10-31T02:19:00Z</cp:lastPrinted>
  <dcterms:created xsi:type="dcterms:W3CDTF">2016-09-01T14:21:00Z</dcterms:created>
  <dcterms:modified xsi:type="dcterms:W3CDTF">2016-09-01T14:21:00Z</dcterms:modified>
</cp:coreProperties>
</file>