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3870"/>
        <w:gridCol w:w="5148"/>
      </w:tblGrid>
      <w:tr w:rsidR="00DD36C7" w:rsidRPr="004366B1">
        <w:tc>
          <w:tcPr>
            <w:tcW w:w="1350" w:type="dxa"/>
          </w:tcPr>
          <w:p w:rsidR="00DD36C7" w:rsidRPr="004366B1" w:rsidRDefault="00DD36C7">
            <w:pPr>
              <w:pStyle w:val="covertext"/>
            </w:pPr>
            <w:r w:rsidRPr="004366B1">
              <w:t>Project</w:t>
            </w:r>
          </w:p>
        </w:tc>
        <w:tc>
          <w:tcPr>
            <w:tcW w:w="9018" w:type="dxa"/>
            <w:gridSpan w:val="2"/>
          </w:tcPr>
          <w:p w:rsidR="00DD36C7" w:rsidRPr="004366B1" w:rsidRDefault="00DD36C7">
            <w:pPr>
              <w:pStyle w:val="covertext"/>
              <w:rPr>
                <w:b/>
              </w:rPr>
            </w:pPr>
            <w:r w:rsidRPr="004366B1">
              <w:rPr>
                <w:b/>
              </w:rPr>
              <w:t>IEEE 802.21 MIHS</w:t>
            </w:r>
          </w:p>
          <w:p w:rsidR="00DD36C7" w:rsidRPr="004366B1" w:rsidRDefault="00DD36C7">
            <w:pPr>
              <w:pStyle w:val="covertext"/>
              <w:rPr>
                <w:b/>
              </w:rPr>
            </w:pPr>
            <w:r w:rsidRPr="004366B1">
              <w:rPr>
                <w:b/>
              </w:rPr>
              <w:t>&lt;</w:t>
            </w:r>
            <w:hyperlink r:id="rId7" w:history="1">
              <w:r w:rsidRPr="004366B1">
                <w:rPr>
                  <w:rStyle w:val="Hyperlink"/>
                  <w:rFonts w:ascii="Times New Roman" w:hAnsi="Times New Roman"/>
                  <w:b/>
                  <w:lang w:bidi="ar-SA"/>
                </w:rPr>
                <w:t>http://www.ieee802.org/21/</w:t>
              </w:r>
            </w:hyperlink>
            <w:r w:rsidRPr="004366B1">
              <w:rPr>
                <w:b/>
              </w:rPr>
              <w:t>&gt;</w:t>
            </w:r>
          </w:p>
        </w:tc>
      </w:tr>
      <w:tr w:rsidR="00DD36C7" w:rsidRPr="004366B1">
        <w:tc>
          <w:tcPr>
            <w:tcW w:w="1350" w:type="dxa"/>
          </w:tcPr>
          <w:p w:rsidR="00DD36C7" w:rsidRPr="004366B1" w:rsidRDefault="00DD36C7">
            <w:pPr>
              <w:pStyle w:val="covertext"/>
            </w:pPr>
            <w:r w:rsidRPr="004366B1">
              <w:t>Title</w:t>
            </w:r>
          </w:p>
        </w:tc>
        <w:tc>
          <w:tcPr>
            <w:tcW w:w="9018" w:type="dxa"/>
            <w:gridSpan w:val="2"/>
          </w:tcPr>
          <w:p w:rsidR="00DD36C7" w:rsidRPr="004366B1" w:rsidRDefault="008B12B5" w:rsidP="00797DCA">
            <w:pPr>
              <w:pStyle w:val="covertext"/>
              <w:rPr>
                <w:b/>
              </w:rPr>
            </w:pPr>
            <w:r>
              <w:rPr>
                <w:b/>
                <w:sz w:val="28"/>
                <w:lang w:eastAsia="ja-JP"/>
              </w:rPr>
              <w:t xml:space="preserve">Proposed remedy for Comments </w:t>
            </w:r>
            <w:r w:rsidR="00797DCA">
              <w:rPr>
                <w:b/>
                <w:sz w:val="28"/>
                <w:lang w:eastAsia="ja-JP"/>
              </w:rPr>
              <w:t>64</w:t>
            </w:r>
            <w:r w:rsidR="00DA5EC3">
              <w:rPr>
                <w:rFonts w:hint="eastAsia"/>
                <w:b/>
                <w:sz w:val="28"/>
                <w:lang w:eastAsia="ja-JP"/>
              </w:rPr>
              <w:t xml:space="preserve"> and </w:t>
            </w:r>
            <w:r w:rsidR="00797DCA">
              <w:rPr>
                <w:b/>
                <w:sz w:val="28"/>
                <w:lang w:eastAsia="ja-JP"/>
              </w:rPr>
              <w:t>65</w:t>
            </w:r>
          </w:p>
        </w:tc>
      </w:tr>
      <w:tr w:rsidR="00DD36C7" w:rsidRPr="004366B1">
        <w:tc>
          <w:tcPr>
            <w:tcW w:w="1350" w:type="dxa"/>
          </w:tcPr>
          <w:p w:rsidR="00DD36C7" w:rsidRPr="004366B1" w:rsidRDefault="00DD36C7">
            <w:pPr>
              <w:pStyle w:val="covertext"/>
            </w:pPr>
            <w:r w:rsidRPr="004366B1">
              <w:t>DCN</w:t>
            </w:r>
          </w:p>
        </w:tc>
        <w:tc>
          <w:tcPr>
            <w:tcW w:w="9018" w:type="dxa"/>
            <w:gridSpan w:val="2"/>
          </w:tcPr>
          <w:p w:rsidR="00DD36C7" w:rsidRPr="004366B1" w:rsidRDefault="00AA5C8A" w:rsidP="00F351AE">
            <w:pPr>
              <w:pStyle w:val="covertext"/>
              <w:rPr>
                <w:b/>
                <w:lang w:eastAsia="ja-JP"/>
              </w:rPr>
            </w:pPr>
            <w:r w:rsidRPr="004366B1">
              <w:rPr>
                <w:b/>
              </w:rPr>
              <w:t>21-</w:t>
            </w:r>
            <w:r w:rsidR="00532666">
              <w:rPr>
                <w:rFonts w:hint="eastAsia"/>
                <w:b/>
                <w:lang w:eastAsia="ja-JP"/>
              </w:rPr>
              <w:t>14</w:t>
            </w:r>
            <w:r w:rsidR="00270073" w:rsidRPr="004366B1">
              <w:rPr>
                <w:b/>
              </w:rPr>
              <w:t>-</w:t>
            </w:r>
            <w:r w:rsidR="00AC2C8A">
              <w:rPr>
                <w:rFonts w:hint="eastAsia"/>
                <w:b/>
                <w:lang w:eastAsia="ja-JP"/>
              </w:rPr>
              <w:t>0</w:t>
            </w:r>
            <w:r w:rsidR="00797DCA">
              <w:rPr>
                <w:b/>
                <w:lang w:eastAsia="ja-JP"/>
              </w:rPr>
              <w:t>096</w:t>
            </w:r>
            <w:r w:rsidR="00514557">
              <w:rPr>
                <w:b/>
              </w:rPr>
              <w:t>-0</w:t>
            </w:r>
            <w:r w:rsidR="00F351AE">
              <w:rPr>
                <w:rFonts w:hint="eastAsia"/>
                <w:b/>
                <w:lang w:eastAsia="ja-JP"/>
              </w:rPr>
              <w:t>0</w:t>
            </w:r>
            <w:r w:rsidR="00270073" w:rsidRPr="004366B1">
              <w:rPr>
                <w:b/>
              </w:rPr>
              <w:t>-</w:t>
            </w:r>
            <w:r w:rsidR="00DA5EC3">
              <w:rPr>
                <w:rFonts w:hint="eastAsia"/>
                <w:b/>
                <w:lang w:eastAsia="ja-JP"/>
              </w:rPr>
              <w:t>MuGM</w:t>
            </w:r>
          </w:p>
        </w:tc>
      </w:tr>
      <w:tr w:rsidR="00DD36C7" w:rsidRPr="004366B1">
        <w:tc>
          <w:tcPr>
            <w:tcW w:w="1350" w:type="dxa"/>
          </w:tcPr>
          <w:p w:rsidR="00DD36C7" w:rsidRPr="004366B1" w:rsidRDefault="00DD36C7">
            <w:pPr>
              <w:pStyle w:val="covertext"/>
            </w:pPr>
            <w:r w:rsidRPr="004366B1">
              <w:t>Date Submitted</w:t>
            </w:r>
          </w:p>
        </w:tc>
        <w:tc>
          <w:tcPr>
            <w:tcW w:w="9018" w:type="dxa"/>
            <w:gridSpan w:val="2"/>
          </w:tcPr>
          <w:p w:rsidR="00DD36C7" w:rsidRPr="004366B1" w:rsidRDefault="00532666" w:rsidP="008B12B5">
            <w:pPr>
              <w:pStyle w:val="covertext"/>
              <w:rPr>
                <w:b/>
                <w:lang w:eastAsia="ja-JP"/>
              </w:rPr>
            </w:pPr>
            <w:r>
              <w:rPr>
                <w:b/>
                <w:lang w:eastAsia="ja-JP"/>
              </w:rPr>
              <w:t>Ma</w:t>
            </w:r>
            <w:r w:rsidR="00797DCA">
              <w:rPr>
                <w:b/>
                <w:lang w:eastAsia="ja-JP"/>
              </w:rPr>
              <w:t>y 14</w:t>
            </w:r>
            <w:r w:rsidR="00AA5C8A" w:rsidRPr="004366B1">
              <w:rPr>
                <w:rFonts w:hint="eastAsia"/>
                <w:b/>
                <w:lang w:eastAsia="ja-JP"/>
              </w:rPr>
              <w:t>, 201</w:t>
            </w:r>
            <w:r>
              <w:rPr>
                <w:rFonts w:hint="eastAsia"/>
                <w:b/>
                <w:lang w:eastAsia="ja-JP"/>
              </w:rPr>
              <w:t>4</w:t>
            </w:r>
          </w:p>
        </w:tc>
      </w:tr>
      <w:tr w:rsidR="00DD36C7" w:rsidRPr="004366B1">
        <w:tc>
          <w:tcPr>
            <w:tcW w:w="1350" w:type="dxa"/>
          </w:tcPr>
          <w:p w:rsidR="00DD36C7" w:rsidRPr="004366B1" w:rsidRDefault="00DD36C7">
            <w:pPr>
              <w:pStyle w:val="covertext"/>
            </w:pPr>
            <w:r w:rsidRPr="004366B1">
              <w:t>Source(s)</w:t>
            </w:r>
          </w:p>
        </w:tc>
        <w:tc>
          <w:tcPr>
            <w:tcW w:w="3870" w:type="dxa"/>
          </w:tcPr>
          <w:p w:rsidR="00DD36C7" w:rsidRPr="004366B1" w:rsidRDefault="00797DCA">
            <w:pPr>
              <w:pStyle w:val="covertext"/>
              <w:rPr>
                <w:lang w:eastAsia="ja-JP"/>
              </w:rPr>
            </w:pPr>
            <w:r>
              <w:rPr>
                <w:lang w:eastAsia="ja-JP"/>
              </w:rPr>
              <w:t>Subir Das</w:t>
            </w:r>
            <w:r>
              <w:rPr>
                <w:rFonts w:hint="eastAsia"/>
                <w:lang w:eastAsia="ja-JP"/>
              </w:rPr>
              <w:t xml:space="preserve"> (</w:t>
            </w:r>
            <w:r>
              <w:rPr>
                <w:lang w:eastAsia="ja-JP"/>
              </w:rPr>
              <w:t>ACS</w:t>
            </w:r>
            <w:r w:rsidR="00AC2C8A">
              <w:rPr>
                <w:rFonts w:hint="eastAsia"/>
                <w:lang w:eastAsia="ja-JP"/>
              </w:rPr>
              <w:t>)</w:t>
            </w:r>
          </w:p>
        </w:tc>
        <w:tc>
          <w:tcPr>
            <w:tcW w:w="5148" w:type="dxa"/>
          </w:tcPr>
          <w:p w:rsidR="00DD36C7" w:rsidRPr="004366B1" w:rsidRDefault="00DD36C7">
            <w:pPr>
              <w:pStyle w:val="covertext"/>
              <w:rPr>
                <w:sz w:val="18"/>
              </w:rPr>
            </w:pPr>
          </w:p>
        </w:tc>
      </w:tr>
      <w:tr w:rsidR="00DD36C7" w:rsidRPr="004366B1">
        <w:tc>
          <w:tcPr>
            <w:tcW w:w="1350" w:type="dxa"/>
          </w:tcPr>
          <w:p w:rsidR="00DD36C7" w:rsidRPr="004366B1" w:rsidRDefault="00DD36C7">
            <w:pPr>
              <w:pStyle w:val="covertext"/>
            </w:pPr>
            <w:r w:rsidRPr="004366B1">
              <w:t>Re:</w:t>
            </w:r>
          </w:p>
        </w:tc>
        <w:tc>
          <w:tcPr>
            <w:tcW w:w="9018" w:type="dxa"/>
            <w:gridSpan w:val="2"/>
          </w:tcPr>
          <w:p w:rsidR="00DD36C7" w:rsidRPr="004366B1" w:rsidRDefault="00DD36C7" w:rsidP="008B12B5">
            <w:pPr>
              <w:pStyle w:val="covertext"/>
              <w:rPr>
                <w:lang w:eastAsia="ja-JP"/>
              </w:rPr>
            </w:pPr>
            <w:r w:rsidRPr="004366B1">
              <w:t>IEEE 802.21 Session #</w:t>
            </w:r>
            <w:r w:rsidR="008B12B5">
              <w:rPr>
                <w:rFonts w:hint="eastAsia"/>
                <w:lang w:eastAsia="ja-JP"/>
              </w:rPr>
              <w:t>62</w:t>
            </w:r>
            <w:r w:rsidRPr="004366B1">
              <w:t xml:space="preserve"> in </w:t>
            </w:r>
            <w:r w:rsidR="008B12B5">
              <w:t>Waikoloa</w:t>
            </w:r>
          </w:p>
        </w:tc>
      </w:tr>
      <w:tr w:rsidR="00DD36C7" w:rsidRPr="004366B1">
        <w:tc>
          <w:tcPr>
            <w:tcW w:w="1350" w:type="dxa"/>
          </w:tcPr>
          <w:p w:rsidR="00DD36C7" w:rsidRPr="004366B1" w:rsidRDefault="00DD36C7">
            <w:pPr>
              <w:pStyle w:val="covertext"/>
            </w:pPr>
            <w:r w:rsidRPr="004366B1">
              <w:t>Abstract</w:t>
            </w:r>
          </w:p>
        </w:tc>
        <w:tc>
          <w:tcPr>
            <w:tcW w:w="9018" w:type="dxa"/>
            <w:gridSpan w:val="2"/>
          </w:tcPr>
          <w:p w:rsidR="00DD36C7" w:rsidRPr="004366B1" w:rsidRDefault="00AC2C8A" w:rsidP="00797DCA">
            <w:pPr>
              <w:pStyle w:val="covertext"/>
              <w:rPr>
                <w:lang w:eastAsia="ja-JP"/>
              </w:rPr>
            </w:pPr>
            <w:r>
              <w:t>This document</w:t>
            </w:r>
            <w:r w:rsidR="00532666">
              <w:rPr>
                <w:rFonts w:hint="eastAsia"/>
                <w:lang w:eastAsia="ja-JP"/>
              </w:rPr>
              <w:t xml:space="preserve"> describes a proposed remedy for </w:t>
            </w:r>
            <w:r w:rsidR="008B12B5">
              <w:rPr>
                <w:lang w:eastAsia="ja-JP"/>
              </w:rPr>
              <w:t>LB7c</w:t>
            </w:r>
            <w:r w:rsidR="00532666">
              <w:rPr>
                <w:lang w:eastAsia="ja-JP"/>
              </w:rPr>
              <w:t xml:space="preserve"> Comment</w:t>
            </w:r>
            <w:r w:rsidR="00DA5EC3">
              <w:rPr>
                <w:lang w:eastAsia="ja-JP"/>
              </w:rPr>
              <w:t>s #</w:t>
            </w:r>
            <w:r w:rsidR="00797DCA">
              <w:rPr>
                <w:lang w:eastAsia="ja-JP"/>
              </w:rPr>
              <w:t>64, and #65</w:t>
            </w:r>
            <w:r w:rsidR="00DA5EC3">
              <w:rPr>
                <w:lang w:eastAsia="ja-JP"/>
              </w:rPr>
              <w:t xml:space="preserve"> about </w:t>
            </w:r>
            <w:proofErr w:type="spellStart"/>
            <w:r w:rsidR="00797DCA">
              <w:rPr>
                <w:lang w:eastAsia="ja-JP"/>
              </w:rPr>
              <w:t>Subclause</w:t>
            </w:r>
            <w:proofErr w:type="spellEnd"/>
            <w:r w:rsidR="00797DCA">
              <w:rPr>
                <w:lang w:eastAsia="ja-JP"/>
              </w:rPr>
              <w:t xml:space="preserve"> 9.5.1.3</w:t>
            </w:r>
          </w:p>
        </w:tc>
      </w:tr>
      <w:tr w:rsidR="00DD36C7" w:rsidRPr="004366B1">
        <w:tc>
          <w:tcPr>
            <w:tcW w:w="1350" w:type="dxa"/>
          </w:tcPr>
          <w:p w:rsidR="00DD36C7" w:rsidRPr="004366B1" w:rsidRDefault="00DD36C7">
            <w:pPr>
              <w:pStyle w:val="covertext"/>
            </w:pPr>
            <w:r w:rsidRPr="004366B1">
              <w:t>Purpose</w:t>
            </w:r>
          </w:p>
        </w:tc>
        <w:tc>
          <w:tcPr>
            <w:tcW w:w="9018" w:type="dxa"/>
            <w:gridSpan w:val="2"/>
          </w:tcPr>
          <w:p w:rsidR="00DD36C7" w:rsidRPr="004366B1" w:rsidRDefault="008B12B5" w:rsidP="008B12B5">
            <w:pPr>
              <w:pStyle w:val="covertext"/>
              <w:rPr>
                <w:lang w:eastAsia="ja-JP"/>
              </w:rPr>
            </w:pPr>
            <w:r>
              <w:rPr>
                <w:lang w:eastAsia="ja-JP"/>
              </w:rPr>
              <w:t xml:space="preserve">For </w:t>
            </w:r>
            <w:r>
              <w:rPr>
                <w:rFonts w:hint="eastAsia"/>
                <w:lang w:eastAsia="ja-JP"/>
              </w:rPr>
              <w:t>LB7c C</w:t>
            </w:r>
            <w:r w:rsidR="00AA5C8A" w:rsidRPr="004366B1">
              <w:rPr>
                <w:rFonts w:hint="eastAsia"/>
                <w:lang w:eastAsia="ja-JP"/>
              </w:rPr>
              <w:t>omment</w:t>
            </w:r>
            <w:r>
              <w:rPr>
                <w:lang w:eastAsia="ja-JP"/>
              </w:rPr>
              <w:t xml:space="preserve"> Resolution</w:t>
            </w:r>
          </w:p>
        </w:tc>
      </w:tr>
      <w:tr w:rsidR="00DD36C7" w:rsidRPr="004366B1">
        <w:trPr>
          <w:trHeight w:val="840"/>
        </w:trPr>
        <w:tc>
          <w:tcPr>
            <w:tcW w:w="1350" w:type="dxa"/>
          </w:tcPr>
          <w:p w:rsidR="00DD36C7" w:rsidRPr="004366B1" w:rsidRDefault="00DD36C7">
            <w:pPr>
              <w:pStyle w:val="covertext"/>
            </w:pPr>
            <w:r w:rsidRPr="004366B1">
              <w:t>Notice</w:t>
            </w:r>
          </w:p>
        </w:tc>
        <w:tc>
          <w:tcPr>
            <w:tcW w:w="9018" w:type="dxa"/>
            <w:gridSpan w:val="2"/>
          </w:tcPr>
          <w:p w:rsidR="00DD36C7" w:rsidRPr="004366B1" w:rsidRDefault="00DD36C7">
            <w:pPr>
              <w:pStyle w:val="covertext"/>
              <w:spacing w:before="0" w:after="0"/>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4366B1">
        <w:trPr>
          <w:trHeight w:val="1439"/>
        </w:trPr>
        <w:tc>
          <w:tcPr>
            <w:tcW w:w="1350" w:type="dxa"/>
          </w:tcPr>
          <w:p w:rsidR="00DD36C7" w:rsidRPr="004366B1" w:rsidRDefault="00DD36C7">
            <w:pPr>
              <w:pStyle w:val="covertext"/>
            </w:pPr>
            <w:r w:rsidRPr="004366B1">
              <w:t>Release</w:t>
            </w:r>
          </w:p>
        </w:tc>
        <w:tc>
          <w:tcPr>
            <w:tcW w:w="9018" w:type="dxa"/>
            <w:gridSpan w:val="2"/>
          </w:tcPr>
          <w:p w:rsidR="00DD36C7" w:rsidRPr="004366B1" w:rsidRDefault="00DD36C7">
            <w:pPr>
              <w:pStyle w:val="covertext"/>
              <w:spacing w:before="0" w:after="0"/>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4366B1">
              <w:rPr>
                <w:sz w:val="20"/>
              </w:rPr>
              <w:t>1</w:t>
            </w:r>
            <w:r w:rsidRPr="004366B1">
              <w:rPr>
                <w:sz w:val="20"/>
              </w:rPr>
              <w:t xml:space="preserve"> may make this contribution public.</w:t>
            </w:r>
          </w:p>
        </w:tc>
      </w:tr>
      <w:tr w:rsidR="00DD36C7" w:rsidRPr="004366B1">
        <w:tc>
          <w:tcPr>
            <w:tcW w:w="1350" w:type="dxa"/>
          </w:tcPr>
          <w:p w:rsidR="00DD36C7" w:rsidRPr="004366B1" w:rsidRDefault="00DD36C7">
            <w:pPr>
              <w:pStyle w:val="covertext"/>
            </w:pPr>
            <w:r w:rsidRPr="004366B1">
              <w:t>Patent Policy</w:t>
            </w:r>
          </w:p>
        </w:tc>
        <w:tc>
          <w:tcPr>
            <w:tcW w:w="9018" w:type="dxa"/>
            <w:gridSpan w:val="2"/>
          </w:tcPr>
          <w:p w:rsidR="00DD36C7" w:rsidRPr="004366B1" w:rsidRDefault="008D3F7F">
            <w:r w:rsidRPr="004366B1">
              <w:rPr>
                <w:sz w:val="20"/>
              </w:rPr>
              <w:t xml:space="preserve">The contributor is familiar with IEEE patent policy, as stated in </w:t>
            </w:r>
            <w:hyperlink r:id="rId8" w:anchor="6.3" w:tgtFrame="_parent" w:history="1">
              <w:r w:rsidRPr="004366B1">
                <w:rPr>
                  <w:rStyle w:val="Hyperlink"/>
                  <w:sz w:val="20"/>
                </w:rPr>
                <w:t>Section 6 of the IEEE-SA Standards Board bylaws</w:t>
              </w:r>
            </w:hyperlink>
            <w:r w:rsidRPr="004366B1">
              <w:rPr>
                <w:sz w:val="20"/>
              </w:rPr>
              <w:t xml:space="preserve"> &lt;</w:t>
            </w:r>
            <w:hyperlink r:id="rId9" w:tgtFrame="_parent" w:history="1">
              <w:r w:rsidRPr="004366B1">
                <w:rPr>
                  <w:rStyle w:val="Hyperlink"/>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0" w:tgtFrame="_parent" w:history="1">
              <w:r w:rsidRPr="004366B1">
                <w:rPr>
                  <w:rStyle w:val="Hyperlink"/>
                  <w:sz w:val="20"/>
                </w:rPr>
                <w:t>http://standards.ieee.org/board/pat/faq.pdf</w:t>
              </w:r>
            </w:hyperlink>
          </w:p>
        </w:tc>
      </w:tr>
    </w:tbl>
    <w:p w:rsidR="00DD36C7" w:rsidRDefault="00DD36C7">
      <w:pPr>
        <w:pStyle w:val="Body"/>
        <w:rPr>
          <w:rStyle w:val="FollowedHyperlink"/>
          <w:color w:val="auto"/>
        </w:rPr>
      </w:pPr>
    </w:p>
    <w:p w:rsidR="00DA5EC3" w:rsidRDefault="00DA5EC3" w:rsidP="00DA5EC3">
      <w:pPr>
        <w:pStyle w:val="Heading1"/>
        <w:numPr>
          <w:ilvl w:val="0"/>
          <w:numId w:val="12"/>
        </w:numPr>
      </w:pPr>
      <w:r>
        <w:br w:type="page"/>
      </w:r>
      <w:r>
        <w:lastRenderedPageBreak/>
        <w:t>Comments</w:t>
      </w:r>
    </w:p>
    <w:p w:rsidR="00DA5EC3" w:rsidRDefault="00DA5EC3">
      <w:pPr>
        <w:rPr>
          <w:b/>
          <w:bCs/>
          <w:color w:val="000000"/>
          <w:szCs w:val="12"/>
        </w:rPr>
      </w:pPr>
    </w:p>
    <w:p w:rsidR="00DA5EC3" w:rsidRDefault="00E41E84" w:rsidP="00A125CF">
      <w:pPr>
        <w:rPr>
          <w:lang w:eastAsia="ja-JP"/>
        </w:rPr>
      </w:pPr>
      <w:r>
        <w:rPr>
          <w:noProof/>
        </w:rPr>
        <w:drawing>
          <wp:inline distT="0" distB="0" distL="0" distR="0">
            <wp:extent cx="5486400" cy="23336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486400" cy="2333625"/>
                    </a:xfrm>
                    <a:prstGeom prst="rect">
                      <a:avLst/>
                    </a:prstGeom>
                    <a:noFill/>
                    <a:ln w="9525">
                      <a:noFill/>
                      <a:miter lim="800000"/>
                      <a:headEnd/>
                      <a:tailEnd/>
                    </a:ln>
                  </pic:spPr>
                </pic:pic>
              </a:graphicData>
            </a:graphic>
          </wp:inline>
        </w:drawing>
      </w:r>
    </w:p>
    <w:p w:rsidR="00797DCA" w:rsidRDefault="00797DCA" w:rsidP="00A125CF">
      <w:pPr>
        <w:rPr>
          <w:lang w:eastAsia="ja-JP"/>
        </w:rPr>
      </w:pPr>
    </w:p>
    <w:p w:rsidR="00797DCA" w:rsidRDefault="00797DCA" w:rsidP="00A125CF">
      <w:pPr>
        <w:rPr>
          <w:lang w:eastAsia="ja-JP"/>
        </w:rPr>
      </w:pPr>
    </w:p>
    <w:p w:rsidR="00DA5EC3" w:rsidRPr="00DA5EC3" w:rsidRDefault="00DA5EC3" w:rsidP="00DA5EC3">
      <w:pPr>
        <w:rPr>
          <w:lang w:eastAsia="ja-JP"/>
        </w:rPr>
      </w:pPr>
    </w:p>
    <w:p w:rsidR="002E14CB" w:rsidRPr="005A6DA8" w:rsidRDefault="002E14CB" w:rsidP="008831D9">
      <w:pPr>
        <w:ind w:left="420"/>
        <w:rPr>
          <w:lang w:eastAsia="ja-JP"/>
        </w:rPr>
      </w:pPr>
    </w:p>
    <w:p w:rsidR="00A125CF" w:rsidRDefault="00A125CF" w:rsidP="00A125CF">
      <w:pPr>
        <w:ind w:left="420"/>
        <w:rPr>
          <w:lang w:eastAsia="ja-JP"/>
        </w:rPr>
      </w:pPr>
    </w:p>
    <w:p w:rsidR="00512166" w:rsidRPr="00A125CF" w:rsidRDefault="00512166" w:rsidP="00DA5EC3">
      <w:pPr>
        <w:pStyle w:val="Heading1"/>
        <w:numPr>
          <w:ilvl w:val="0"/>
          <w:numId w:val="12"/>
        </w:numPr>
        <w:rPr>
          <w:lang w:eastAsia="ja-JP"/>
        </w:rPr>
      </w:pPr>
      <w:r w:rsidRPr="00A125CF">
        <w:rPr>
          <w:rFonts w:hint="eastAsia"/>
          <w:lang w:eastAsia="ja-JP"/>
        </w:rPr>
        <w:t>Suggested Remedy:</w:t>
      </w:r>
    </w:p>
    <w:p w:rsidR="00512166" w:rsidRDefault="00512166" w:rsidP="00512166">
      <w:pPr>
        <w:autoSpaceDE w:val="0"/>
        <w:autoSpaceDN w:val="0"/>
        <w:adjustRightInd w:val="0"/>
        <w:rPr>
          <w:rFonts w:ascii="TimesNewRomanPSMT" w:hAnsi="TimesNewRomanPSMT" w:cs="TimesNewRomanPSMT"/>
          <w:sz w:val="20"/>
          <w:szCs w:val="20"/>
          <w:lang w:eastAsia="ja-JP"/>
        </w:rPr>
      </w:pPr>
    </w:p>
    <w:p w:rsidR="00775BB9" w:rsidRPr="00E1360D" w:rsidRDefault="00775BB9" w:rsidP="005D44DE">
      <w:pPr>
        <w:widowControl w:val="0"/>
        <w:autoSpaceDE w:val="0"/>
        <w:autoSpaceDN w:val="0"/>
        <w:adjustRightInd w:val="0"/>
        <w:rPr>
          <w:rFonts w:ascii="Arial-BoldMT" w:hAnsi="Arial-BoldMT" w:cs="Arial-BoldMT"/>
          <w:b/>
          <w:bCs/>
          <w:sz w:val="20"/>
          <w:szCs w:val="20"/>
          <w:lang w:eastAsia="ja-JP"/>
        </w:rPr>
      </w:pPr>
      <w:r w:rsidRPr="00E1360D">
        <w:rPr>
          <w:rFonts w:ascii="Arial-BoldMT" w:hAnsi="Arial-BoldMT" w:cs="Arial-BoldMT"/>
          <w:b/>
          <w:bCs/>
          <w:sz w:val="20"/>
          <w:szCs w:val="20"/>
          <w:lang w:eastAsia="ja-JP"/>
        </w:rPr>
        <w:t>Delete Section 9.5.3.1 and modify the Section 9.5.2 as follows:</w:t>
      </w:r>
    </w:p>
    <w:p w:rsidR="00775BB9" w:rsidRDefault="00775BB9" w:rsidP="005D44DE">
      <w:pPr>
        <w:widowControl w:val="0"/>
        <w:autoSpaceDE w:val="0"/>
        <w:autoSpaceDN w:val="0"/>
        <w:adjustRightInd w:val="0"/>
        <w:rPr>
          <w:rFonts w:ascii="Arial-BoldMT" w:hAnsi="Arial-BoldMT" w:cs="Arial-BoldMT"/>
          <w:bCs/>
          <w:sz w:val="20"/>
          <w:szCs w:val="20"/>
          <w:lang w:eastAsia="ja-JP"/>
        </w:rPr>
      </w:pPr>
    </w:p>
    <w:p w:rsidR="00775BB9" w:rsidRDefault="005F3B5F" w:rsidP="00775BB9">
      <w:pPr>
        <w:widowControl w:val="0"/>
        <w:autoSpaceDE w:val="0"/>
        <w:autoSpaceDN w:val="0"/>
        <w:adjustRightInd w:val="0"/>
        <w:jc w:val="both"/>
        <w:rPr>
          <w:rFonts w:ascii="Arial-BoldMT" w:hAnsi="Arial-BoldMT" w:cs="Arial-BoldMT"/>
          <w:bCs/>
          <w:sz w:val="20"/>
          <w:szCs w:val="20"/>
          <w:lang w:eastAsia="ja-JP"/>
        </w:rPr>
      </w:pPr>
      <w:r>
        <w:rPr>
          <w:rFonts w:ascii="Arial-BoldMT" w:hAnsi="Arial-BoldMT" w:cs="Arial-BoldMT"/>
          <w:bCs/>
          <w:sz w:val="20"/>
          <w:szCs w:val="20"/>
          <w:lang w:eastAsia="ja-JP"/>
        </w:rPr>
        <w:t xml:space="preserve">A GKB contains a complete </w:t>
      </w:r>
      <w:proofErr w:type="spellStart"/>
      <w:r>
        <w:rPr>
          <w:rFonts w:ascii="Arial-BoldMT" w:hAnsi="Arial-BoldMT" w:cs="Arial-BoldMT"/>
          <w:bCs/>
          <w:sz w:val="20"/>
          <w:szCs w:val="20"/>
          <w:lang w:eastAsia="ja-JP"/>
        </w:rPr>
        <w:t>subtree</w:t>
      </w:r>
      <w:proofErr w:type="spellEnd"/>
      <w:r>
        <w:rPr>
          <w:rFonts w:ascii="Arial-BoldMT" w:hAnsi="Arial-BoldMT" w:cs="Arial-BoldMT"/>
          <w:bCs/>
          <w:sz w:val="20"/>
          <w:szCs w:val="20"/>
          <w:lang w:eastAsia="ja-JP"/>
        </w:rPr>
        <w:t xml:space="preserve"> (</w:t>
      </w:r>
      <w:proofErr w:type="spellStart"/>
      <w:r>
        <w:rPr>
          <w:rFonts w:ascii="Arial-BoldMT" w:hAnsi="Arial-BoldMT" w:cs="Arial-BoldMT"/>
          <w:bCs/>
          <w:sz w:val="20"/>
          <w:szCs w:val="20"/>
          <w:lang w:eastAsia="ja-JP"/>
        </w:rPr>
        <w:t>CompleteSubtree</w:t>
      </w:r>
      <w:proofErr w:type="spellEnd"/>
      <w:r>
        <w:rPr>
          <w:rFonts w:ascii="Arial-BoldMT" w:hAnsi="Arial-BoldMT" w:cs="Arial-BoldMT"/>
          <w:bCs/>
          <w:sz w:val="20"/>
          <w:szCs w:val="20"/>
          <w:lang w:eastAsia="ja-JP"/>
        </w:rPr>
        <w:t xml:space="preserve">) part and a group </w:t>
      </w:r>
      <w:r w:rsidR="00775BB9" w:rsidRPr="00775BB9">
        <w:rPr>
          <w:rFonts w:ascii="Arial-BoldMT" w:hAnsi="Arial-BoldMT" w:cs="Arial-BoldMT"/>
          <w:bCs/>
          <w:sz w:val="20"/>
          <w:szCs w:val="20"/>
          <w:lang w:eastAsia="ja-JP"/>
        </w:rPr>
        <w:t>key</w:t>
      </w:r>
      <w:r>
        <w:rPr>
          <w:rFonts w:ascii="Arial-BoldMT" w:hAnsi="Arial-BoldMT" w:cs="Arial-BoldMT"/>
          <w:bCs/>
          <w:sz w:val="20"/>
          <w:szCs w:val="20"/>
          <w:lang w:eastAsia="ja-JP"/>
        </w:rPr>
        <w:t xml:space="preserve"> </w:t>
      </w:r>
      <w:r w:rsidR="00775BB9" w:rsidRPr="00775BB9">
        <w:rPr>
          <w:rFonts w:ascii="Arial-BoldMT" w:hAnsi="Arial-BoldMT" w:cs="Arial-BoldMT"/>
          <w:bCs/>
          <w:sz w:val="20"/>
          <w:szCs w:val="20"/>
          <w:lang w:eastAsia="ja-JP"/>
        </w:rPr>
        <w:t xml:space="preserve">data </w:t>
      </w:r>
      <w:r>
        <w:rPr>
          <w:rFonts w:ascii="Arial-BoldMT" w:hAnsi="Arial-BoldMT" w:cs="Arial-BoldMT"/>
          <w:bCs/>
          <w:sz w:val="20"/>
          <w:szCs w:val="20"/>
          <w:lang w:eastAsia="ja-JP"/>
        </w:rPr>
        <w:t>(</w:t>
      </w:r>
      <w:proofErr w:type="spellStart"/>
      <w:r>
        <w:rPr>
          <w:rFonts w:ascii="Arial-BoldMT" w:hAnsi="Arial-BoldMT" w:cs="Arial-BoldMT"/>
          <w:bCs/>
          <w:sz w:val="20"/>
          <w:szCs w:val="20"/>
          <w:lang w:eastAsia="ja-JP"/>
        </w:rPr>
        <w:t>GroupKeyData</w:t>
      </w:r>
      <w:proofErr w:type="spellEnd"/>
      <w:r>
        <w:rPr>
          <w:rFonts w:ascii="Arial-BoldMT" w:hAnsi="Arial-BoldMT" w:cs="Arial-BoldMT"/>
          <w:bCs/>
          <w:sz w:val="20"/>
          <w:szCs w:val="20"/>
          <w:lang w:eastAsia="ja-JP"/>
        </w:rPr>
        <w:t>)</w:t>
      </w:r>
      <w:r w:rsidRPr="00775BB9">
        <w:rPr>
          <w:rFonts w:ascii="Arial-BoldMT" w:hAnsi="Arial-BoldMT" w:cs="Arial-BoldMT"/>
          <w:bCs/>
          <w:sz w:val="20"/>
          <w:szCs w:val="20"/>
          <w:lang w:eastAsia="ja-JP"/>
        </w:rPr>
        <w:t xml:space="preserve"> </w:t>
      </w:r>
      <w:r w:rsidR="00775BB9" w:rsidRPr="00775BB9">
        <w:rPr>
          <w:rFonts w:ascii="Arial-BoldMT" w:hAnsi="Arial-BoldMT" w:cs="Arial-BoldMT"/>
          <w:bCs/>
          <w:sz w:val="20"/>
          <w:szCs w:val="20"/>
          <w:lang w:eastAsia="ja-JP"/>
        </w:rPr>
        <w:t>part. A group key data part appears when a</w:t>
      </w:r>
      <w:r w:rsidR="00775BB9">
        <w:rPr>
          <w:rFonts w:ascii="Arial-BoldMT" w:hAnsi="Arial-BoldMT" w:cs="Arial-BoldMT"/>
          <w:bCs/>
          <w:sz w:val="20"/>
          <w:szCs w:val="20"/>
          <w:lang w:eastAsia="ja-JP"/>
        </w:rPr>
        <w:t xml:space="preserve"> </w:t>
      </w:r>
      <w:r w:rsidR="00775BB9" w:rsidRPr="00775BB9">
        <w:rPr>
          <w:rFonts w:ascii="Arial-BoldMT" w:hAnsi="Arial-BoldMT" w:cs="Arial-BoldMT"/>
          <w:bCs/>
          <w:sz w:val="20"/>
          <w:szCs w:val="20"/>
          <w:lang w:eastAsia="ja-JP"/>
        </w:rPr>
        <w:t>GKB is used to deliver a group key.</w:t>
      </w:r>
    </w:p>
    <w:p w:rsidR="00775BB9" w:rsidRPr="00775BB9" w:rsidRDefault="00775BB9" w:rsidP="00775BB9">
      <w:pPr>
        <w:widowControl w:val="0"/>
        <w:autoSpaceDE w:val="0"/>
        <w:autoSpaceDN w:val="0"/>
        <w:adjustRightInd w:val="0"/>
        <w:jc w:val="both"/>
        <w:rPr>
          <w:rFonts w:ascii="Arial-BoldMT" w:hAnsi="Arial-BoldMT" w:cs="Arial-BoldMT"/>
          <w:bCs/>
          <w:sz w:val="20"/>
          <w:szCs w:val="20"/>
          <w:lang w:eastAsia="ja-JP"/>
        </w:rPr>
      </w:pPr>
    </w:p>
    <w:p w:rsidR="00775BB9" w:rsidRDefault="005F3B5F" w:rsidP="00E41E84">
      <w:pPr>
        <w:widowControl w:val="0"/>
        <w:autoSpaceDE w:val="0"/>
        <w:autoSpaceDN w:val="0"/>
        <w:adjustRightInd w:val="0"/>
        <w:jc w:val="both"/>
        <w:rPr>
          <w:rFonts w:ascii="Arial-BoldMT" w:hAnsi="Arial-BoldMT" w:cs="Arial-BoldMT"/>
          <w:bCs/>
          <w:sz w:val="20"/>
          <w:szCs w:val="20"/>
          <w:lang w:eastAsia="ja-JP"/>
        </w:rPr>
      </w:pPr>
      <w:proofErr w:type="spellStart"/>
      <w:r>
        <w:rPr>
          <w:rFonts w:ascii="Arial-BoldMT" w:hAnsi="Arial-BoldMT" w:cs="Arial-BoldMT"/>
          <w:bCs/>
          <w:sz w:val="20"/>
          <w:szCs w:val="20"/>
          <w:lang w:eastAsia="ja-JP"/>
        </w:rPr>
        <w:t>CompleteS</w:t>
      </w:r>
      <w:r w:rsidR="00775BB9" w:rsidRPr="00775BB9">
        <w:rPr>
          <w:rFonts w:ascii="Arial-BoldMT" w:hAnsi="Arial-BoldMT" w:cs="Arial-BoldMT"/>
          <w:bCs/>
          <w:sz w:val="20"/>
          <w:szCs w:val="20"/>
          <w:lang w:eastAsia="ja-JP"/>
        </w:rPr>
        <w:t>ubtree</w:t>
      </w:r>
      <w:proofErr w:type="spellEnd"/>
      <w:r w:rsidR="00775BB9" w:rsidRPr="00775BB9">
        <w:rPr>
          <w:rFonts w:ascii="Arial-BoldMT" w:hAnsi="Arial-BoldMT" w:cs="Arial-BoldMT"/>
          <w:bCs/>
          <w:sz w:val="20"/>
          <w:szCs w:val="20"/>
          <w:lang w:eastAsia="ja-JP"/>
        </w:rPr>
        <w:t xml:space="preserve"> identifies all the </w:t>
      </w:r>
      <w:r w:rsidR="008662EB">
        <w:rPr>
          <w:rFonts w:ascii="Arial-BoldMT" w:hAnsi="Arial-BoldMT" w:cs="Arial-BoldMT"/>
          <w:bCs/>
          <w:sz w:val="20"/>
          <w:szCs w:val="20"/>
          <w:lang w:eastAsia="ja-JP"/>
        </w:rPr>
        <w:t>compl</w:t>
      </w:r>
      <w:r>
        <w:rPr>
          <w:rFonts w:ascii="Arial-BoldMT" w:hAnsi="Arial-BoldMT" w:cs="Arial-BoldMT"/>
          <w:bCs/>
          <w:sz w:val="20"/>
          <w:szCs w:val="20"/>
          <w:lang w:eastAsia="ja-JP"/>
        </w:rPr>
        <w:t>e</w:t>
      </w:r>
      <w:r w:rsidR="008662EB">
        <w:rPr>
          <w:rFonts w:ascii="Arial-BoldMT" w:hAnsi="Arial-BoldMT" w:cs="Arial-BoldMT"/>
          <w:bCs/>
          <w:sz w:val="20"/>
          <w:szCs w:val="20"/>
          <w:lang w:eastAsia="ja-JP"/>
        </w:rPr>
        <w:t xml:space="preserve">te </w:t>
      </w:r>
      <w:proofErr w:type="spellStart"/>
      <w:r w:rsidR="00775BB9" w:rsidRPr="00775BB9">
        <w:rPr>
          <w:rFonts w:ascii="Arial-BoldMT" w:hAnsi="Arial-BoldMT" w:cs="Arial-BoldMT"/>
          <w:bCs/>
          <w:sz w:val="20"/>
          <w:szCs w:val="20"/>
          <w:lang w:eastAsia="ja-JP"/>
        </w:rPr>
        <w:t>subtrees</w:t>
      </w:r>
      <w:proofErr w:type="spellEnd"/>
      <w:r w:rsidR="00775BB9" w:rsidRPr="00775BB9">
        <w:rPr>
          <w:rFonts w:ascii="Arial-BoldMT" w:hAnsi="Arial-BoldMT" w:cs="Arial-BoldMT"/>
          <w:bCs/>
          <w:sz w:val="20"/>
          <w:szCs w:val="20"/>
          <w:lang w:eastAsia="ja-JP"/>
        </w:rPr>
        <w:t xml:space="preserve"> covered by the group such that each member represented by a leaf node in the group belongs to one and only one complete </w:t>
      </w:r>
      <w:proofErr w:type="spellStart"/>
      <w:r w:rsidR="00775BB9" w:rsidRPr="00775BB9">
        <w:rPr>
          <w:rFonts w:ascii="Arial-BoldMT" w:hAnsi="Arial-BoldMT" w:cs="Arial-BoldMT"/>
          <w:bCs/>
          <w:sz w:val="20"/>
          <w:szCs w:val="20"/>
          <w:lang w:eastAsia="ja-JP"/>
        </w:rPr>
        <w:t>subtree</w:t>
      </w:r>
      <w:proofErr w:type="spellEnd"/>
      <w:r w:rsidR="00775BB9" w:rsidRPr="00775BB9">
        <w:rPr>
          <w:rFonts w:ascii="Arial-BoldMT" w:hAnsi="Arial-BoldMT" w:cs="Arial-BoldMT"/>
          <w:bCs/>
          <w:sz w:val="20"/>
          <w:szCs w:val="20"/>
          <w:lang w:eastAsia="ja-JP"/>
        </w:rPr>
        <w:t>. Each complete</w:t>
      </w:r>
      <w:r w:rsidR="00775BB9">
        <w:rPr>
          <w:rFonts w:ascii="Arial-BoldMT" w:hAnsi="Arial-BoldMT" w:cs="Arial-BoldMT"/>
          <w:bCs/>
          <w:sz w:val="20"/>
          <w:szCs w:val="20"/>
          <w:lang w:eastAsia="ja-JP"/>
        </w:rPr>
        <w:t xml:space="preserve"> </w:t>
      </w:r>
      <w:proofErr w:type="spellStart"/>
      <w:r w:rsidR="00775BB9" w:rsidRPr="00775BB9">
        <w:rPr>
          <w:rFonts w:ascii="Arial-BoldMT" w:hAnsi="Arial-BoldMT" w:cs="Arial-BoldMT"/>
          <w:bCs/>
          <w:sz w:val="20"/>
          <w:szCs w:val="20"/>
          <w:lang w:eastAsia="ja-JP"/>
        </w:rPr>
        <w:t>subtree</w:t>
      </w:r>
      <w:proofErr w:type="spellEnd"/>
      <w:r w:rsidR="00775BB9" w:rsidRPr="00775BB9">
        <w:rPr>
          <w:rFonts w:ascii="Arial-BoldMT" w:hAnsi="Arial-BoldMT" w:cs="Arial-BoldMT"/>
          <w:bCs/>
          <w:sz w:val="20"/>
          <w:szCs w:val="20"/>
          <w:lang w:eastAsia="ja-JP"/>
        </w:rPr>
        <w:t xml:space="preserve"> is identified by its root node. Each root node has a Node Index. A Node Index is a pair of binary</w:t>
      </w:r>
      <w:r w:rsidR="00775BB9">
        <w:rPr>
          <w:rFonts w:ascii="Arial-BoldMT" w:hAnsi="Arial-BoldMT" w:cs="Arial-BoldMT"/>
          <w:bCs/>
          <w:sz w:val="20"/>
          <w:szCs w:val="20"/>
          <w:lang w:eastAsia="ja-JP"/>
        </w:rPr>
        <w:t xml:space="preserve"> </w:t>
      </w:r>
      <w:r w:rsidR="00775BB9" w:rsidRPr="00775BB9">
        <w:rPr>
          <w:rFonts w:ascii="Arial-BoldMT" w:hAnsi="Arial-BoldMT" w:cs="Arial-BoldMT"/>
          <w:bCs/>
          <w:sz w:val="20"/>
          <w:szCs w:val="20"/>
          <w:lang w:eastAsia="ja-JP"/>
        </w:rPr>
        <w:t>strings (Node Depth, Node Index Value). The first parameter, Node Depth, indicates the binary length of</w:t>
      </w:r>
      <w:r w:rsidR="00775BB9">
        <w:rPr>
          <w:rFonts w:ascii="Arial-BoldMT" w:hAnsi="Arial-BoldMT" w:cs="Arial-BoldMT"/>
          <w:bCs/>
          <w:sz w:val="20"/>
          <w:szCs w:val="20"/>
          <w:lang w:eastAsia="ja-JP"/>
        </w:rPr>
        <w:t xml:space="preserve"> </w:t>
      </w:r>
      <w:r w:rsidR="00775BB9" w:rsidRPr="00775BB9">
        <w:rPr>
          <w:rFonts w:ascii="Arial-BoldMT" w:hAnsi="Arial-BoldMT" w:cs="Arial-BoldMT"/>
          <w:bCs/>
          <w:sz w:val="20"/>
          <w:szCs w:val="20"/>
          <w:lang w:eastAsia="ja-JP"/>
        </w:rPr>
        <w:t>the index of the root node represented by one octet. The second parameter, Node Index Value, is a binary</w:t>
      </w:r>
      <w:r w:rsidR="00775BB9">
        <w:rPr>
          <w:rFonts w:ascii="Arial-BoldMT" w:hAnsi="Arial-BoldMT" w:cs="Arial-BoldMT"/>
          <w:bCs/>
          <w:sz w:val="20"/>
          <w:szCs w:val="20"/>
          <w:lang w:eastAsia="ja-JP"/>
        </w:rPr>
        <w:t xml:space="preserve"> </w:t>
      </w:r>
      <w:r w:rsidR="00775BB9" w:rsidRPr="00775BB9">
        <w:rPr>
          <w:rFonts w:ascii="Arial-BoldMT" w:hAnsi="Arial-BoldMT" w:cs="Arial-BoldMT"/>
          <w:bCs/>
          <w:sz w:val="20"/>
          <w:szCs w:val="20"/>
          <w:lang w:eastAsia="ja-JP"/>
        </w:rPr>
        <w:t>string representing the index of the root node.</w:t>
      </w:r>
    </w:p>
    <w:p w:rsidR="00775BB9" w:rsidRPr="00775BB9" w:rsidRDefault="00775BB9" w:rsidP="00E41E84">
      <w:pPr>
        <w:widowControl w:val="0"/>
        <w:autoSpaceDE w:val="0"/>
        <w:autoSpaceDN w:val="0"/>
        <w:adjustRightInd w:val="0"/>
        <w:jc w:val="both"/>
        <w:rPr>
          <w:rFonts w:ascii="Arial-BoldMT" w:hAnsi="Arial-BoldMT" w:cs="Arial-BoldMT"/>
          <w:bCs/>
          <w:sz w:val="20"/>
          <w:szCs w:val="20"/>
          <w:lang w:eastAsia="ja-JP"/>
        </w:rPr>
      </w:pPr>
    </w:p>
    <w:p w:rsidR="00775BB9" w:rsidRPr="00775BB9" w:rsidRDefault="00775BB9" w:rsidP="00E41E84">
      <w:pPr>
        <w:widowControl w:val="0"/>
        <w:autoSpaceDE w:val="0"/>
        <w:autoSpaceDN w:val="0"/>
        <w:adjustRightInd w:val="0"/>
        <w:jc w:val="both"/>
        <w:rPr>
          <w:rFonts w:ascii="Arial-BoldMT" w:hAnsi="Arial-BoldMT" w:cs="Arial-BoldMT"/>
          <w:bCs/>
          <w:sz w:val="20"/>
          <w:szCs w:val="20"/>
          <w:lang w:eastAsia="ja-JP"/>
        </w:rPr>
      </w:pPr>
      <w:r w:rsidRPr="00775BB9">
        <w:rPr>
          <w:rFonts w:ascii="Arial-BoldMT" w:hAnsi="Arial-BoldMT" w:cs="Arial-BoldMT"/>
          <w:bCs/>
          <w:sz w:val="20"/>
          <w:szCs w:val="20"/>
          <w:lang w:eastAsia="ja-JP"/>
        </w:rPr>
        <w:t>The Node Depth is represented by an octet. The corresponding integer L is the binary length of the index of</w:t>
      </w:r>
      <w:r>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 xml:space="preserve">the root node representing the complete </w:t>
      </w:r>
      <w:proofErr w:type="spellStart"/>
      <w:r w:rsidRPr="00775BB9">
        <w:rPr>
          <w:rFonts w:ascii="Arial-BoldMT" w:hAnsi="Arial-BoldMT" w:cs="Arial-BoldMT"/>
          <w:bCs/>
          <w:sz w:val="20"/>
          <w:szCs w:val="20"/>
          <w:lang w:eastAsia="ja-JP"/>
        </w:rPr>
        <w:t>subtree</w:t>
      </w:r>
      <w:proofErr w:type="spellEnd"/>
      <w:r w:rsidRPr="00775BB9">
        <w:rPr>
          <w:rFonts w:ascii="Arial-BoldMT" w:hAnsi="Arial-BoldMT" w:cs="Arial-BoldMT"/>
          <w:bCs/>
          <w:sz w:val="20"/>
          <w:szCs w:val="20"/>
          <w:lang w:eastAsia="ja-JP"/>
        </w:rPr>
        <w:t xml:space="preserve">. The Node Index Value is represented by </w:t>
      </w:r>
      <w:r w:rsidRPr="00775BB9">
        <w:rPr>
          <w:rFonts w:ascii="Cambria Math" w:hAnsi="Cambria Math" w:cs="Cambria Math"/>
          <w:bCs/>
          <w:sz w:val="20"/>
          <w:szCs w:val="20"/>
          <w:lang w:eastAsia="ja-JP"/>
        </w:rPr>
        <w:t>⎡</w:t>
      </w:r>
      <w:r w:rsidRPr="00775BB9">
        <w:rPr>
          <w:rFonts w:ascii="Arial-BoldMT" w:hAnsi="Arial-BoldMT" w:cs="Arial-BoldMT"/>
          <w:bCs/>
          <w:sz w:val="20"/>
          <w:szCs w:val="20"/>
          <w:lang w:eastAsia="ja-JP"/>
        </w:rPr>
        <w:t>L/8</w:t>
      </w:r>
      <w:r w:rsidRPr="00775BB9">
        <w:rPr>
          <w:rFonts w:ascii="Cambria Math" w:hAnsi="Cambria Math" w:cs="Cambria Math"/>
          <w:bCs/>
          <w:sz w:val="20"/>
          <w:szCs w:val="20"/>
          <w:lang w:eastAsia="ja-JP"/>
        </w:rPr>
        <w:t>⎤</w:t>
      </w:r>
      <w:r w:rsidRPr="00775BB9">
        <w:rPr>
          <w:rFonts w:ascii="Arial" w:hAnsi="Arial" w:cs="Arial"/>
          <w:bCs/>
          <w:sz w:val="20"/>
          <w:szCs w:val="20"/>
          <w:lang w:eastAsia="ja-JP"/>
        </w:rPr>
        <w:t xml:space="preserve"> octets,</w:t>
      </w:r>
      <w:r>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 xml:space="preserve">where </w:t>
      </w:r>
      <w:r w:rsidRPr="00775BB9">
        <w:rPr>
          <w:rFonts w:ascii="Cambria Math" w:hAnsi="Cambria Math" w:cs="Cambria Math"/>
          <w:bCs/>
          <w:sz w:val="20"/>
          <w:szCs w:val="20"/>
          <w:lang w:eastAsia="ja-JP"/>
        </w:rPr>
        <w:t>⎡</w:t>
      </w:r>
      <w:r w:rsidRPr="00775BB9">
        <w:rPr>
          <w:rFonts w:ascii="Arial-BoldMT" w:hAnsi="Arial-BoldMT" w:cs="Arial-BoldMT"/>
          <w:bCs/>
          <w:sz w:val="20"/>
          <w:szCs w:val="20"/>
          <w:lang w:eastAsia="ja-JP"/>
        </w:rPr>
        <w:t>x</w:t>
      </w:r>
      <w:r w:rsidRPr="00775BB9">
        <w:rPr>
          <w:rFonts w:ascii="Cambria Math" w:hAnsi="Cambria Math" w:cs="Cambria Math"/>
          <w:bCs/>
          <w:sz w:val="20"/>
          <w:szCs w:val="20"/>
          <w:lang w:eastAsia="ja-JP"/>
        </w:rPr>
        <w:t>⎤</w:t>
      </w:r>
      <w:r w:rsidRPr="00775BB9">
        <w:rPr>
          <w:rFonts w:ascii="Arial" w:hAnsi="Arial" w:cs="Arial"/>
          <w:bCs/>
          <w:sz w:val="20"/>
          <w:szCs w:val="20"/>
          <w:lang w:eastAsia="ja-JP"/>
        </w:rPr>
        <w:t xml:space="preserve"> is the ceiling function, which takes the minimum integer,</w:t>
      </w:r>
      <w:r w:rsidRPr="00775BB9">
        <w:rPr>
          <w:rFonts w:ascii="Arial-BoldMT" w:hAnsi="Arial-BoldMT" w:cs="Arial-BoldMT"/>
          <w:bCs/>
          <w:sz w:val="20"/>
          <w:szCs w:val="20"/>
          <w:lang w:eastAsia="ja-JP"/>
        </w:rPr>
        <w:t xml:space="preserve"> which is larger than or equal to x. For</w:t>
      </w:r>
      <w:r w:rsidR="00B03102">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 xml:space="preserve">example, </w:t>
      </w:r>
      <w:r w:rsidRPr="00775BB9">
        <w:rPr>
          <w:rFonts w:ascii="Cambria Math" w:hAnsi="Cambria Math" w:cs="Cambria Math"/>
          <w:bCs/>
          <w:sz w:val="20"/>
          <w:szCs w:val="20"/>
          <w:lang w:eastAsia="ja-JP"/>
        </w:rPr>
        <w:t>⎡</w:t>
      </w:r>
      <w:r w:rsidRPr="00775BB9">
        <w:rPr>
          <w:rFonts w:ascii="Arial-BoldMT" w:hAnsi="Arial-BoldMT" w:cs="Arial-BoldMT"/>
          <w:bCs/>
          <w:sz w:val="20"/>
          <w:szCs w:val="20"/>
          <w:lang w:eastAsia="ja-JP"/>
        </w:rPr>
        <w:t>1.2</w:t>
      </w:r>
      <w:r w:rsidRPr="00775BB9">
        <w:rPr>
          <w:rFonts w:ascii="Cambria Math" w:hAnsi="Cambria Math" w:cs="Cambria Math"/>
          <w:bCs/>
          <w:sz w:val="20"/>
          <w:szCs w:val="20"/>
          <w:lang w:eastAsia="ja-JP"/>
        </w:rPr>
        <w:t>⎤</w:t>
      </w:r>
      <w:r w:rsidRPr="00775BB9">
        <w:rPr>
          <w:rFonts w:ascii="Arial" w:hAnsi="Arial" w:cs="Arial"/>
          <w:bCs/>
          <w:sz w:val="20"/>
          <w:szCs w:val="20"/>
          <w:lang w:eastAsia="ja-JP"/>
        </w:rPr>
        <w:t xml:space="preserve"> = 2. With the ceiling function, to demonstrate, if the value of a Node Depth L is between 1</w:t>
      </w:r>
      <w:r w:rsidR="00B03102">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and 8, the size of the binary string used to represent the Node Index Value is 1 octet (= 8 bits). If L is</w:t>
      </w:r>
      <w:r w:rsidR="00B03102">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between 9 and 16, the size of the binary string used to represent the Node Index Value is 2 octets (= 16bits). A Node Index Value is left aligned in the network byte order. A Node Index Value shall have a zero</w:t>
      </w:r>
      <w:r w:rsidR="00B03102">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padding added to the right. An example of Node Index is (0x05, 0b10011000). This Node Index represents</w:t>
      </w:r>
      <w:r w:rsidR="00B03102">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 xml:space="preserve">the node ‘10011’, which is the root node of the complete </w:t>
      </w:r>
      <w:proofErr w:type="spellStart"/>
      <w:r w:rsidRPr="00775BB9">
        <w:rPr>
          <w:rFonts w:ascii="Arial-BoldMT" w:hAnsi="Arial-BoldMT" w:cs="Arial-BoldMT"/>
          <w:bCs/>
          <w:sz w:val="20"/>
          <w:szCs w:val="20"/>
          <w:lang w:eastAsia="ja-JP"/>
        </w:rPr>
        <w:t>subtree</w:t>
      </w:r>
      <w:proofErr w:type="spellEnd"/>
      <w:r w:rsidRPr="00775BB9">
        <w:rPr>
          <w:rFonts w:ascii="Arial-BoldMT" w:hAnsi="Arial-BoldMT" w:cs="Arial-BoldMT"/>
          <w:bCs/>
          <w:sz w:val="20"/>
          <w:szCs w:val="20"/>
          <w:lang w:eastAsia="ja-JP"/>
        </w:rPr>
        <w:t xml:space="preserve"> in a key tree. The depth of the key tree is a</w:t>
      </w:r>
    </w:p>
    <w:p w:rsidR="00775BB9" w:rsidRPr="00775BB9" w:rsidRDefault="00775BB9" w:rsidP="00E41E84">
      <w:pPr>
        <w:widowControl w:val="0"/>
        <w:autoSpaceDE w:val="0"/>
        <w:autoSpaceDN w:val="0"/>
        <w:adjustRightInd w:val="0"/>
        <w:jc w:val="both"/>
        <w:rPr>
          <w:rFonts w:ascii="Arial-BoldMT" w:hAnsi="Arial-BoldMT" w:cs="Arial-BoldMT"/>
          <w:bCs/>
          <w:sz w:val="20"/>
          <w:szCs w:val="20"/>
          <w:lang w:eastAsia="ja-JP"/>
        </w:rPr>
      </w:pPr>
      <w:r w:rsidRPr="00775BB9">
        <w:rPr>
          <w:rFonts w:ascii="Arial-BoldMT" w:hAnsi="Arial-BoldMT" w:cs="Arial-BoldMT"/>
          <w:bCs/>
          <w:sz w:val="20"/>
          <w:szCs w:val="20"/>
          <w:lang w:eastAsia="ja-JP"/>
        </w:rPr>
        <w:t>system parameter and configured to the applications. If the key tree has depth 8, then the root node ‘10011’</w:t>
      </w:r>
      <w:r w:rsidR="00B03102">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 xml:space="preserve">identifies a depth-3 complete </w:t>
      </w:r>
      <w:proofErr w:type="spellStart"/>
      <w:r w:rsidRPr="00775BB9">
        <w:rPr>
          <w:rFonts w:ascii="Arial-BoldMT" w:hAnsi="Arial-BoldMT" w:cs="Arial-BoldMT"/>
          <w:bCs/>
          <w:sz w:val="20"/>
          <w:szCs w:val="20"/>
          <w:lang w:eastAsia="ja-JP"/>
        </w:rPr>
        <w:t>subtree</w:t>
      </w:r>
      <w:proofErr w:type="spellEnd"/>
      <w:r w:rsidRPr="00775BB9">
        <w:rPr>
          <w:rFonts w:ascii="Arial-BoldMT" w:hAnsi="Arial-BoldMT" w:cs="Arial-BoldMT"/>
          <w:bCs/>
          <w:sz w:val="20"/>
          <w:szCs w:val="20"/>
          <w:lang w:eastAsia="ja-JP"/>
        </w:rPr>
        <w:t>. Another example of Node Index is (0x0e, 0b1100101000011100),which represents the node ‘11001010000111’. If it is in a depth-16 key tree, then the node identifies a</w:t>
      </w:r>
      <w:r w:rsidR="00B03102">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 xml:space="preserve">depth-2 complete </w:t>
      </w:r>
      <w:proofErr w:type="spellStart"/>
      <w:r w:rsidRPr="00775BB9">
        <w:rPr>
          <w:rFonts w:ascii="Arial-BoldMT" w:hAnsi="Arial-BoldMT" w:cs="Arial-BoldMT"/>
          <w:bCs/>
          <w:sz w:val="20"/>
          <w:szCs w:val="20"/>
          <w:lang w:eastAsia="ja-JP"/>
        </w:rPr>
        <w:t>subtree</w:t>
      </w:r>
      <w:proofErr w:type="spellEnd"/>
      <w:r w:rsidRPr="00775BB9">
        <w:rPr>
          <w:rFonts w:ascii="Arial-BoldMT" w:hAnsi="Arial-BoldMT" w:cs="Arial-BoldMT"/>
          <w:bCs/>
          <w:sz w:val="20"/>
          <w:szCs w:val="20"/>
          <w:lang w:eastAsia="ja-JP"/>
        </w:rPr>
        <w:t>.</w:t>
      </w:r>
      <w:r w:rsidR="00B03102">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IEEE P802.21d/D4.0, April 2014</w:t>
      </w:r>
    </w:p>
    <w:p w:rsidR="00775BB9" w:rsidRPr="00775BB9" w:rsidRDefault="00775BB9" w:rsidP="00E41E84">
      <w:pPr>
        <w:widowControl w:val="0"/>
        <w:autoSpaceDE w:val="0"/>
        <w:autoSpaceDN w:val="0"/>
        <w:adjustRightInd w:val="0"/>
        <w:jc w:val="both"/>
        <w:rPr>
          <w:rFonts w:ascii="Arial-BoldMT" w:hAnsi="Arial-BoldMT" w:cs="Arial-BoldMT"/>
          <w:bCs/>
          <w:sz w:val="20"/>
          <w:szCs w:val="20"/>
          <w:lang w:eastAsia="ja-JP"/>
        </w:rPr>
      </w:pPr>
    </w:p>
    <w:p w:rsidR="00775BB9" w:rsidRPr="00775BB9" w:rsidRDefault="00775BB9" w:rsidP="00E41E84">
      <w:pPr>
        <w:widowControl w:val="0"/>
        <w:autoSpaceDE w:val="0"/>
        <w:autoSpaceDN w:val="0"/>
        <w:adjustRightInd w:val="0"/>
        <w:jc w:val="both"/>
        <w:rPr>
          <w:rFonts w:ascii="Arial-BoldMT" w:hAnsi="Arial-BoldMT" w:cs="Arial-BoldMT"/>
          <w:bCs/>
          <w:sz w:val="20"/>
          <w:szCs w:val="20"/>
          <w:lang w:eastAsia="ja-JP"/>
        </w:rPr>
      </w:pPr>
      <w:r w:rsidRPr="00775BB9">
        <w:rPr>
          <w:rFonts w:ascii="Arial-BoldMT" w:hAnsi="Arial-BoldMT" w:cs="Arial-BoldMT"/>
          <w:bCs/>
          <w:sz w:val="20"/>
          <w:szCs w:val="20"/>
          <w:lang w:eastAsia="ja-JP"/>
        </w:rPr>
        <w:t xml:space="preserve">A complete </w:t>
      </w:r>
      <w:proofErr w:type="spellStart"/>
      <w:r w:rsidRPr="00775BB9">
        <w:rPr>
          <w:rFonts w:ascii="Arial-BoldMT" w:hAnsi="Arial-BoldMT" w:cs="Arial-BoldMT"/>
          <w:bCs/>
          <w:sz w:val="20"/>
          <w:szCs w:val="20"/>
          <w:lang w:eastAsia="ja-JP"/>
        </w:rPr>
        <w:t>subtree</w:t>
      </w:r>
      <w:proofErr w:type="spellEnd"/>
      <w:r w:rsidRPr="00775BB9">
        <w:rPr>
          <w:rFonts w:ascii="Arial-BoldMT" w:hAnsi="Arial-BoldMT" w:cs="Arial-BoldMT"/>
          <w:bCs/>
          <w:sz w:val="20"/>
          <w:szCs w:val="20"/>
          <w:lang w:eastAsia="ja-JP"/>
        </w:rPr>
        <w:t xml:space="preserve"> part is a list of Node Indices. The Node Indices are ordered based on the 1 following rule.</w:t>
      </w:r>
      <w:r w:rsidR="00E41E84">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 xml:space="preserve">Let (L1, I1) and (L2, I2) be two Node Indices. (L1, I1) appears in the front of (L2, I2), </w:t>
      </w:r>
      <w:r w:rsidRPr="00775BB9">
        <w:rPr>
          <w:rFonts w:ascii="Arial-BoldMT" w:hAnsi="Arial-BoldMT" w:cs="Arial-BoldMT"/>
          <w:bCs/>
          <w:sz w:val="20"/>
          <w:szCs w:val="20"/>
          <w:lang w:eastAsia="ja-JP"/>
        </w:rPr>
        <w:lastRenderedPageBreak/>
        <w:t xml:space="preserve">if and only if </w:t>
      </w:r>
      <w:proofErr w:type="spellStart"/>
      <w:r w:rsidRPr="00775BB9">
        <w:rPr>
          <w:rFonts w:ascii="Arial-BoldMT" w:hAnsi="Arial-BoldMT" w:cs="Arial-BoldMT"/>
          <w:bCs/>
          <w:sz w:val="20"/>
          <w:szCs w:val="20"/>
          <w:lang w:eastAsia="ja-JP"/>
        </w:rPr>
        <w:t>Int</w:t>
      </w:r>
      <w:proofErr w:type="spellEnd"/>
      <w:r w:rsidRPr="00775BB9">
        <w:rPr>
          <w:rFonts w:ascii="Arial-BoldMT" w:hAnsi="Arial-BoldMT" w:cs="Arial-BoldMT"/>
          <w:bCs/>
          <w:sz w:val="20"/>
          <w:szCs w:val="20"/>
          <w:lang w:eastAsia="ja-JP"/>
        </w:rPr>
        <w:t>(d, I1) &lt;</w:t>
      </w:r>
      <w:r w:rsidR="00B03102">
        <w:rPr>
          <w:rFonts w:ascii="Arial-BoldMT" w:hAnsi="Arial-BoldMT" w:cs="Arial-BoldMT"/>
          <w:bCs/>
          <w:sz w:val="20"/>
          <w:szCs w:val="20"/>
          <w:lang w:eastAsia="ja-JP"/>
        </w:rPr>
        <w:t xml:space="preserve"> </w:t>
      </w:r>
      <w:proofErr w:type="spellStart"/>
      <w:r w:rsidRPr="00775BB9">
        <w:rPr>
          <w:rFonts w:ascii="Arial-BoldMT" w:hAnsi="Arial-BoldMT" w:cs="Arial-BoldMT"/>
          <w:bCs/>
          <w:sz w:val="20"/>
          <w:szCs w:val="20"/>
          <w:lang w:eastAsia="ja-JP"/>
        </w:rPr>
        <w:t>Int</w:t>
      </w:r>
      <w:proofErr w:type="spellEnd"/>
      <w:r w:rsidRPr="00775BB9">
        <w:rPr>
          <w:rFonts w:ascii="Arial-BoldMT" w:hAnsi="Arial-BoldMT" w:cs="Arial-BoldMT"/>
          <w:bCs/>
          <w:sz w:val="20"/>
          <w:szCs w:val="20"/>
          <w:lang w:eastAsia="ja-JP"/>
        </w:rPr>
        <w:t xml:space="preserve">(d, I2), where </w:t>
      </w:r>
      <w:proofErr w:type="spellStart"/>
      <w:r w:rsidRPr="00775BB9">
        <w:rPr>
          <w:rFonts w:ascii="Arial-BoldMT" w:hAnsi="Arial-BoldMT" w:cs="Arial-BoldMT"/>
          <w:bCs/>
          <w:sz w:val="20"/>
          <w:szCs w:val="20"/>
          <w:lang w:eastAsia="ja-JP"/>
        </w:rPr>
        <w:t>Int</w:t>
      </w:r>
      <w:proofErr w:type="spellEnd"/>
      <w:r w:rsidRPr="00775BB9">
        <w:rPr>
          <w:rFonts w:ascii="Arial-BoldMT" w:hAnsi="Arial-BoldMT" w:cs="Arial-BoldMT"/>
          <w:bCs/>
          <w:sz w:val="20"/>
          <w:szCs w:val="20"/>
          <w:lang w:eastAsia="ja-JP"/>
        </w:rPr>
        <w:t xml:space="preserve">(d, </w:t>
      </w:r>
      <w:proofErr w:type="spellStart"/>
      <w:r w:rsidRPr="00775BB9">
        <w:rPr>
          <w:rFonts w:ascii="Arial-BoldMT" w:hAnsi="Arial-BoldMT" w:cs="Arial-BoldMT"/>
          <w:bCs/>
          <w:sz w:val="20"/>
          <w:szCs w:val="20"/>
          <w:lang w:eastAsia="ja-JP"/>
        </w:rPr>
        <w:t>Ih</w:t>
      </w:r>
      <w:proofErr w:type="spellEnd"/>
      <w:r w:rsidRPr="00775BB9">
        <w:rPr>
          <w:rFonts w:ascii="Arial-BoldMT" w:hAnsi="Arial-BoldMT" w:cs="Arial-BoldMT"/>
          <w:bCs/>
          <w:sz w:val="20"/>
          <w:szCs w:val="20"/>
          <w:lang w:eastAsia="ja-JP"/>
        </w:rPr>
        <w:t xml:space="preserve">) is a function to convert binary index </w:t>
      </w:r>
      <w:proofErr w:type="spellStart"/>
      <w:r w:rsidRPr="00775BB9">
        <w:rPr>
          <w:rFonts w:ascii="Arial-BoldMT" w:hAnsi="Arial-BoldMT" w:cs="Arial-BoldMT"/>
          <w:bCs/>
          <w:sz w:val="20"/>
          <w:szCs w:val="20"/>
          <w:lang w:eastAsia="ja-JP"/>
        </w:rPr>
        <w:t>Ih</w:t>
      </w:r>
      <w:proofErr w:type="spellEnd"/>
      <w:r w:rsidRPr="00775BB9">
        <w:rPr>
          <w:rFonts w:ascii="Arial-BoldMT" w:hAnsi="Arial-BoldMT" w:cs="Arial-BoldMT"/>
          <w:bCs/>
          <w:sz w:val="20"/>
          <w:szCs w:val="20"/>
          <w:lang w:eastAsia="ja-JP"/>
        </w:rPr>
        <w:t xml:space="preserve"> to an d-bit long integer. It uses </w:t>
      </w:r>
      <w:proofErr w:type="spellStart"/>
      <w:r w:rsidRPr="00775BB9">
        <w:rPr>
          <w:rFonts w:ascii="Arial-BoldMT" w:hAnsi="Arial-BoldMT" w:cs="Arial-BoldMT"/>
          <w:bCs/>
          <w:sz w:val="20"/>
          <w:szCs w:val="20"/>
          <w:lang w:eastAsia="ja-JP"/>
        </w:rPr>
        <w:t>Ih</w:t>
      </w:r>
      <w:proofErr w:type="spellEnd"/>
      <w:r w:rsidRPr="00775BB9">
        <w:rPr>
          <w:rFonts w:ascii="Arial-BoldMT" w:hAnsi="Arial-BoldMT" w:cs="Arial-BoldMT"/>
          <w:bCs/>
          <w:sz w:val="20"/>
          <w:szCs w:val="20"/>
          <w:lang w:eastAsia="ja-JP"/>
        </w:rPr>
        <w:t xml:space="preserve"> as the binary values in the most significant bits of a d-bit integer. For example, if d=8, (0x05, 0b10011000) is converted to 27+24+23 = 152. When another Node Index is (0x08, 0b00011001) (with index 00011001 and</w:t>
      </w:r>
      <w:r w:rsidR="00B03102">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convert to 24+23+1=25), then (0x05, 0b10011000) appears first. A group key data part of a GKB is a</w:t>
      </w:r>
      <w:r w:rsidR="00B03102">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 xml:space="preserve">sequence of </w:t>
      </w:r>
      <w:proofErr w:type="spellStart"/>
      <w:r w:rsidRPr="00775BB9">
        <w:rPr>
          <w:rFonts w:ascii="Arial-BoldMT" w:hAnsi="Arial-BoldMT" w:cs="Arial-BoldMT"/>
          <w:bCs/>
          <w:sz w:val="20"/>
          <w:szCs w:val="20"/>
          <w:lang w:eastAsia="ja-JP"/>
        </w:rPr>
        <w:t>ciphertexts</w:t>
      </w:r>
      <w:proofErr w:type="spellEnd"/>
      <w:r w:rsidRPr="00775BB9">
        <w:rPr>
          <w:rFonts w:ascii="Arial-BoldMT" w:hAnsi="Arial-BoldMT" w:cs="Arial-BoldMT"/>
          <w:bCs/>
          <w:sz w:val="20"/>
          <w:szCs w:val="20"/>
          <w:lang w:eastAsia="ja-JP"/>
        </w:rPr>
        <w:t xml:space="preserve"> of the encrypted group key, where a group key is encrypted by Node Keys</w:t>
      </w:r>
      <w:r w:rsidR="00B03102">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 xml:space="preserve">corresponding to all the root nodes of the complete </w:t>
      </w:r>
      <w:proofErr w:type="spellStart"/>
      <w:r w:rsidRPr="00775BB9">
        <w:rPr>
          <w:rFonts w:ascii="Arial-BoldMT" w:hAnsi="Arial-BoldMT" w:cs="Arial-BoldMT"/>
          <w:bCs/>
          <w:sz w:val="20"/>
          <w:szCs w:val="20"/>
          <w:lang w:eastAsia="ja-JP"/>
        </w:rPr>
        <w:t>subtrees</w:t>
      </w:r>
      <w:proofErr w:type="spellEnd"/>
      <w:r w:rsidRPr="00775BB9">
        <w:rPr>
          <w:rFonts w:ascii="Arial-BoldMT" w:hAnsi="Arial-BoldMT" w:cs="Arial-BoldMT"/>
          <w:bCs/>
          <w:sz w:val="20"/>
          <w:szCs w:val="20"/>
          <w:lang w:eastAsia="ja-JP"/>
        </w:rPr>
        <w:t xml:space="preserve"> covered by the group. There is a one-on</w:t>
      </w:r>
      <w:r w:rsidR="00B03102">
        <w:rPr>
          <w:rFonts w:ascii="Arial-BoldMT" w:hAnsi="Arial-BoldMT" w:cs="Arial-BoldMT"/>
          <w:bCs/>
          <w:sz w:val="20"/>
          <w:szCs w:val="20"/>
          <w:lang w:eastAsia="ja-JP"/>
        </w:rPr>
        <w:t>e</w:t>
      </w:r>
      <w:r w:rsidRPr="00775BB9">
        <w:rPr>
          <w:rFonts w:ascii="Arial-BoldMT" w:hAnsi="Arial-BoldMT" w:cs="Arial-BoldMT"/>
          <w:bCs/>
          <w:sz w:val="20"/>
          <w:szCs w:val="20"/>
          <w:lang w:eastAsia="ja-JP"/>
        </w:rPr>
        <w:t xml:space="preserve"> correspondence between the complete </w:t>
      </w:r>
      <w:proofErr w:type="spellStart"/>
      <w:r w:rsidRPr="00775BB9">
        <w:rPr>
          <w:rFonts w:ascii="Arial-BoldMT" w:hAnsi="Arial-BoldMT" w:cs="Arial-BoldMT"/>
          <w:bCs/>
          <w:sz w:val="20"/>
          <w:szCs w:val="20"/>
          <w:lang w:eastAsia="ja-JP"/>
        </w:rPr>
        <w:t>subtree</w:t>
      </w:r>
      <w:proofErr w:type="spellEnd"/>
      <w:r w:rsidRPr="00775BB9">
        <w:rPr>
          <w:rFonts w:ascii="Arial-BoldMT" w:hAnsi="Arial-BoldMT" w:cs="Arial-BoldMT"/>
          <w:bCs/>
          <w:sz w:val="20"/>
          <w:szCs w:val="20"/>
          <w:lang w:eastAsia="ja-JP"/>
        </w:rPr>
        <w:t xml:space="preserve"> part and the group key data part in a GKB. The number of</w:t>
      </w:r>
      <w:r w:rsidR="00B03102">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 xml:space="preserve">Node Indices, i.e. the number of complete </w:t>
      </w:r>
      <w:proofErr w:type="spellStart"/>
      <w:r w:rsidRPr="00775BB9">
        <w:rPr>
          <w:rFonts w:ascii="Arial-BoldMT" w:hAnsi="Arial-BoldMT" w:cs="Arial-BoldMT"/>
          <w:bCs/>
          <w:sz w:val="20"/>
          <w:szCs w:val="20"/>
          <w:lang w:eastAsia="ja-JP"/>
        </w:rPr>
        <w:t>subtrees</w:t>
      </w:r>
      <w:proofErr w:type="spellEnd"/>
      <w:r w:rsidRPr="00775BB9">
        <w:rPr>
          <w:rFonts w:ascii="Arial-BoldMT" w:hAnsi="Arial-BoldMT" w:cs="Arial-BoldMT"/>
          <w:bCs/>
          <w:sz w:val="20"/>
          <w:szCs w:val="20"/>
          <w:lang w:eastAsia="ja-JP"/>
        </w:rPr>
        <w:t xml:space="preserve">, in the complete </w:t>
      </w:r>
      <w:proofErr w:type="spellStart"/>
      <w:r w:rsidRPr="00775BB9">
        <w:rPr>
          <w:rFonts w:ascii="Arial-BoldMT" w:hAnsi="Arial-BoldMT" w:cs="Arial-BoldMT"/>
          <w:bCs/>
          <w:sz w:val="20"/>
          <w:szCs w:val="20"/>
          <w:lang w:eastAsia="ja-JP"/>
        </w:rPr>
        <w:t>subtree</w:t>
      </w:r>
      <w:proofErr w:type="spellEnd"/>
      <w:r w:rsidRPr="00775BB9">
        <w:rPr>
          <w:rFonts w:ascii="Arial-BoldMT" w:hAnsi="Arial-BoldMT" w:cs="Arial-BoldMT"/>
          <w:bCs/>
          <w:sz w:val="20"/>
          <w:szCs w:val="20"/>
          <w:lang w:eastAsia="ja-JP"/>
        </w:rPr>
        <w:t xml:space="preserve"> part is equal to the number of</w:t>
      </w:r>
      <w:r w:rsidR="00B03102">
        <w:rPr>
          <w:rFonts w:ascii="Arial-BoldMT" w:hAnsi="Arial-BoldMT" w:cs="Arial-BoldMT"/>
          <w:bCs/>
          <w:sz w:val="20"/>
          <w:szCs w:val="20"/>
          <w:lang w:eastAsia="ja-JP"/>
        </w:rPr>
        <w:t xml:space="preserve"> </w:t>
      </w:r>
      <w:proofErr w:type="spellStart"/>
      <w:r w:rsidRPr="00775BB9">
        <w:rPr>
          <w:rFonts w:ascii="Arial-BoldMT" w:hAnsi="Arial-BoldMT" w:cs="Arial-BoldMT"/>
          <w:bCs/>
          <w:sz w:val="20"/>
          <w:szCs w:val="20"/>
          <w:lang w:eastAsia="ja-JP"/>
        </w:rPr>
        <w:t>ciphertexts</w:t>
      </w:r>
      <w:proofErr w:type="spellEnd"/>
      <w:r w:rsidRPr="00775BB9">
        <w:rPr>
          <w:rFonts w:ascii="Arial-BoldMT" w:hAnsi="Arial-BoldMT" w:cs="Arial-BoldMT"/>
          <w:bCs/>
          <w:sz w:val="20"/>
          <w:szCs w:val="20"/>
          <w:lang w:eastAsia="ja-JP"/>
        </w:rPr>
        <w:t xml:space="preserve"> of the encrypted group key in the group key data part. The n-</w:t>
      </w:r>
      <w:proofErr w:type="spellStart"/>
      <w:r w:rsidRPr="00775BB9">
        <w:rPr>
          <w:rFonts w:ascii="Arial-BoldMT" w:hAnsi="Arial-BoldMT" w:cs="Arial-BoldMT"/>
          <w:bCs/>
          <w:sz w:val="20"/>
          <w:szCs w:val="20"/>
          <w:lang w:eastAsia="ja-JP"/>
        </w:rPr>
        <w:t>th</w:t>
      </w:r>
      <w:proofErr w:type="spellEnd"/>
      <w:r w:rsidRPr="00775BB9">
        <w:rPr>
          <w:rFonts w:ascii="Arial-BoldMT" w:hAnsi="Arial-BoldMT" w:cs="Arial-BoldMT"/>
          <w:bCs/>
          <w:sz w:val="20"/>
          <w:szCs w:val="20"/>
          <w:lang w:eastAsia="ja-JP"/>
        </w:rPr>
        <w:t xml:space="preserve"> </w:t>
      </w:r>
      <w:proofErr w:type="spellStart"/>
      <w:r w:rsidRPr="00775BB9">
        <w:rPr>
          <w:rFonts w:ascii="Arial-BoldMT" w:hAnsi="Arial-BoldMT" w:cs="Arial-BoldMT"/>
          <w:bCs/>
          <w:sz w:val="20"/>
          <w:szCs w:val="20"/>
          <w:lang w:eastAsia="ja-JP"/>
        </w:rPr>
        <w:t>ciphertext</w:t>
      </w:r>
      <w:proofErr w:type="spellEnd"/>
      <w:r w:rsidRPr="00775BB9">
        <w:rPr>
          <w:rFonts w:ascii="Arial-BoldMT" w:hAnsi="Arial-BoldMT" w:cs="Arial-BoldMT"/>
          <w:bCs/>
          <w:sz w:val="20"/>
          <w:szCs w:val="20"/>
          <w:lang w:eastAsia="ja-JP"/>
        </w:rPr>
        <w:t xml:space="preserve"> of the group key is</w:t>
      </w:r>
      <w:r w:rsidR="00B03102">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generated by the Node Key assigned to the root node designated by the n-</w:t>
      </w:r>
      <w:proofErr w:type="spellStart"/>
      <w:r w:rsidRPr="00775BB9">
        <w:rPr>
          <w:rFonts w:ascii="Arial-BoldMT" w:hAnsi="Arial-BoldMT" w:cs="Arial-BoldMT"/>
          <w:bCs/>
          <w:sz w:val="20"/>
          <w:szCs w:val="20"/>
          <w:lang w:eastAsia="ja-JP"/>
        </w:rPr>
        <w:t>th</w:t>
      </w:r>
      <w:proofErr w:type="spellEnd"/>
      <w:r w:rsidRPr="00775BB9">
        <w:rPr>
          <w:rFonts w:ascii="Arial-BoldMT" w:hAnsi="Arial-BoldMT" w:cs="Arial-BoldMT"/>
          <w:bCs/>
          <w:sz w:val="20"/>
          <w:szCs w:val="20"/>
          <w:lang w:eastAsia="ja-JP"/>
        </w:rPr>
        <w:t xml:space="preserve"> Node Index.</w:t>
      </w:r>
      <w:r w:rsidR="00E41E84">
        <w:rPr>
          <w:rFonts w:ascii="Arial-BoldMT" w:hAnsi="Arial-BoldMT" w:cs="Arial-BoldMT"/>
          <w:bCs/>
          <w:sz w:val="20"/>
          <w:szCs w:val="20"/>
          <w:lang w:eastAsia="ja-JP"/>
        </w:rPr>
        <w:t xml:space="preserve"> </w:t>
      </w:r>
      <w:r w:rsidR="00B03102">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AES_Key_Wrapping-128 or AES_ECB-128 is used for the encryption algorithm.</w:t>
      </w:r>
    </w:p>
    <w:p w:rsidR="00E41E84" w:rsidRDefault="00E41E84" w:rsidP="00E41E84">
      <w:pPr>
        <w:widowControl w:val="0"/>
        <w:autoSpaceDE w:val="0"/>
        <w:autoSpaceDN w:val="0"/>
        <w:adjustRightInd w:val="0"/>
        <w:jc w:val="both"/>
        <w:rPr>
          <w:rFonts w:ascii="Arial-BoldMT" w:hAnsi="Arial-BoldMT" w:cs="Arial-BoldMT"/>
          <w:bCs/>
          <w:sz w:val="20"/>
          <w:szCs w:val="20"/>
          <w:lang w:eastAsia="ja-JP"/>
        </w:rPr>
      </w:pPr>
    </w:p>
    <w:p w:rsidR="00775BB9" w:rsidRPr="00775BB9" w:rsidRDefault="00775BB9" w:rsidP="00E41E84">
      <w:pPr>
        <w:widowControl w:val="0"/>
        <w:autoSpaceDE w:val="0"/>
        <w:autoSpaceDN w:val="0"/>
        <w:adjustRightInd w:val="0"/>
        <w:jc w:val="both"/>
        <w:rPr>
          <w:rFonts w:ascii="Arial-BoldMT" w:hAnsi="Arial-BoldMT" w:cs="Arial-BoldMT"/>
          <w:bCs/>
          <w:sz w:val="20"/>
          <w:szCs w:val="20"/>
          <w:lang w:eastAsia="ja-JP"/>
        </w:rPr>
      </w:pPr>
      <w:r w:rsidRPr="00775BB9">
        <w:rPr>
          <w:rFonts w:ascii="Arial-BoldMT" w:hAnsi="Arial-BoldMT" w:cs="Arial-BoldMT"/>
          <w:bCs/>
          <w:sz w:val="20"/>
          <w:szCs w:val="20"/>
          <w:lang w:eastAsia="ja-JP"/>
        </w:rPr>
        <w:t>In the example illustrated in Figure 33, the group with nodes 000, 001, 010, 011, 101, 111 is covered by</w:t>
      </w:r>
      <w:r w:rsidR="00B03102">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 xml:space="preserve">three complete </w:t>
      </w:r>
      <w:proofErr w:type="spellStart"/>
      <w:r w:rsidRPr="00775BB9">
        <w:rPr>
          <w:rFonts w:ascii="Arial-BoldMT" w:hAnsi="Arial-BoldMT" w:cs="Arial-BoldMT"/>
          <w:bCs/>
          <w:sz w:val="20"/>
          <w:szCs w:val="20"/>
          <w:lang w:eastAsia="ja-JP"/>
        </w:rPr>
        <w:t>subtrees</w:t>
      </w:r>
      <w:proofErr w:type="spellEnd"/>
      <w:r w:rsidRPr="00775BB9">
        <w:rPr>
          <w:rFonts w:ascii="Arial-BoldMT" w:hAnsi="Arial-BoldMT" w:cs="Arial-BoldMT"/>
          <w:bCs/>
          <w:sz w:val="20"/>
          <w:szCs w:val="20"/>
          <w:lang w:eastAsia="ja-JP"/>
        </w:rPr>
        <w:t xml:space="preserve"> at root node 0, 101, and 111. Therefore, the complete </w:t>
      </w:r>
      <w:proofErr w:type="spellStart"/>
      <w:r w:rsidRPr="00775BB9">
        <w:rPr>
          <w:rFonts w:ascii="Arial-BoldMT" w:hAnsi="Arial-BoldMT" w:cs="Arial-BoldMT"/>
          <w:bCs/>
          <w:sz w:val="20"/>
          <w:szCs w:val="20"/>
          <w:lang w:eastAsia="ja-JP"/>
        </w:rPr>
        <w:t>subtree</w:t>
      </w:r>
      <w:proofErr w:type="spellEnd"/>
      <w:r w:rsidRPr="00775BB9">
        <w:rPr>
          <w:rFonts w:ascii="Arial-BoldMT" w:hAnsi="Arial-BoldMT" w:cs="Arial-BoldMT"/>
          <w:bCs/>
          <w:sz w:val="20"/>
          <w:szCs w:val="20"/>
          <w:lang w:eastAsia="ja-JP"/>
        </w:rPr>
        <w:t xml:space="preserve"> part in the GKB</w:t>
      </w:r>
      <w:r w:rsidR="00B03102">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 xml:space="preserve">includes Node indices for node 0, 101, and 111. The key data part, the </w:t>
      </w:r>
      <w:proofErr w:type="spellStart"/>
      <w:r w:rsidRPr="00775BB9">
        <w:rPr>
          <w:rFonts w:ascii="Arial-BoldMT" w:hAnsi="Arial-BoldMT" w:cs="Arial-BoldMT"/>
          <w:bCs/>
          <w:sz w:val="20"/>
          <w:szCs w:val="20"/>
          <w:lang w:eastAsia="ja-JP"/>
        </w:rPr>
        <w:t>ciphertexts</w:t>
      </w:r>
      <w:proofErr w:type="spellEnd"/>
      <w:r w:rsidRPr="00775BB9">
        <w:rPr>
          <w:rFonts w:ascii="Arial-BoldMT" w:hAnsi="Arial-BoldMT" w:cs="Arial-BoldMT"/>
          <w:bCs/>
          <w:sz w:val="20"/>
          <w:szCs w:val="20"/>
          <w:lang w:eastAsia="ja-JP"/>
        </w:rPr>
        <w:t xml:space="preserve"> of MGK encrypted by</w:t>
      </w:r>
      <w:r w:rsidR="00B03102">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k(0), k(101), and k(111) as indicated in Figure 34.</w:t>
      </w:r>
    </w:p>
    <w:p w:rsidR="00775BB9" w:rsidRDefault="00775BB9" w:rsidP="00775BB9">
      <w:pPr>
        <w:widowControl w:val="0"/>
        <w:autoSpaceDE w:val="0"/>
        <w:autoSpaceDN w:val="0"/>
        <w:adjustRightInd w:val="0"/>
        <w:rPr>
          <w:rFonts w:ascii="Arial-BoldMT" w:hAnsi="Arial-BoldMT" w:cs="Arial-BoldMT"/>
          <w:bCs/>
          <w:sz w:val="20"/>
          <w:szCs w:val="20"/>
          <w:lang w:eastAsia="ja-JP"/>
        </w:rPr>
      </w:pPr>
    </w:p>
    <w:p w:rsidR="00B03102" w:rsidRDefault="00E41E84" w:rsidP="00775BB9">
      <w:pPr>
        <w:widowControl w:val="0"/>
        <w:autoSpaceDE w:val="0"/>
        <w:autoSpaceDN w:val="0"/>
        <w:adjustRightInd w:val="0"/>
        <w:rPr>
          <w:szCs w:val="20"/>
        </w:rPr>
      </w:pPr>
      <w:r>
        <w:rPr>
          <w:noProof/>
          <w:szCs w:val="20"/>
        </w:rPr>
        <w:drawing>
          <wp:inline distT="0" distB="0" distL="0" distR="0">
            <wp:extent cx="5476875" cy="8001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5476875" cy="800100"/>
                    </a:xfrm>
                    <a:prstGeom prst="rect">
                      <a:avLst/>
                    </a:prstGeom>
                    <a:noFill/>
                    <a:ln w="9525">
                      <a:noFill/>
                      <a:miter lim="800000"/>
                      <a:headEnd/>
                      <a:tailEnd/>
                    </a:ln>
                  </pic:spPr>
                </pic:pic>
              </a:graphicData>
            </a:graphic>
          </wp:inline>
        </w:drawing>
      </w:r>
    </w:p>
    <w:p w:rsidR="00B03102" w:rsidRDefault="00B03102" w:rsidP="00775BB9">
      <w:pPr>
        <w:widowControl w:val="0"/>
        <w:autoSpaceDE w:val="0"/>
        <w:autoSpaceDN w:val="0"/>
        <w:adjustRightInd w:val="0"/>
        <w:rPr>
          <w:rFonts w:ascii="Arial-BoldMT" w:hAnsi="Arial-BoldMT" w:cs="Arial-BoldMT"/>
          <w:bCs/>
          <w:sz w:val="20"/>
          <w:szCs w:val="20"/>
          <w:lang w:eastAsia="ja-JP"/>
        </w:rPr>
      </w:pPr>
      <w:r>
        <w:rPr>
          <w:rFonts w:ascii="Arial-BoldMT" w:hAnsi="Arial-BoldMT" w:cs="Arial-BoldMT"/>
          <w:b/>
          <w:bCs/>
          <w:sz w:val="20"/>
          <w:szCs w:val="20"/>
          <w:lang w:eastAsia="ja-JP"/>
        </w:rPr>
        <w:t xml:space="preserve">             Figure 34—GKB for the group with nodes 000, 001, 010, 011, 101 and 111</w:t>
      </w:r>
    </w:p>
    <w:p w:rsidR="00B03102" w:rsidRPr="00775BB9" w:rsidRDefault="00B03102" w:rsidP="00775BB9">
      <w:pPr>
        <w:widowControl w:val="0"/>
        <w:autoSpaceDE w:val="0"/>
        <w:autoSpaceDN w:val="0"/>
        <w:adjustRightInd w:val="0"/>
        <w:rPr>
          <w:rFonts w:ascii="Arial-BoldMT" w:hAnsi="Arial-BoldMT" w:cs="Arial-BoldMT"/>
          <w:bCs/>
          <w:sz w:val="20"/>
          <w:szCs w:val="20"/>
          <w:lang w:eastAsia="ja-JP"/>
        </w:rPr>
      </w:pPr>
    </w:p>
    <w:p w:rsidR="00E41E84" w:rsidRDefault="00775BB9" w:rsidP="00626B57">
      <w:pPr>
        <w:widowControl w:val="0"/>
        <w:autoSpaceDE w:val="0"/>
        <w:autoSpaceDN w:val="0"/>
        <w:adjustRightInd w:val="0"/>
        <w:jc w:val="both"/>
        <w:rPr>
          <w:rFonts w:ascii="Arial-BoldMT" w:hAnsi="Arial-BoldMT" w:cs="Arial-BoldMT"/>
          <w:bCs/>
          <w:sz w:val="20"/>
          <w:szCs w:val="20"/>
          <w:lang w:eastAsia="ja-JP"/>
        </w:rPr>
      </w:pPr>
      <w:r w:rsidRPr="00775BB9">
        <w:rPr>
          <w:rFonts w:ascii="Arial-BoldMT" w:hAnsi="Arial-BoldMT" w:cs="Arial-BoldMT"/>
          <w:bCs/>
          <w:sz w:val="20"/>
          <w:szCs w:val="20"/>
          <w:lang w:eastAsia="ja-JP"/>
        </w:rPr>
        <w:t>Notice that the example is for illustration purpose. The key tree has depth 3, not a multiple of 8. The Node</w:t>
      </w:r>
      <w:r w:rsidR="00B03102">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 xml:space="preserve">Index Value is not illustrated with the binary string in Figure 34. In fact, Node Index (0) can be represented as (0x01, 0b000000000), Node Index (101) as (0x03, 0b10100000) and Node Index (111) as (0x03, 0b11100000). </w:t>
      </w:r>
    </w:p>
    <w:p w:rsidR="00775BB9" w:rsidRDefault="00775BB9" w:rsidP="005D44DE">
      <w:pPr>
        <w:widowControl w:val="0"/>
        <w:autoSpaceDE w:val="0"/>
        <w:autoSpaceDN w:val="0"/>
        <w:adjustRightInd w:val="0"/>
        <w:rPr>
          <w:rFonts w:ascii="Arial-BoldMT" w:hAnsi="Arial-BoldMT" w:cs="Arial-BoldMT"/>
          <w:bCs/>
          <w:sz w:val="20"/>
          <w:szCs w:val="20"/>
          <w:lang w:eastAsia="ja-JP"/>
        </w:rPr>
      </w:pPr>
    </w:p>
    <w:p w:rsidR="005D44DE" w:rsidRPr="005D44DE" w:rsidRDefault="005D44DE" w:rsidP="00626B57">
      <w:pPr>
        <w:widowControl w:val="0"/>
        <w:autoSpaceDE w:val="0"/>
        <w:autoSpaceDN w:val="0"/>
        <w:adjustRightInd w:val="0"/>
        <w:jc w:val="both"/>
        <w:rPr>
          <w:rFonts w:ascii="Arial-BoldMT" w:hAnsi="Arial-BoldMT" w:cs="Arial-BoldMT"/>
          <w:bCs/>
          <w:sz w:val="20"/>
          <w:szCs w:val="20"/>
          <w:lang w:eastAsia="ja-JP"/>
        </w:rPr>
      </w:pPr>
      <w:r w:rsidRPr="005D44DE">
        <w:rPr>
          <w:rFonts w:ascii="Arial-BoldMT" w:hAnsi="Arial-BoldMT" w:cs="Arial-BoldMT"/>
          <w:bCs/>
          <w:sz w:val="20"/>
          <w:szCs w:val="20"/>
          <w:lang w:eastAsia="ja-JP"/>
        </w:rPr>
        <w:t xml:space="preserve">In case when a complete </w:t>
      </w:r>
      <w:proofErr w:type="spellStart"/>
      <w:r w:rsidRPr="005D44DE">
        <w:rPr>
          <w:rFonts w:ascii="Arial-BoldMT" w:hAnsi="Arial-BoldMT" w:cs="Arial-BoldMT"/>
          <w:bCs/>
          <w:sz w:val="20"/>
          <w:szCs w:val="20"/>
          <w:lang w:eastAsia="ja-JP"/>
        </w:rPr>
        <w:t>subtree</w:t>
      </w:r>
      <w:proofErr w:type="spellEnd"/>
      <w:r w:rsidRPr="005D44DE">
        <w:rPr>
          <w:rFonts w:ascii="Arial-BoldMT" w:hAnsi="Arial-BoldMT" w:cs="Arial-BoldMT"/>
          <w:bCs/>
          <w:sz w:val="20"/>
          <w:szCs w:val="20"/>
          <w:lang w:eastAsia="ja-JP"/>
        </w:rPr>
        <w:t xml:space="preserve"> is only present in a GKB, the GKB is used for specifying the group</w:t>
      </w:r>
      <w:r>
        <w:rPr>
          <w:rFonts w:ascii="Arial-BoldMT" w:hAnsi="Arial-BoldMT" w:cs="Arial-BoldMT"/>
          <w:bCs/>
          <w:sz w:val="20"/>
          <w:szCs w:val="20"/>
          <w:lang w:eastAsia="ja-JP"/>
        </w:rPr>
        <w:t xml:space="preserve"> </w:t>
      </w:r>
      <w:r w:rsidRPr="005D44DE">
        <w:rPr>
          <w:rFonts w:ascii="Arial-BoldMT" w:hAnsi="Arial-BoldMT" w:cs="Arial-BoldMT"/>
          <w:bCs/>
          <w:sz w:val="20"/>
          <w:szCs w:val="20"/>
          <w:lang w:eastAsia="ja-JP"/>
        </w:rPr>
        <w:t>members of a particular group instead of a group key distribution. Following methods are used to identify</w:t>
      </w:r>
      <w:r>
        <w:rPr>
          <w:rFonts w:ascii="Arial-BoldMT" w:hAnsi="Arial-BoldMT" w:cs="Arial-BoldMT"/>
          <w:bCs/>
          <w:sz w:val="20"/>
          <w:szCs w:val="20"/>
          <w:lang w:eastAsia="ja-JP"/>
        </w:rPr>
        <w:t xml:space="preserve"> </w:t>
      </w:r>
      <w:r w:rsidRPr="005D44DE">
        <w:rPr>
          <w:rFonts w:ascii="Arial-BoldMT" w:hAnsi="Arial-BoldMT" w:cs="Arial-BoldMT"/>
          <w:bCs/>
          <w:sz w:val="20"/>
          <w:szCs w:val="20"/>
          <w:lang w:eastAsia="ja-JP"/>
        </w:rPr>
        <w:t>the group members appropriately.</w:t>
      </w:r>
    </w:p>
    <w:p w:rsidR="005D44DE" w:rsidRPr="005D44DE" w:rsidRDefault="005D44DE" w:rsidP="00626B57">
      <w:pPr>
        <w:widowControl w:val="0"/>
        <w:autoSpaceDE w:val="0"/>
        <w:autoSpaceDN w:val="0"/>
        <w:adjustRightInd w:val="0"/>
        <w:jc w:val="both"/>
        <w:rPr>
          <w:rFonts w:ascii="Arial-BoldMT" w:hAnsi="Arial-BoldMT" w:cs="Arial-BoldMT"/>
          <w:bCs/>
          <w:sz w:val="20"/>
          <w:szCs w:val="20"/>
          <w:lang w:eastAsia="ja-JP"/>
        </w:rPr>
      </w:pPr>
    </w:p>
    <w:p w:rsidR="005D44DE" w:rsidRPr="005D44DE" w:rsidRDefault="005D44DE" w:rsidP="00626B57">
      <w:pPr>
        <w:widowControl w:val="0"/>
        <w:autoSpaceDE w:val="0"/>
        <w:autoSpaceDN w:val="0"/>
        <w:adjustRightInd w:val="0"/>
        <w:jc w:val="both"/>
        <w:rPr>
          <w:rFonts w:ascii="Arial-BoldMT" w:hAnsi="Arial-BoldMT" w:cs="Arial-BoldMT"/>
          <w:bCs/>
          <w:sz w:val="20"/>
          <w:szCs w:val="20"/>
          <w:lang w:eastAsia="ja-JP"/>
        </w:rPr>
      </w:pPr>
      <w:r w:rsidRPr="005D44DE">
        <w:rPr>
          <w:rFonts w:ascii="Arial-BoldMT" w:hAnsi="Arial-BoldMT" w:cs="Arial-BoldMT"/>
          <w:bCs/>
          <w:sz w:val="20"/>
          <w:szCs w:val="20"/>
          <w:lang w:eastAsia="ja-JP"/>
        </w:rPr>
        <w:t xml:space="preserve">Method 1: The set of leaf nodes specified by the complete </w:t>
      </w:r>
      <w:proofErr w:type="spellStart"/>
      <w:r w:rsidRPr="005D44DE">
        <w:rPr>
          <w:rFonts w:ascii="Arial-BoldMT" w:hAnsi="Arial-BoldMT" w:cs="Arial-BoldMT"/>
          <w:bCs/>
          <w:sz w:val="20"/>
          <w:szCs w:val="20"/>
          <w:lang w:eastAsia="ja-JP"/>
        </w:rPr>
        <w:t>subtree</w:t>
      </w:r>
      <w:proofErr w:type="spellEnd"/>
      <w:r w:rsidRPr="005D44DE">
        <w:rPr>
          <w:rFonts w:ascii="Arial-BoldMT" w:hAnsi="Arial-BoldMT" w:cs="Arial-BoldMT"/>
          <w:bCs/>
          <w:sz w:val="20"/>
          <w:szCs w:val="20"/>
          <w:lang w:eastAsia="ja-JP"/>
        </w:rPr>
        <w:t xml:space="preserve"> part of the GKB represents the members</w:t>
      </w:r>
      <w:r>
        <w:rPr>
          <w:rFonts w:ascii="Arial-BoldMT" w:hAnsi="Arial-BoldMT" w:cs="Arial-BoldMT"/>
          <w:bCs/>
          <w:sz w:val="20"/>
          <w:szCs w:val="20"/>
          <w:lang w:eastAsia="ja-JP"/>
        </w:rPr>
        <w:t xml:space="preserve"> </w:t>
      </w:r>
      <w:r w:rsidRPr="005D44DE">
        <w:rPr>
          <w:rFonts w:ascii="Arial-BoldMT" w:hAnsi="Arial-BoldMT" w:cs="Arial-BoldMT"/>
          <w:bCs/>
          <w:sz w:val="20"/>
          <w:szCs w:val="20"/>
          <w:lang w:eastAsia="ja-JP"/>
        </w:rPr>
        <w:t>who belong to the group</w:t>
      </w:r>
    </w:p>
    <w:p w:rsidR="005D44DE" w:rsidRDefault="005D44DE" w:rsidP="00626B57">
      <w:pPr>
        <w:widowControl w:val="0"/>
        <w:autoSpaceDE w:val="0"/>
        <w:autoSpaceDN w:val="0"/>
        <w:adjustRightInd w:val="0"/>
        <w:jc w:val="both"/>
        <w:rPr>
          <w:rFonts w:ascii="Arial-BoldMT" w:hAnsi="Arial-BoldMT" w:cs="Arial-BoldMT"/>
          <w:bCs/>
          <w:sz w:val="20"/>
          <w:szCs w:val="20"/>
          <w:lang w:eastAsia="ja-JP"/>
        </w:rPr>
      </w:pPr>
    </w:p>
    <w:p w:rsidR="005D44DE" w:rsidRPr="005D44DE" w:rsidRDefault="005D44DE" w:rsidP="00626B57">
      <w:pPr>
        <w:widowControl w:val="0"/>
        <w:autoSpaceDE w:val="0"/>
        <w:autoSpaceDN w:val="0"/>
        <w:adjustRightInd w:val="0"/>
        <w:jc w:val="both"/>
        <w:rPr>
          <w:rFonts w:ascii="Arial-BoldMT" w:hAnsi="Arial-BoldMT" w:cs="Arial-BoldMT"/>
          <w:bCs/>
          <w:sz w:val="20"/>
          <w:szCs w:val="20"/>
          <w:lang w:eastAsia="ja-JP"/>
        </w:rPr>
      </w:pPr>
      <w:r w:rsidRPr="005D44DE">
        <w:rPr>
          <w:rFonts w:ascii="Arial-BoldMT" w:hAnsi="Arial-BoldMT" w:cs="Arial-BoldMT"/>
          <w:bCs/>
          <w:sz w:val="20"/>
          <w:szCs w:val="20"/>
          <w:lang w:eastAsia="ja-JP"/>
        </w:rPr>
        <w:t xml:space="preserve">Method 2: The set of leaf nodes specified in the complete </w:t>
      </w:r>
      <w:proofErr w:type="spellStart"/>
      <w:r w:rsidRPr="005D44DE">
        <w:rPr>
          <w:rFonts w:ascii="Arial-BoldMT" w:hAnsi="Arial-BoldMT" w:cs="Arial-BoldMT"/>
          <w:bCs/>
          <w:sz w:val="20"/>
          <w:szCs w:val="20"/>
          <w:lang w:eastAsia="ja-JP"/>
        </w:rPr>
        <w:t>subtree</w:t>
      </w:r>
      <w:proofErr w:type="spellEnd"/>
      <w:r w:rsidRPr="005D44DE">
        <w:rPr>
          <w:rFonts w:ascii="Arial-BoldMT" w:hAnsi="Arial-BoldMT" w:cs="Arial-BoldMT"/>
          <w:bCs/>
          <w:sz w:val="20"/>
          <w:szCs w:val="20"/>
          <w:lang w:eastAsia="ja-JP"/>
        </w:rPr>
        <w:t xml:space="preserve"> part of the GKB represents the members</w:t>
      </w:r>
      <w:r>
        <w:rPr>
          <w:rFonts w:ascii="Arial-BoldMT" w:hAnsi="Arial-BoldMT" w:cs="Arial-BoldMT"/>
          <w:bCs/>
          <w:sz w:val="20"/>
          <w:szCs w:val="20"/>
          <w:lang w:eastAsia="ja-JP"/>
        </w:rPr>
        <w:t xml:space="preserve"> </w:t>
      </w:r>
      <w:r w:rsidRPr="005D44DE">
        <w:rPr>
          <w:rFonts w:ascii="Arial-BoldMT" w:hAnsi="Arial-BoldMT" w:cs="Arial-BoldMT"/>
          <w:bCs/>
          <w:sz w:val="20"/>
          <w:szCs w:val="20"/>
          <w:lang w:eastAsia="ja-JP"/>
        </w:rPr>
        <w:t xml:space="preserve">who do not belong to the group. In other words, the complete </w:t>
      </w:r>
      <w:proofErr w:type="spellStart"/>
      <w:r w:rsidRPr="005D44DE">
        <w:rPr>
          <w:rFonts w:ascii="Arial-BoldMT" w:hAnsi="Arial-BoldMT" w:cs="Arial-BoldMT"/>
          <w:bCs/>
          <w:sz w:val="20"/>
          <w:szCs w:val="20"/>
          <w:lang w:eastAsia="ja-JP"/>
        </w:rPr>
        <w:t>subtree</w:t>
      </w:r>
      <w:proofErr w:type="spellEnd"/>
      <w:r w:rsidRPr="005D44DE">
        <w:rPr>
          <w:rFonts w:ascii="Arial-BoldMT" w:hAnsi="Arial-BoldMT" w:cs="Arial-BoldMT"/>
          <w:bCs/>
          <w:sz w:val="20"/>
          <w:szCs w:val="20"/>
          <w:lang w:eastAsia="ja-JP"/>
        </w:rPr>
        <w:t xml:space="preserve"> part represents the complement set of</w:t>
      </w:r>
      <w:r>
        <w:rPr>
          <w:rFonts w:ascii="Arial-BoldMT" w:hAnsi="Arial-BoldMT" w:cs="Arial-BoldMT"/>
          <w:bCs/>
          <w:sz w:val="20"/>
          <w:szCs w:val="20"/>
          <w:lang w:eastAsia="ja-JP"/>
        </w:rPr>
        <w:t xml:space="preserve"> </w:t>
      </w:r>
      <w:r w:rsidRPr="005D44DE">
        <w:rPr>
          <w:rFonts w:ascii="Arial-BoldMT" w:hAnsi="Arial-BoldMT" w:cs="Arial-BoldMT"/>
          <w:bCs/>
          <w:sz w:val="20"/>
          <w:szCs w:val="20"/>
          <w:lang w:eastAsia="ja-JP"/>
        </w:rPr>
        <w:t>the leaf nodes.</w:t>
      </w:r>
    </w:p>
    <w:p w:rsidR="005D44DE" w:rsidRPr="005D44DE" w:rsidRDefault="005D44DE" w:rsidP="00626B57">
      <w:pPr>
        <w:widowControl w:val="0"/>
        <w:autoSpaceDE w:val="0"/>
        <w:autoSpaceDN w:val="0"/>
        <w:adjustRightInd w:val="0"/>
        <w:jc w:val="both"/>
        <w:rPr>
          <w:rFonts w:ascii="Arial-BoldMT" w:hAnsi="Arial-BoldMT" w:cs="Arial-BoldMT"/>
          <w:bCs/>
          <w:sz w:val="20"/>
          <w:szCs w:val="20"/>
          <w:lang w:eastAsia="ja-JP"/>
        </w:rPr>
      </w:pPr>
    </w:p>
    <w:p w:rsidR="005D44DE" w:rsidRPr="005D44DE" w:rsidRDefault="005D44DE" w:rsidP="00626B57">
      <w:pPr>
        <w:widowControl w:val="0"/>
        <w:autoSpaceDE w:val="0"/>
        <w:autoSpaceDN w:val="0"/>
        <w:adjustRightInd w:val="0"/>
        <w:jc w:val="both"/>
        <w:rPr>
          <w:rFonts w:ascii="Arial-BoldMT" w:hAnsi="Arial-BoldMT" w:cs="Arial-BoldMT"/>
          <w:bCs/>
          <w:sz w:val="20"/>
          <w:szCs w:val="20"/>
          <w:lang w:eastAsia="ja-JP"/>
        </w:rPr>
      </w:pPr>
      <w:r w:rsidRPr="005D44DE">
        <w:rPr>
          <w:rFonts w:ascii="Arial-BoldMT" w:hAnsi="Arial-BoldMT" w:cs="Arial-BoldMT"/>
          <w:bCs/>
          <w:sz w:val="20"/>
          <w:szCs w:val="20"/>
          <w:lang w:eastAsia="ja-JP"/>
        </w:rPr>
        <w:t xml:space="preserve">For example, in a depth-3 group management tree, the set of all the leaf nodes is S = {000, 001, 010, 011,100, 101, 110, 111} and the group consists of members with leaf nodes in a set is; A = {000, 001, 010, 011,100}. When Method 1 is used, the complete </w:t>
      </w:r>
      <w:proofErr w:type="spellStart"/>
      <w:r w:rsidRPr="005D44DE">
        <w:rPr>
          <w:rFonts w:ascii="Arial-BoldMT" w:hAnsi="Arial-BoldMT" w:cs="Arial-BoldMT"/>
          <w:bCs/>
          <w:sz w:val="20"/>
          <w:szCs w:val="20"/>
          <w:lang w:eastAsia="ja-JP"/>
        </w:rPr>
        <w:t>subtree</w:t>
      </w:r>
      <w:proofErr w:type="spellEnd"/>
      <w:r w:rsidRPr="005D44DE">
        <w:rPr>
          <w:rFonts w:ascii="Arial-BoldMT" w:hAnsi="Arial-BoldMT" w:cs="Arial-BoldMT"/>
          <w:bCs/>
          <w:sz w:val="20"/>
          <w:szCs w:val="20"/>
          <w:lang w:eastAsia="ja-JP"/>
        </w:rPr>
        <w:t xml:space="preserve"> part shall represent set A, while when Method 2 is</w:t>
      </w:r>
      <w:r>
        <w:rPr>
          <w:rFonts w:ascii="Arial-BoldMT" w:hAnsi="Arial-BoldMT" w:cs="Arial-BoldMT"/>
          <w:bCs/>
          <w:sz w:val="20"/>
          <w:szCs w:val="20"/>
          <w:lang w:eastAsia="ja-JP"/>
        </w:rPr>
        <w:t xml:space="preserve"> </w:t>
      </w:r>
      <w:r w:rsidRPr="005D44DE">
        <w:rPr>
          <w:rFonts w:ascii="Arial-BoldMT" w:hAnsi="Arial-BoldMT" w:cs="Arial-BoldMT"/>
          <w:bCs/>
          <w:sz w:val="20"/>
          <w:szCs w:val="20"/>
          <w:lang w:eastAsia="ja-JP"/>
        </w:rPr>
        <w:t xml:space="preserve">used, the complete </w:t>
      </w:r>
      <w:proofErr w:type="spellStart"/>
      <w:r w:rsidRPr="005D44DE">
        <w:rPr>
          <w:rFonts w:ascii="Arial-BoldMT" w:hAnsi="Arial-BoldMT" w:cs="Arial-BoldMT"/>
          <w:bCs/>
          <w:sz w:val="20"/>
          <w:szCs w:val="20"/>
          <w:lang w:eastAsia="ja-JP"/>
        </w:rPr>
        <w:t>subtree</w:t>
      </w:r>
      <w:proofErr w:type="spellEnd"/>
      <w:r w:rsidRPr="005D44DE">
        <w:rPr>
          <w:rFonts w:ascii="Arial-BoldMT" w:hAnsi="Arial-BoldMT" w:cs="Arial-BoldMT"/>
          <w:bCs/>
          <w:sz w:val="20"/>
          <w:szCs w:val="20"/>
          <w:lang w:eastAsia="ja-JP"/>
        </w:rPr>
        <w:t xml:space="preserve"> part shall represent S-A = {101, 110, 111}.</w:t>
      </w:r>
    </w:p>
    <w:p w:rsidR="005A6DA8" w:rsidRDefault="005D44DE" w:rsidP="00626B57">
      <w:pPr>
        <w:widowControl w:val="0"/>
        <w:autoSpaceDE w:val="0"/>
        <w:autoSpaceDN w:val="0"/>
        <w:adjustRightInd w:val="0"/>
        <w:jc w:val="both"/>
        <w:rPr>
          <w:rFonts w:ascii="Arial-BoldMT" w:hAnsi="Arial-BoldMT" w:cs="Arial-BoldMT"/>
          <w:bCs/>
          <w:sz w:val="20"/>
          <w:szCs w:val="20"/>
          <w:lang w:eastAsia="ja-JP"/>
        </w:rPr>
      </w:pPr>
      <w:r w:rsidRPr="005D44DE">
        <w:rPr>
          <w:rFonts w:ascii="Arial-BoldMT" w:hAnsi="Arial-BoldMT" w:cs="Arial-BoldMT"/>
          <w:bCs/>
          <w:sz w:val="20"/>
          <w:szCs w:val="20"/>
          <w:lang w:eastAsia="ja-JP"/>
        </w:rPr>
        <w:t>In order for a recipient to distinguish the two methods, a group manipulation command accompanies a flag</w:t>
      </w:r>
      <w:r>
        <w:rPr>
          <w:rFonts w:ascii="Arial-BoldMT" w:hAnsi="Arial-BoldMT" w:cs="Arial-BoldMT"/>
          <w:bCs/>
          <w:sz w:val="20"/>
          <w:szCs w:val="20"/>
          <w:lang w:eastAsia="ja-JP"/>
        </w:rPr>
        <w:t xml:space="preserve"> </w:t>
      </w:r>
      <w:r w:rsidRPr="005D44DE">
        <w:rPr>
          <w:rFonts w:ascii="Arial-BoldMT" w:hAnsi="Arial-BoldMT" w:cs="Arial-BoldMT"/>
          <w:bCs/>
          <w:sz w:val="20"/>
          <w:szCs w:val="20"/>
          <w:lang w:eastAsia="ja-JP"/>
        </w:rPr>
        <w:t xml:space="preserve">named </w:t>
      </w:r>
      <w:proofErr w:type="spellStart"/>
      <w:r w:rsidRPr="005D44DE">
        <w:rPr>
          <w:rFonts w:ascii="Arial-BoldMT" w:hAnsi="Arial-BoldMT" w:cs="Arial-BoldMT"/>
          <w:bCs/>
          <w:sz w:val="20"/>
          <w:szCs w:val="20"/>
          <w:lang w:eastAsia="ja-JP"/>
        </w:rPr>
        <w:t>ComplementSubtreeFlag</w:t>
      </w:r>
      <w:proofErr w:type="spellEnd"/>
      <w:r w:rsidRPr="005D44DE">
        <w:rPr>
          <w:rFonts w:ascii="Arial-BoldMT" w:hAnsi="Arial-BoldMT" w:cs="Arial-BoldMT"/>
          <w:bCs/>
          <w:sz w:val="20"/>
          <w:szCs w:val="20"/>
          <w:lang w:eastAsia="ja-JP"/>
        </w:rPr>
        <w:t>. If the flag is 0, Method 1 is used. If the flag is 1, Method 2 is used. The</w:t>
      </w:r>
      <w:r>
        <w:rPr>
          <w:rFonts w:ascii="Arial-BoldMT" w:hAnsi="Arial-BoldMT" w:cs="Arial-BoldMT"/>
          <w:bCs/>
          <w:sz w:val="20"/>
          <w:szCs w:val="20"/>
          <w:lang w:eastAsia="ja-JP"/>
        </w:rPr>
        <w:t xml:space="preserve"> </w:t>
      </w:r>
      <w:proofErr w:type="spellStart"/>
      <w:r w:rsidRPr="005D44DE">
        <w:rPr>
          <w:rFonts w:ascii="Arial-BoldMT" w:hAnsi="Arial-BoldMT" w:cs="Arial-BoldMT"/>
          <w:bCs/>
          <w:sz w:val="20"/>
          <w:szCs w:val="20"/>
          <w:lang w:eastAsia="ja-JP"/>
        </w:rPr>
        <w:t>ComplementSubtreeFlag</w:t>
      </w:r>
      <w:proofErr w:type="spellEnd"/>
      <w:r w:rsidRPr="005D44DE">
        <w:rPr>
          <w:rFonts w:ascii="Arial-BoldMT" w:hAnsi="Arial-BoldMT" w:cs="Arial-BoldMT"/>
          <w:bCs/>
          <w:sz w:val="20"/>
          <w:szCs w:val="20"/>
          <w:lang w:eastAsia="ja-JP"/>
        </w:rPr>
        <w:t xml:space="preserve"> thus helps the recipient to correctly interpret the complete </w:t>
      </w:r>
      <w:proofErr w:type="spellStart"/>
      <w:r w:rsidRPr="005D44DE">
        <w:rPr>
          <w:rFonts w:ascii="Arial-BoldMT" w:hAnsi="Arial-BoldMT" w:cs="Arial-BoldMT"/>
          <w:bCs/>
          <w:sz w:val="20"/>
          <w:szCs w:val="20"/>
          <w:lang w:eastAsia="ja-JP"/>
        </w:rPr>
        <w:t>subtree</w:t>
      </w:r>
      <w:proofErr w:type="spellEnd"/>
      <w:r w:rsidRPr="005D44DE">
        <w:rPr>
          <w:rFonts w:ascii="Arial-BoldMT" w:hAnsi="Arial-BoldMT" w:cs="Arial-BoldMT"/>
          <w:bCs/>
          <w:sz w:val="20"/>
          <w:szCs w:val="20"/>
          <w:lang w:eastAsia="ja-JP"/>
        </w:rPr>
        <w:t xml:space="preserve"> part of a</w:t>
      </w:r>
      <w:r>
        <w:rPr>
          <w:rFonts w:ascii="Arial-BoldMT" w:hAnsi="Arial-BoldMT" w:cs="Arial-BoldMT"/>
          <w:bCs/>
          <w:sz w:val="20"/>
          <w:szCs w:val="20"/>
          <w:lang w:eastAsia="ja-JP"/>
        </w:rPr>
        <w:t xml:space="preserve"> </w:t>
      </w:r>
      <w:r w:rsidRPr="005D44DE">
        <w:rPr>
          <w:rFonts w:ascii="Arial-BoldMT" w:hAnsi="Arial-BoldMT" w:cs="Arial-BoldMT"/>
          <w:bCs/>
          <w:sz w:val="20"/>
          <w:szCs w:val="20"/>
          <w:lang w:eastAsia="ja-JP"/>
        </w:rPr>
        <w:t>GKB.</w:t>
      </w:r>
    </w:p>
    <w:p w:rsidR="00626B57" w:rsidRDefault="00626B57" w:rsidP="00626B57">
      <w:pPr>
        <w:widowControl w:val="0"/>
        <w:autoSpaceDE w:val="0"/>
        <w:autoSpaceDN w:val="0"/>
        <w:adjustRightInd w:val="0"/>
        <w:jc w:val="both"/>
        <w:rPr>
          <w:rFonts w:ascii="Arial-BoldMT" w:hAnsi="Arial-BoldMT" w:cs="Arial-BoldMT"/>
          <w:bCs/>
          <w:sz w:val="20"/>
          <w:szCs w:val="20"/>
          <w:lang w:eastAsia="ja-JP"/>
        </w:rPr>
      </w:pPr>
    </w:p>
    <w:p w:rsidR="00626B57" w:rsidRDefault="00626B57" w:rsidP="00626B57">
      <w:pPr>
        <w:widowControl w:val="0"/>
        <w:autoSpaceDE w:val="0"/>
        <w:autoSpaceDN w:val="0"/>
        <w:adjustRightInd w:val="0"/>
        <w:jc w:val="both"/>
        <w:rPr>
          <w:rFonts w:ascii="Arial-BoldMT" w:hAnsi="Arial-BoldMT" w:cs="Arial-BoldMT"/>
          <w:bCs/>
          <w:sz w:val="20"/>
          <w:szCs w:val="20"/>
          <w:lang w:eastAsia="ja-JP"/>
        </w:rPr>
      </w:pPr>
      <w:r w:rsidRPr="00775BB9">
        <w:rPr>
          <w:rFonts w:ascii="Arial-BoldMT" w:hAnsi="Arial-BoldMT" w:cs="Arial-BoldMT"/>
          <w:bCs/>
          <w:sz w:val="20"/>
          <w:szCs w:val="20"/>
          <w:lang w:eastAsia="ja-JP"/>
        </w:rPr>
        <w:t>A command center has a component called GKB Generator. A GKB Generator receives all the device keys assigned to all the recipients associated to a group and a MGK. The MGK is a master group key for that</w:t>
      </w:r>
      <w:r>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group. recipients and the CC can generate a Media Independent Group Session Key (MIGSK) from MGK</w:t>
      </w:r>
      <w:r>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(see 9.6). The mechanism to provide all device keys to the GKB generator is out of the scope of this</w:t>
      </w:r>
      <w:r>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 xml:space="preserve">specification. This mechanism can just encompass the </w:t>
      </w:r>
      <w:r w:rsidRPr="00775BB9">
        <w:rPr>
          <w:rFonts w:ascii="Arial-BoldMT" w:hAnsi="Arial-BoldMT" w:cs="Arial-BoldMT"/>
          <w:bCs/>
          <w:sz w:val="20"/>
          <w:szCs w:val="20"/>
          <w:lang w:eastAsia="ja-JP"/>
        </w:rPr>
        <w:lastRenderedPageBreak/>
        <w:t>explicit provision of the device keys to the GKB</w:t>
      </w:r>
      <w:r>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 xml:space="preserve"> Generator or the random seed used to derive them. On receiving those data, a GKB Generator outputs a</w:t>
      </w:r>
      <w:r>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GKB, or several GKBs.</w:t>
      </w:r>
    </w:p>
    <w:p w:rsidR="00626B57" w:rsidRDefault="00626B57" w:rsidP="00626B57">
      <w:pPr>
        <w:widowControl w:val="0"/>
        <w:autoSpaceDE w:val="0"/>
        <w:autoSpaceDN w:val="0"/>
        <w:adjustRightInd w:val="0"/>
        <w:jc w:val="both"/>
        <w:rPr>
          <w:rFonts w:ascii="Arial-BoldMT" w:hAnsi="Arial-BoldMT" w:cs="Arial-BoldMT"/>
          <w:bCs/>
          <w:sz w:val="20"/>
          <w:szCs w:val="20"/>
          <w:lang w:eastAsia="ja-JP"/>
        </w:rPr>
      </w:pPr>
    </w:p>
    <w:p w:rsidR="00626B57" w:rsidRPr="00EA313F" w:rsidRDefault="00626B57" w:rsidP="00626B57">
      <w:pPr>
        <w:widowControl w:val="0"/>
        <w:autoSpaceDE w:val="0"/>
        <w:autoSpaceDN w:val="0"/>
        <w:adjustRightInd w:val="0"/>
        <w:jc w:val="both"/>
        <w:rPr>
          <w:rFonts w:ascii="Arial-BoldMT" w:hAnsi="Arial-BoldMT" w:cs="Arial-BoldMT"/>
          <w:bCs/>
          <w:sz w:val="20"/>
          <w:szCs w:val="20"/>
          <w:lang w:eastAsia="ja-JP"/>
        </w:rPr>
      </w:pPr>
    </w:p>
    <w:sectPr w:rsidR="00626B57" w:rsidRPr="00EA313F" w:rsidSect="004A56A7">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102" w:rsidRDefault="00B03102">
      <w:r>
        <w:separator/>
      </w:r>
    </w:p>
  </w:endnote>
  <w:endnote w:type="continuationSeparator" w:id="0">
    <w:p w:rsidR="00B03102" w:rsidRDefault="00B0310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102" w:rsidRDefault="00B03102">
    <w:pPr>
      <w:pStyle w:val="Footer"/>
      <w:jc w:val="center"/>
    </w:pPr>
    <w:r>
      <w:rPr>
        <w:rStyle w:val="PageNumber"/>
      </w:rPr>
      <w:fldChar w:fldCharType="begin"/>
    </w:r>
    <w:r>
      <w:rPr>
        <w:rStyle w:val="PageNumber"/>
      </w:rPr>
      <w:instrText xml:space="preserve"> PAGE </w:instrText>
    </w:r>
    <w:r>
      <w:rPr>
        <w:rStyle w:val="PageNumber"/>
      </w:rPr>
      <w:fldChar w:fldCharType="separate"/>
    </w:r>
    <w:r w:rsidR="005F3B5F">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102" w:rsidRDefault="00B03102">
      <w:r>
        <w:separator/>
      </w:r>
    </w:p>
  </w:footnote>
  <w:footnote w:type="continuationSeparator" w:id="0">
    <w:p w:rsidR="00B03102" w:rsidRDefault="00B031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102" w:rsidRDefault="00B03102">
    <w:pPr>
      <w:pStyle w:val="Header"/>
      <w:tabs>
        <w:tab w:val="clear" w:pos="4320"/>
      </w:tabs>
      <w:rPr>
        <w:b/>
        <w:bCs/>
        <w:lang w:eastAsia="ja-JP"/>
      </w:rPr>
    </w:pPr>
    <w:r>
      <w:rPr>
        <w:b/>
        <w:bCs/>
      </w:rPr>
      <w:tab/>
      <w:t>21-</w:t>
    </w:r>
    <w:r>
      <w:rPr>
        <w:rFonts w:hint="eastAsia"/>
        <w:b/>
        <w:bCs/>
        <w:lang w:eastAsia="ja-JP"/>
      </w:rPr>
      <w:t>14</w:t>
    </w:r>
    <w:r>
      <w:rPr>
        <w:b/>
        <w:bCs/>
      </w:rPr>
      <w:t>-</w:t>
    </w:r>
    <w:r>
      <w:rPr>
        <w:rFonts w:hint="eastAsia"/>
        <w:b/>
        <w:bCs/>
        <w:lang w:eastAsia="ja-JP"/>
      </w:rPr>
      <w:t>0</w:t>
    </w:r>
    <w:r>
      <w:rPr>
        <w:b/>
        <w:bCs/>
        <w:lang w:eastAsia="ja-JP"/>
      </w:rPr>
      <w:t>xxx</w:t>
    </w:r>
    <w:r>
      <w:rPr>
        <w:b/>
        <w:bCs/>
      </w:rPr>
      <w:t>-0</w:t>
    </w:r>
    <w:r>
      <w:rPr>
        <w:rFonts w:hint="eastAsia"/>
        <w:b/>
        <w:bCs/>
        <w:lang w:eastAsia="ja-JP"/>
      </w:rPr>
      <w:t>0</w:t>
    </w:r>
    <w:r>
      <w:rPr>
        <w:b/>
        <w:bCs/>
      </w:rPr>
      <w:t>-</w:t>
    </w:r>
    <w:r>
      <w:rPr>
        <w:rFonts w:hint="eastAsia"/>
        <w:b/>
        <w:bCs/>
        <w:lang w:eastAsia="ja-JP"/>
      </w:rPr>
      <w:t>MuGM</w:t>
    </w:r>
    <w:r>
      <w:rPr>
        <w:b/>
        <w:bCs/>
      </w:rPr>
      <w:t>.doc</w:t>
    </w:r>
    <w:r>
      <w:rPr>
        <w:rFonts w:hint="eastAsia"/>
        <w:b/>
        <w:bCs/>
        <w:lang w:eastAsia="ja-JP"/>
      </w:rPr>
      <w:t>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22B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6B20A98"/>
    <w:multiLevelType w:val="hybridMultilevel"/>
    <w:tmpl w:val="3C0618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4EC4AFC"/>
    <w:multiLevelType w:val="hybridMultilevel"/>
    <w:tmpl w:val="B86A63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7C27BD"/>
    <w:multiLevelType w:val="hybridMultilevel"/>
    <w:tmpl w:val="59A816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448227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26D026B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28C37B20"/>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7">
    <w:nsid w:val="3AEB0A5E"/>
    <w:multiLevelType w:val="hybridMultilevel"/>
    <w:tmpl w:val="B9B037D2"/>
    <w:lvl w:ilvl="0" w:tplc="9F680142">
      <w:start w:val="1"/>
      <w:numFmt w:val="low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442A521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4E66578C"/>
    <w:multiLevelType w:val="hybridMultilevel"/>
    <w:tmpl w:val="92E62512"/>
    <w:lvl w:ilvl="0" w:tplc="65B2F506">
      <w:start w:val="1"/>
      <w:numFmt w:val="low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56AC4BF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56B22A34"/>
    <w:multiLevelType w:val="hybridMultilevel"/>
    <w:tmpl w:val="845AFF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7064DF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573B2A5E"/>
    <w:multiLevelType w:val="multilevel"/>
    <w:tmpl w:val="23BE7744"/>
    <w:lvl w:ilvl="0">
      <w:start w:val="1"/>
      <w:numFmt w:val="bullet"/>
      <w:lvlText w:val=""/>
      <w:lvlJc w:val="left"/>
      <w:pPr>
        <w:ind w:left="425" w:hanging="425"/>
      </w:pPr>
      <w:rPr>
        <w:rFonts w:ascii="Wingdings" w:hAnsi="Wingding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4">
    <w:nsid w:val="7616709B"/>
    <w:multiLevelType w:val="hybridMultilevel"/>
    <w:tmpl w:val="7C565F7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1"/>
  </w:num>
  <w:num w:numId="2">
    <w:abstractNumId w:val="1"/>
  </w:num>
  <w:num w:numId="3">
    <w:abstractNumId w:val="6"/>
  </w:num>
  <w:num w:numId="4">
    <w:abstractNumId w:val="3"/>
  </w:num>
  <w:num w:numId="5">
    <w:abstractNumId w:val="8"/>
  </w:num>
  <w:num w:numId="6">
    <w:abstractNumId w:val="10"/>
  </w:num>
  <w:num w:numId="7">
    <w:abstractNumId w:val="5"/>
  </w:num>
  <w:num w:numId="8">
    <w:abstractNumId w:val="4"/>
  </w:num>
  <w:num w:numId="9">
    <w:abstractNumId w:val="13"/>
  </w:num>
  <w:num w:numId="10">
    <w:abstractNumId w:val="2"/>
  </w:num>
  <w:num w:numId="11">
    <w:abstractNumId w:val="12"/>
  </w:num>
  <w:num w:numId="12">
    <w:abstractNumId w:val="0"/>
  </w:num>
  <w:num w:numId="13">
    <w:abstractNumId w:val="14"/>
  </w:num>
  <w:num w:numId="14">
    <w:abstractNumId w:val="7"/>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stylePaneFormatFilter w:val="3F01"/>
  <w:defaultTabStop w:val="72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
  <w:rsids>
    <w:rsidRoot w:val="001847C3"/>
    <w:rsid w:val="0001169A"/>
    <w:rsid w:val="00073E21"/>
    <w:rsid w:val="000779C6"/>
    <w:rsid w:val="000C1F97"/>
    <w:rsid w:val="000D6CAE"/>
    <w:rsid w:val="001037EE"/>
    <w:rsid w:val="00160734"/>
    <w:rsid w:val="001640DB"/>
    <w:rsid w:val="0017725C"/>
    <w:rsid w:val="001847C3"/>
    <w:rsid w:val="001A2D27"/>
    <w:rsid w:val="001E434A"/>
    <w:rsid w:val="00213447"/>
    <w:rsid w:val="00235FC3"/>
    <w:rsid w:val="00270073"/>
    <w:rsid w:val="00270FEA"/>
    <w:rsid w:val="00283CBE"/>
    <w:rsid w:val="002B3E53"/>
    <w:rsid w:val="002E14CB"/>
    <w:rsid w:val="002E27B1"/>
    <w:rsid w:val="003625F8"/>
    <w:rsid w:val="0038048F"/>
    <w:rsid w:val="003A4ED3"/>
    <w:rsid w:val="003E73A0"/>
    <w:rsid w:val="003F4353"/>
    <w:rsid w:val="00421619"/>
    <w:rsid w:val="004366B1"/>
    <w:rsid w:val="004542B5"/>
    <w:rsid w:val="004663F7"/>
    <w:rsid w:val="00493815"/>
    <w:rsid w:val="004A56A7"/>
    <w:rsid w:val="004D438C"/>
    <w:rsid w:val="00512166"/>
    <w:rsid w:val="00514557"/>
    <w:rsid w:val="00532666"/>
    <w:rsid w:val="005806BF"/>
    <w:rsid w:val="005A6DA8"/>
    <w:rsid w:val="005D44DE"/>
    <w:rsid w:val="005D7B8A"/>
    <w:rsid w:val="005F1045"/>
    <w:rsid w:val="005F3B5F"/>
    <w:rsid w:val="005F44A9"/>
    <w:rsid w:val="00613AA6"/>
    <w:rsid w:val="00615C76"/>
    <w:rsid w:val="00626B57"/>
    <w:rsid w:val="00670B2C"/>
    <w:rsid w:val="00683593"/>
    <w:rsid w:val="006B5609"/>
    <w:rsid w:val="00756ACA"/>
    <w:rsid w:val="0075778C"/>
    <w:rsid w:val="00767467"/>
    <w:rsid w:val="00775BB9"/>
    <w:rsid w:val="00797DCA"/>
    <w:rsid w:val="007E0C36"/>
    <w:rsid w:val="007E1409"/>
    <w:rsid w:val="008662EB"/>
    <w:rsid w:val="008831D9"/>
    <w:rsid w:val="008915C2"/>
    <w:rsid w:val="008B12B5"/>
    <w:rsid w:val="008D3F7F"/>
    <w:rsid w:val="008E2DB7"/>
    <w:rsid w:val="009C78BA"/>
    <w:rsid w:val="009D599A"/>
    <w:rsid w:val="009D7B7E"/>
    <w:rsid w:val="009D7BF9"/>
    <w:rsid w:val="00A125CF"/>
    <w:rsid w:val="00A15AB9"/>
    <w:rsid w:val="00A21523"/>
    <w:rsid w:val="00A31F81"/>
    <w:rsid w:val="00A70265"/>
    <w:rsid w:val="00A825EA"/>
    <w:rsid w:val="00A870A4"/>
    <w:rsid w:val="00AA5C8A"/>
    <w:rsid w:val="00AC1A82"/>
    <w:rsid w:val="00AC2C8A"/>
    <w:rsid w:val="00AC4AF0"/>
    <w:rsid w:val="00AD5290"/>
    <w:rsid w:val="00B03102"/>
    <w:rsid w:val="00BC5D65"/>
    <w:rsid w:val="00BD5F0B"/>
    <w:rsid w:val="00C052E7"/>
    <w:rsid w:val="00C07D64"/>
    <w:rsid w:val="00C2266A"/>
    <w:rsid w:val="00C23A70"/>
    <w:rsid w:val="00C3013B"/>
    <w:rsid w:val="00C44B13"/>
    <w:rsid w:val="00CA7714"/>
    <w:rsid w:val="00CD2F4F"/>
    <w:rsid w:val="00CD72FD"/>
    <w:rsid w:val="00D0149F"/>
    <w:rsid w:val="00D03462"/>
    <w:rsid w:val="00D12014"/>
    <w:rsid w:val="00D31C50"/>
    <w:rsid w:val="00DA5EC3"/>
    <w:rsid w:val="00DB24BA"/>
    <w:rsid w:val="00DB5A06"/>
    <w:rsid w:val="00DC7960"/>
    <w:rsid w:val="00DD36C7"/>
    <w:rsid w:val="00E1360D"/>
    <w:rsid w:val="00E15DA2"/>
    <w:rsid w:val="00E1705D"/>
    <w:rsid w:val="00E41E84"/>
    <w:rsid w:val="00E94307"/>
    <w:rsid w:val="00EA313F"/>
    <w:rsid w:val="00EE4C04"/>
    <w:rsid w:val="00EF092A"/>
    <w:rsid w:val="00F351AE"/>
    <w:rsid w:val="00F5445A"/>
    <w:rsid w:val="00F61230"/>
    <w:rsid w:val="00F71287"/>
    <w:rsid w:val="00F77C0F"/>
    <w:rsid w:val="00FA0A60"/>
    <w:rsid w:val="00FE1F1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6A7"/>
    <w:rPr>
      <w:sz w:val="24"/>
      <w:szCs w:val="24"/>
      <w:lang w:eastAsia="en-US"/>
    </w:rPr>
  </w:style>
  <w:style w:type="paragraph" w:styleId="Heading1">
    <w:name w:val="heading 1"/>
    <w:basedOn w:val="Normal"/>
    <w:next w:val="Normal"/>
    <w:link w:val="Heading1Char"/>
    <w:qFormat/>
    <w:rsid w:val="00AC2C8A"/>
    <w:pPr>
      <w:keepNext/>
      <w:outlineLvl w:val="0"/>
    </w:pPr>
    <w:rPr>
      <w:rFonts w:ascii="Arial" w:eastAsia="MS Gothic"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56A7"/>
    <w:rPr>
      <w:color w:val="3366FF"/>
      <w:u w:val="single"/>
    </w:rPr>
  </w:style>
  <w:style w:type="character" w:styleId="FollowedHyperlink">
    <w:name w:val="FollowedHyperlink"/>
    <w:rsid w:val="004A56A7"/>
    <w:rPr>
      <w:color w:val="0000FF"/>
    </w:rPr>
  </w:style>
  <w:style w:type="paragraph" w:customStyle="1" w:styleId="Body">
    <w:name w:val="Body"/>
    <w:basedOn w:val="Normal"/>
    <w:rsid w:val="004A56A7"/>
    <w:pPr>
      <w:spacing w:after="120"/>
      <w:jc w:val="both"/>
    </w:pPr>
    <w:rPr>
      <w:rFonts w:ascii="Times" w:hAnsi="Times"/>
      <w:kern w:val="28"/>
      <w:lang w:bidi="he-IL"/>
    </w:rPr>
  </w:style>
  <w:style w:type="paragraph" w:customStyle="1" w:styleId="covertext">
    <w:name w:val="cover text"/>
    <w:basedOn w:val="Normal"/>
    <w:rsid w:val="004A56A7"/>
    <w:pPr>
      <w:spacing w:before="120" w:after="120"/>
    </w:pPr>
    <w:rPr>
      <w:rFonts w:ascii="Times" w:hAnsi="Times"/>
      <w:lang w:bidi="he-IL"/>
    </w:rPr>
  </w:style>
  <w:style w:type="paragraph" w:styleId="BodyText">
    <w:name w:val="Body Text"/>
    <w:basedOn w:val="Normal"/>
    <w:rsid w:val="004A56A7"/>
    <w:rPr>
      <w:b/>
      <w:bCs/>
    </w:rPr>
  </w:style>
  <w:style w:type="paragraph" w:styleId="Header">
    <w:name w:val="header"/>
    <w:basedOn w:val="Normal"/>
    <w:rsid w:val="004A56A7"/>
    <w:pPr>
      <w:tabs>
        <w:tab w:val="center" w:pos="4320"/>
        <w:tab w:val="right" w:pos="8640"/>
      </w:tabs>
    </w:pPr>
  </w:style>
  <w:style w:type="paragraph" w:styleId="Footer">
    <w:name w:val="footer"/>
    <w:basedOn w:val="Normal"/>
    <w:rsid w:val="004A56A7"/>
    <w:pPr>
      <w:tabs>
        <w:tab w:val="center" w:pos="4320"/>
        <w:tab w:val="right" w:pos="8640"/>
      </w:tabs>
    </w:pPr>
  </w:style>
  <w:style w:type="character" w:styleId="PageNumber">
    <w:name w:val="page number"/>
    <w:basedOn w:val="DefaultParagraphFont"/>
    <w:rsid w:val="004A56A7"/>
  </w:style>
  <w:style w:type="paragraph" w:customStyle="1" w:styleId="T1">
    <w:name w:val="T1"/>
    <w:basedOn w:val="Normal"/>
    <w:rsid w:val="00AC2C8A"/>
    <w:pPr>
      <w:spacing w:after="200"/>
      <w:jc w:val="center"/>
    </w:pPr>
    <w:rPr>
      <w:b/>
      <w:sz w:val="28"/>
    </w:rPr>
  </w:style>
  <w:style w:type="character" w:customStyle="1" w:styleId="Heading1Char">
    <w:name w:val="Heading 1 Char"/>
    <w:link w:val="Heading1"/>
    <w:rsid w:val="00AC2C8A"/>
    <w:rPr>
      <w:rFonts w:ascii="Arial" w:eastAsia="MS Gothic" w:hAnsi="Arial" w:cs="Times New Roman"/>
      <w:sz w:val="24"/>
      <w:szCs w:val="24"/>
      <w:lang w:eastAsia="en-US"/>
    </w:rPr>
  </w:style>
  <w:style w:type="paragraph" w:styleId="BalloonText">
    <w:name w:val="Balloon Text"/>
    <w:basedOn w:val="Normal"/>
    <w:link w:val="BalloonTextChar"/>
    <w:rsid w:val="00514557"/>
    <w:rPr>
      <w:rFonts w:ascii="Arial" w:eastAsia="MS Gothic" w:hAnsi="Arial"/>
      <w:sz w:val="18"/>
      <w:szCs w:val="18"/>
    </w:rPr>
  </w:style>
  <w:style w:type="character" w:customStyle="1" w:styleId="BalloonTextChar">
    <w:name w:val="Balloon Text Char"/>
    <w:link w:val="BalloonText"/>
    <w:rsid w:val="00514557"/>
    <w:rPr>
      <w:rFonts w:ascii="Arial" w:eastAsia="MS Gothic" w:hAnsi="Arial" w:cs="Times New Roman"/>
      <w:sz w:val="18"/>
      <w:szCs w:val="18"/>
      <w:lang w:eastAsia="en-US"/>
    </w:rPr>
  </w:style>
  <w:style w:type="table" w:styleId="TableGrid">
    <w:name w:val="Table Grid"/>
    <w:basedOn w:val="TableNormal"/>
    <w:uiPriority w:val="39"/>
    <w:rsid w:val="00532666"/>
    <w:rPr>
      <w:rFonts w:ascii="Arial" w:eastAsia="Times New Roman" w:hAnsi="Arial"/>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872729">
      <w:bodyDiv w:val="1"/>
      <w:marLeft w:val="0"/>
      <w:marRight w:val="0"/>
      <w:marTop w:val="0"/>
      <w:marBottom w:val="0"/>
      <w:divBdr>
        <w:top w:val="none" w:sz="0" w:space="0" w:color="auto"/>
        <w:left w:val="none" w:sz="0" w:space="0" w:color="auto"/>
        <w:bottom w:val="none" w:sz="0" w:space="0" w:color="auto"/>
        <w:right w:val="none" w:sz="0" w:space="0" w:color="auto"/>
      </w:divBdr>
    </w:div>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464667536">
      <w:bodyDiv w:val="1"/>
      <w:marLeft w:val="0"/>
      <w:marRight w:val="0"/>
      <w:marTop w:val="0"/>
      <w:marBottom w:val="0"/>
      <w:divBdr>
        <w:top w:val="none" w:sz="0" w:space="0" w:color="auto"/>
        <w:left w:val="none" w:sz="0" w:space="0" w:color="auto"/>
        <w:bottom w:val="none" w:sz="0" w:space="0" w:color="auto"/>
        <w:right w:val="none" w:sz="0" w:space="0" w:color="auto"/>
      </w:divBdr>
    </w:div>
    <w:div w:id="478228785">
      <w:bodyDiv w:val="1"/>
      <w:marLeft w:val="0"/>
      <w:marRight w:val="0"/>
      <w:marTop w:val="0"/>
      <w:marBottom w:val="0"/>
      <w:divBdr>
        <w:top w:val="none" w:sz="0" w:space="0" w:color="auto"/>
        <w:left w:val="none" w:sz="0" w:space="0" w:color="auto"/>
        <w:bottom w:val="none" w:sz="0" w:space="0" w:color="auto"/>
        <w:right w:val="none" w:sz="0" w:space="0" w:color="auto"/>
      </w:divBdr>
    </w:div>
    <w:div w:id="483665114">
      <w:bodyDiv w:val="1"/>
      <w:marLeft w:val="0"/>
      <w:marRight w:val="0"/>
      <w:marTop w:val="0"/>
      <w:marBottom w:val="0"/>
      <w:divBdr>
        <w:top w:val="none" w:sz="0" w:space="0" w:color="auto"/>
        <w:left w:val="none" w:sz="0" w:space="0" w:color="auto"/>
        <w:bottom w:val="none" w:sz="0" w:space="0" w:color="auto"/>
        <w:right w:val="none" w:sz="0" w:space="0" w:color="auto"/>
      </w:divBdr>
    </w:div>
    <w:div w:id="607353435">
      <w:bodyDiv w:val="1"/>
      <w:marLeft w:val="0"/>
      <w:marRight w:val="0"/>
      <w:marTop w:val="0"/>
      <w:marBottom w:val="0"/>
      <w:divBdr>
        <w:top w:val="none" w:sz="0" w:space="0" w:color="auto"/>
        <w:left w:val="none" w:sz="0" w:space="0" w:color="auto"/>
        <w:bottom w:val="none" w:sz="0" w:space="0" w:color="auto"/>
        <w:right w:val="none" w:sz="0" w:space="0" w:color="auto"/>
      </w:divBdr>
    </w:div>
    <w:div w:id="608582343">
      <w:bodyDiv w:val="1"/>
      <w:marLeft w:val="0"/>
      <w:marRight w:val="0"/>
      <w:marTop w:val="0"/>
      <w:marBottom w:val="0"/>
      <w:divBdr>
        <w:top w:val="none" w:sz="0" w:space="0" w:color="auto"/>
        <w:left w:val="none" w:sz="0" w:space="0" w:color="auto"/>
        <w:bottom w:val="none" w:sz="0" w:space="0" w:color="auto"/>
        <w:right w:val="none" w:sz="0" w:space="0" w:color="auto"/>
      </w:divBdr>
    </w:div>
    <w:div w:id="686444375">
      <w:bodyDiv w:val="1"/>
      <w:marLeft w:val="0"/>
      <w:marRight w:val="0"/>
      <w:marTop w:val="0"/>
      <w:marBottom w:val="0"/>
      <w:divBdr>
        <w:top w:val="none" w:sz="0" w:space="0" w:color="auto"/>
        <w:left w:val="none" w:sz="0" w:space="0" w:color="auto"/>
        <w:bottom w:val="none" w:sz="0" w:space="0" w:color="auto"/>
        <w:right w:val="none" w:sz="0" w:space="0" w:color="auto"/>
      </w:divBdr>
    </w:div>
    <w:div w:id="843400900">
      <w:bodyDiv w:val="1"/>
      <w:marLeft w:val="0"/>
      <w:marRight w:val="0"/>
      <w:marTop w:val="0"/>
      <w:marBottom w:val="0"/>
      <w:divBdr>
        <w:top w:val="none" w:sz="0" w:space="0" w:color="auto"/>
        <w:left w:val="none" w:sz="0" w:space="0" w:color="auto"/>
        <w:bottom w:val="none" w:sz="0" w:space="0" w:color="auto"/>
        <w:right w:val="none" w:sz="0" w:space="0" w:color="auto"/>
      </w:divBdr>
    </w:div>
    <w:div w:id="882332875">
      <w:bodyDiv w:val="1"/>
      <w:marLeft w:val="0"/>
      <w:marRight w:val="0"/>
      <w:marTop w:val="0"/>
      <w:marBottom w:val="0"/>
      <w:divBdr>
        <w:top w:val="none" w:sz="0" w:space="0" w:color="auto"/>
        <w:left w:val="none" w:sz="0" w:space="0" w:color="auto"/>
        <w:bottom w:val="none" w:sz="0" w:space="0" w:color="auto"/>
        <w:right w:val="none" w:sz="0" w:space="0" w:color="auto"/>
      </w:divBdr>
    </w:div>
    <w:div w:id="959334117">
      <w:bodyDiv w:val="1"/>
      <w:marLeft w:val="0"/>
      <w:marRight w:val="0"/>
      <w:marTop w:val="0"/>
      <w:marBottom w:val="0"/>
      <w:divBdr>
        <w:top w:val="none" w:sz="0" w:space="0" w:color="auto"/>
        <w:left w:val="none" w:sz="0" w:space="0" w:color="auto"/>
        <w:bottom w:val="none" w:sz="0" w:space="0" w:color="auto"/>
        <w:right w:val="none" w:sz="0" w:space="0" w:color="auto"/>
      </w:divBdr>
    </w:div>
    <w:div w:id="1129473742">
      <w:bodyDiv w:val="1"/>
      <w:marLeft w:val="0"/>
      <w:marRight w:val="0"/>
      <w:marTop w:val="0"/>
      <w:marBottom w:val="0"/>
      <w:divBdr>
        <w:top w:val="none" w:sz="0" w:space="0" w:color="auto"/>
        <w:left w:val="none" w:sz="0" w:space="0" w:color="auto"/>
        <w:bottom w:val="none" w:sz="0" w:space="0" w:color="auto"/>
        <w:right w:val="none" w:sz="0" w:space="0" w:color="auto"/>
      </w:divBdr>
    </w:div>
    <w:div w:id="1269582514">
      <w:bodyDiv w:val="1"/>
      <w:marLeft w:val="0"/>
      <w:marRight w:val="0"/>
      <w:marTop w:val="0"/>
      <w:marBottom w:val="0"/>
      <w:divBdr>
        <w:top w:val="none" w:sz="0" w:space="0" w:color="auto"/>
        <w:left w:val="none" w:sz="0" w:space="0" w:color="auto"/>
        <w:bottom w:val="none" w:sz="0" w:space="0" w:color="auto"/>
        <w:right w:val="none" w:sz="0" w:space="0" w:color="auto"/>
      </w:divBdr>
    </w:div>
    <w:div w:id="1615014489">
      <w:bodyDiv w:val="1"/>
      <w:marLeft w:val="0"/>
      <w:marRight w:val="0"/>
      <w:marTop w:val="0"/>
      <w:marBottom w:val="0"/>
      <w:divBdr>
        <w:top w:val="none" w:sz="0" w:space="0" w:color="auto"/>
        <w:left w:val="none" w:sz="0" w:space="0" w:color="auto"/>
        <w:bottom w:val="none" w:sz="0" w:space="0" w:color="auto"/>
        <w:right w:val="none" w:sz="0" w:space="0" w:color="auto"/>
      </w:divBdr>
    </w:div>
    <w:div w:id="1748501581">
      <w:bodyDiv w:val="1"/>
      <w:marLeft w:val="0"/>
      <w:marRight w:val="0"/>
      <w:marTop w:val="0"/>
      <w:marBottom w:val="0"/>
      <w:divBdr>
        <w:top w:val="none" w:sz="0" w:space="0" w:color="auto"/>
        <w:left w:val="none" w:sz="0" w:space="0" w:color="auto"/>
        <w:bottom w:val="none" w:sz="0" w:space="0" w:color="auto"/>
        <w:right w:val="none" w:sz="0" w:space="0" w:color="auto"/>
      </w:divBdr>
    </w:div>
    <w:div w:id="1858612983">
      <w:bodyDiv w:val="1"/>
      <w:marLeft w:val="0"/>
      <w:marRight w:val="0"/>
      <w:marTop w:val="0"/>
      <w:marBottom w:val="0"/>
      <w:divBdr>
        <w:top w:val="none" w:sz="0" w:space="0" w:color="auto"/>
        <w:left w:val="none" w:sz="0" w:space="0" w:color="auto"/>
        <w:bottom w:val="none" w:sz="0" w:space="0" w:color="auto"/>
        <w:right w:val="none" w:sz="0" w:space="0" w:color="auto"/>
      </w:divBdr>
    </w:div>
    <w:div w:id="1980572490">
      <w:bodyDiv w:val="1"/>
      <w:marLeft w:val="0"/>
      <w:marRight w:val="0"/>
      <w:marTop w:val="0"/>
      <w:marBottom w:val="0"/>
      <w:divBdr>
        <w:top w:val="none" w:sz="0" w:space="0" w:color="auto"/>
        <w:left w:val="none" w:sz="0" w:space="0" w:color="auto"/>
        <w:bottom w:val="none" w:sz="0" w:space="0" w:color="auto"/>
        <w:right w:val="none" w:sz="0" w:space="0" w:color="auto"/>
      </w:divBdr>
    </w:div>
    <w:div w:id="207646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eee802.org/21/" TargetMode="Externa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andards.ieee.org/board/pat/faq.pdf" TargetMode="External"/><Relationship Id="rId4" Type="http://schemas.openxmlformats.org/officeDocument/2006/relationships/webSettings" Target="webSettings.xml"/><Relationship Id="rId9" Type="http://schemas.openxmlformats.org/officeDocument/2006/relationships/hyperlink" Target="http://127.0.0.1:4664/cache?event_id=757737&amp;schema_id=1&amp;s=5X0vID10lu_E6yrIkWkNd4Wz2H8&amp;q=hancock"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1333</Words>
  <Characters>6781</Characters>
  <Application>Microsoft Office Word</Application>
  <DocSecurity>0</DocSecurity>
  <Lines>56</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8098</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Michael G. Williams</dc:creator>
  <cp:lastModifiedBy>subir Das</cp:lastModifiedBy>
  <cp:revision>3</cp:revision>
  <dcterms:created xsi:type="dcterms:W3CDTF">2014-05-14T21:37:00Z</dcterms:created>
  <dcterms:modified xsi:type="dcterms:W3CDTF">2014-05-14T21:43:00Z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843975488</vt:i4>
  </property>
  <property fmtid="{D5CDD505-2E9C-101B-9397-08002B2CF9AE}" pid="3" name="_EmailSubject">
    <vt:lpwstr>802.20 MBWA Contribution</vt:lpwstr>
  </property>
  <property fmtid="{D5CDD505-2E9C-101B-9397-08002B2CF9AE}" pid="4" name="_AuthorEmail">
    <vt:lpwstr>Park@flarion.com</vt:lpwstr>
  </property>
  <property fmtid="{D5CDD505-2E9C-101B-9397-08002B2CF9AE}" pid="5" name="_AuthorEmailDisplayName">
    <vt:lpwstr>Park Vincent</vt:lpwstr>
  </property>
  <property fmtid="{D5CDD505-2E9C-101B-9397-08002B2CF9AE}" pid="6" name="_ReviewingToolsShownOnce">
    <vt:lpwstr/>
  </property>
</Properties>
</file>