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bookmarkStart w:id="0" w:name="_GoBack"/>
            <w:bookmarkEnd w:id="0"/>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AC2C8A">
            <w:pPr>
              <w:pStyle w:val="covertext"/>
              <w:rPr>
                <w:b/>
              </w:rPr>
            </w:pPr>
            <w:r w:rsidRPr="00AC2C8A">
              <w:rPr>
                <w:rFonts w:hint="eastAsia"/>
                <w:b/>
                <w:sz w:val="28"/>
                <w:lang w:eastAsia="ja-JP"/>
              </w:rPr>
              <w:t>An Algorithm for Complete Subtree Creation</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AC2C8A">
            <w:pPr>
              <w:pStyle w:val="covertext"/>
              <w:rPr>
                <w:b/>
                <w:lang w:eastAsia="ja-JP"/>
              </w:rPr>
            </w:pPr>
            <w:r w:rsidRPr="004366B1">
              <w:rPr>
                <w:b/>
              </w:rPr>
              <w:t>21-</w:t>
            </w:r>
            <w:r w:rsidRPr="004366B1">
              <w:rPr>
                <w:rFonts w:hint="eastAsia"/>
                <w:b/>
                <w:lang w:eastAsia="ja-JP"/>
              </w:rPr>
              <w:t>13</w:t>
            </w:r>
            <w:r w:rsidR="00270073" w:rsidRPr="004366B1">
              <w:rPr>
                <w:b/>
              </w:rPr>
              <w:t>-</w:t>
            </w:r>
            <w:r w:rsidR="00AC2C8A">
              <w:rPr>
                <w:rFonts w:hint="eastAsia"/>
                <w:b/>
                <w:lang w:eastAsia="ja-JP"/>
              </w:rPr>
              <w:t>0205</w:t>
            </w:r>
            <w:r w:rsidR="00270073" w:rsidRPr="004366B1">
              <w:rPr>
                <w:b/>
              </w:rPr>
              <w:t>-00-</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AC2C8A">
            <w:pPr>
              <w:pStyle w:val="covertext"/>
              <w:rPr>
                <w:b/>
                <w:lang w:eastAsia="ja-JP"/>
              </w:rPr>
            </w:pPr>
            <w:r>
              <w:rPr>
                <w:rFonts w:hint="eastAsia"/>
                <w:b/>
                <w:lang w:eastAsia="ja-JP"/>
              </w:rPr>
              <w:t>November 11</w:t>
            </w:r>
            <w:r w:rsidR="00AA5C8A" w:rsidRPr="004366B1">
              <w:rPr>
                <w:rFonts w:hint="eastAsia"/>
                <w:b/>
                <w:lang w:eastAsia="ja-JP"/>
              </w:rPr>
              <w:t>, 2013</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rFonts w:hint="eastAsia"/>
                <w:lang w:eastAsia="ja-JP"/>
              </w:rPr>
            </w:pPr>
            <w:r>
              <w:rPr>
                <w:rFonts w:hint="eastAsia"/>
                <w:lang w:eastAsia="ja-JP"/>
              </w:rPr>
              <w:t>Yoshihiro Ohba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pPr>
              <w:pStyle w:val="covertext"/>
              <w:rPr>
                <w:lang w:eastAsia="ja-JP"/>
              </w:rPr>
            </w:pPr>
            <w:r w:rsidRPr="004366B1">
              <w:t>IEEE 802.21 Session #</w:t>
            </w:r>
            <w:r w:rsidR="00AA5C8A" w:rsidRPr="004366B1">
              <w:rPr>
                <w:rFonts w:hint="eastAsia"/>
                <w:lang w:eastAsia="ja-JP"/>
              </w:rPr>
              <w:t>59</w:t>
            </w:r>
            <w:r w:rsidRPr="004366B1">
              <w:t xml:space="preserve"> in </w:t>
            </w:r>
            <w:r w:rsidR="00AA5C8A" w:rsidRPr="004366B1">
              <w:rPr>
                <w:rFonts w:hint="eastAsia"/>
                <w:lang w:eastAsia="ja-JP"/>
              </w:rPr>
              <w:t>Dallas</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AC2C8A">
            <w:pPr>
              <w:pStyle w:val="covertext"/>
              <w:rPr>
                <w:lang w:eastAsia="ja-JP"/>
              </w:rPr>
            </w:pPr>
            <w:r>
              <w:t>This document</w:t>
            </w:r>
            <w:r>
              <w:rPr>
                <w:rFonts w:hint="eastAsia"/>
                <w:lang w:eastAsia="ja-JP"/>
              </w:rPr>
              <w:t xml:space="preserve"> describes an algorithm for generating complete subtree for GKB.</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AA5C8A" w:rsidP="00AA5C8A">
            <w:pPr>
              <w:pStyle w:val="covertext"/>
              <w:rPr>
                <w:lang w:eastAsia="ja-JP"/>
              </w:rPr>
            </w:pPr>
            <w:r w:rsidRPr="004366B1">
              <w:rPr>
                <w:rFonts w:hint="eastAsia"/>
                <w:lang w:eastAsia="ja-JP"/>
              </w:rPr>
              <w:t>To addresses LB7a Comment #</w:t>
            </w:r>
            <w:r w:rsidR="00AC2C8A">
              <w:rPr>
                <w:rFonts w:hint="eastAsia"/>
                <w:lang w:eastAsia="ja-JP"/>
              </w:rPr>
              <w:t>136.</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270073" w:rsidRDefault="00270073">
      <w:pPr>
        <w:rPr>
          <w:lang w:eastAsia="ja-JP"/>
        </w:rPr>
      </w:pPr>
    </w:p>
    <w:p w:rsidR="00AC2C8A" w:rsidRPr="00AC2C8A" w:rsidRDefault="00AC2C8A" w:rsidP="00AC2C8A">
      <w:pPr>
        <w:pStyle w:val="1"/>
        <w:rPr>
          <w:rFonts w:hint="eastAsia"/>
          <w:b/>
          <w:lang w:eastAsia="ja-JP"/>
        </w:rPr>
      </w:pPr>
      <w:r w:rsidRPr="00AC2C8A">
        <w:rPr>
          <w:rFonts w:hint="eastAsia"/>
          <w:b/>
          <w:lang w:eastAsia="ja-JP"/>
        </w:rPr>
        <w:t>Proposal</w:t>
      </w:r>
    </w:p>
    <w:p w:rsidR="00AC2C8A" w:rsidRPr="00AC2C8A" w:rsidRDefault="00AC2C8A" w:rsidP="00AC2C8A">
      <w:pPr>
        <w:rPr>
          <w:lang w:eastAsia="ja-JP"/>
        </w:rPr>
      </w:pPr>
    </w:p>
    <w:p w:rsidR="00AC2C8A" w:rsidRPr="00AC2C8A" w:rsidRDefault="00AC2C8A" w:rsidP="00AC2C8A">
      <w:pPr>
        <w:spacing w:after="200"/>
        <w:rPr>
          <w:sz w:val="22"/>
          <w:lang w:eastAsia="ja-JP"/>
        </w:rPr>
      </w:pPr>
      <w:r w:rsidRPr="00AC2C8A">
        <w:rPr>
          <w:rFonts w:hint="eastAsia"/>
          <w:sz w:val="22"/>
          <w:lang w:eastAsia="ja-JP"/>
        </w:rPr>
        <w:t xml:space="preserve">Add the following python code to </w:t>
      </w:r>
      <w:r w:rsidRPr="00AC2C8A">
        <w:rPr>
          <w:sz w:val="22"/>
          <w:lang w:eastAsia="ja-JP"/>
        </w:rPr>
        <w:t>9.4.2.5.1</w:t>
      </w:r>
      <w:r w:rsidRPr="00AC2C8A">
        <w:rPr>
          <w:rFonts w:hint="eastAsia"/>
          <w:sz w:val="22"/>
          <w:lang w:eastAsia="ja-JP"/>
        </w:rPr>
        <w:t>.</w:t>
      </w:r>
    </w:p>
    <w:p w:rsidR="00AC2C8A" w:rsidRPr="00AC2C8A" w:rsidRDefault="00AC2C8A" w:rsidP="00AC2C8A">
      <w:pPr>
        <w:pBdr>
          <w:bottom w:val="single" w:sz="6" w:space="1" w:color="auto"/>
        </w:pBdr>
        <w:spacing w:after="200"/>
        <w:rPr>
          <w:sz w:val="22"/>
          <w:lang w:eastAsia="ja-JP"/>
        </w:rPr>
      </w:pP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def CreateCompleteSubtree(I, T, R):</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Input I: List of indices of leaf nodes to be included in the group</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Input T: The entire tree that covers all leaf nodes</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Input R: Root node of the entire tree</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Output S: Complete Subtree for the group.</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S=[]</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lastRenderedPageBreak/>
        <w:t xml:space="preserve">        def check(n):</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Input n: subtree root node</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Output 0, 1</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0 : Some node in the subtree is a non-member of the group.</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1 : All nodes in the subtree are members of the group.</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if n.left==None and n.right==None:  # n is leaf</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if n.index.val in I:</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S.append(n)</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return 1</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return 0</w:t>
      </w:r>
    </w:p>
    <w:p w:rsidR="00AC2C8A" w:rsidRPr="00AC2C8A" w:rsidRDefault="00AC2C8A" w:rsidP="00AC2C8A">
      <w:pPr>
        <w:spacing w:after="200" w:line="160" w:lineRule="exact"/>
        <w:rPr>
          <w:rFonts w:ascii="Consolas" w:hAnsi="Consolas" w:cs="Consolas"/>
          <w:sz w:val="18"/>
          <w:lang w:eastAsia="ja-JP"/>
        </w:rPr>
      </w:pPr>
      <w:r w:rsidRPr="00AC2C8A">
        <w:rPr>
          <w:rFonts w:ascii="Consolas" w:hAnsi="Consolas" w:cs="Consolas"/>
          <w:sz w:val="18"/>
          <w:lang w:eastAsia="ja-JP"/>
        </w:rPr>
        <w:t xml:space="preserve">                # n is non-leaf</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lval=check(n.left)</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rval=check(n.right)</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if lval*rval&gt;0:</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S.remove(n.left)</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S.remove(n.right)</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S.append(n)</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return 1</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return 0</w:t>
      </w:r>
    </w:p>
    <w:p w:rsidR="00AC2C8A" w:rsidRPr="00AC2C8A" w:rsidRDefault="00AC2C8A" w:rsidP="00AC2C8A">
      <w:pPr>
        <w:spacing w:after="200" w:line="160" w:lineRule="exact"/>
        <w:rPr>
          <w:rFonts w:ascii="Consolas" w:hAnsi="Consolas" w:cs="Consolas"/>
          <w:sz w:val="18"/>
        </w:rPr>
      </w:pPr>
      <w:r w:rsidRPr="00AC2C8A">
        <w:rPr>
          <w:rFonts w:ascii="Consolas" w:hAnsi="Consolas" w:cs="Consolas"/>
          <w:sz w:val="18"/>
        </w:rPr>
        <w:t xml:space="preserve">        check(R)</w:t>
      </w:r>
    </w:p>
    <w:p w:rsidR="00AC2C8A" w:rsidRPr="00AC2C8A" w:rsidRDefault="00AC2C8A" w:rsidP="00AC2C8A">
      <w:pPr>
        <w:pBdr>
          <w:bottom w:val="single" w:sz="6" w:space="1" w:color="auto"/>
        </w:pBdr>
        <w:spacing w:after="200" w:line="160" w:lineRule="exact"/>
        <w:rPr>
          <w:rFonts w:ascii="Consolas" w:hAnsi="Consolas" w:cs="Consolas"/>
          <w:sz w:val="18"/>
          <w:lang w:eastAsia="ja-JP"/>
        </w:rPr>
      </w:pPr>
      <w:r w:rsidRPr="00AC2C8A">
        <w:rPr>
          <w:rFonts w:ascii="Consolas" w:hAnsi="Consolas" w:cs="Consolas"/>
          <w:sz w:val="18"/>
        </w:rPr>
        <w:t xml:space="preserve">        return S</w:t>
      </w:r>
    </w:p>
    <w:p w:rsidR="00AC2C8A" w:rsidRPr="00AC2C8A" w:rsidRDefault="00AC2C8A" w:rsidP="00AC2C8A">
      <w:pPr>
        <w:spacing w:after="200" w:line="160" w:lineRule="exact"/>
        <w:rPr>
          <w:sz w:val="22"/>
          <w:lang w:eastAsia="ja-JP"/>
        </w:rPr>
      </w:pPr>
    </w:p>
    <w:p w:rsidR="00BC5D65" w:rsidRPr="00BC5D65" w:rsidRDefault="00BC5D65" w:rsidP="00BC5D65">
      <w:pPr>
        <w:rPr>
          <w:lang w:eastAsia="ja-JP"/>
        </w:rPr>
      </w:pPr>
    </w:p>
    <w:p w:rsidR="00BC5D65" w:rsidRPr="00BC5D65" w:rsidRDefault="00BC5D65" w:rsidP="00BC5D65">
      <w:pPr>
        <w:rPr>
          <w:lang w:eastAsia="ja-JP"/>
        </w:rPr>
      </w:pPr>
    </w:p>
    <w:p w:rsidR="00BC5D65" w:rsidRPr="00BC5D65" w:rsidRDefault="00BC5D65" w:rsidP="00BC5D65">
      <w:pPr>
        <w:rPr>
          <w:lang w:eastAsia="ja-JP"/>
        </w:rPr>
      </w:pPr>
    </w:p>
    <w:p w:rsidR="00BC5D65" w:rsidRPr="00BC5D65" w:rsidRDefault="00BC5D65" w:rsidP="00BC5D65">
      <w:pPr>
        <w:rPr>
          <w:lang w:eastAsia="ja-JP"/>
        </w:rPr>
      </w:pPr>
    </w:p>
    <w:p w:rsidR="00BC5D65" w:rsidRPr="00BC5D65" w:rsidRDefault="00BC5D65" w:rsidP="00BC5D65">
      <w:pPr>
        <w:rPr>
          <w:lang w:eastAsia="ja-JP"/>
        </w:rPr>
      </w:pPr>
    </w:p>
    <w:p w:rsidR="00BC5D65" w:rsidRDefault="00BC5D65" w:rsidP="00BC5D65">
      <w:pPr>
        <w:rPr>
          <w:lang w:eastAsia="ja-JP"/>
        </w:rPr>
      </w:pPr>
    </w:p>
    <w:p w:rsidR="00BC5D65" w:rsidRDefault="00BC5D65" w:rsidP="00BC5D65">
      <w:pPr>
        <w:rPr>
          <w:lang w:eastAsia="ja-JP"/>
        </w:rPr>
      </w:pPr>
    </w:p>
    <w:p w:rsidR="000D6CAE" w:rsidRPr="00BC5D65" w:rsidRDefault="00BC5D65" w:rsidP="00BC5D65">
      <w:pPr>
        <w:tabs>
          <w:tab w:val="left" w:pos="2565"/>
        </w:tabs>
        <w:rPr>
          <w:lang w:eastAsia="ja-JP"/>
        </w:rPr>
      </w:pPr>
      <w:r>
        <w:rPr>
          <w:lang w:eastAsia="ja-JP"/>
        </w:rPr>
        <w:tab/>
      </w:r>
    </w:p>
    <w:sectPr w:rsidR="000D6CAE" w:rsidRPr="00BC5D6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6" w:rsidRDefault="000779C6">
      <w:r>
        <w:separator/>
      </w:r>
    </w:p>
  </w:endnote>
  <w:endnote w:type="continuationSeparator" w:id="0">
    <w:p w:rsidR="000779C6" w:rsidRDefault="0007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AC2C8A">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6" w:rsidRDefault="000779C6">
      <w:r>
        <w:separator/>
      </w:r>
    </w:p>
  </w:footnote>
  <w:footnote w:type="continuationSeparator" w:id="0">
    <w:p w:rsidR="000779C6" w:rsidRDefault="0007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AA5C8A">
    <w:pPr>
      <w:pStyle w:val="a6"/>
      <w:tabs>
        <w:tab w:val="clear" w:pos="4320"/>
      </w:tabs>
      <w:rPr>
        <w:b/>
        <w:bCs/>
        <w:lang w:eastAsia="ja-JP"/>
      </w:rPr>
    </w:pPr>
    <w:r>
      <w:rPr>
        <w:rFonts w:hint="eastAsia"/>
        <w:b/>
        <w:bCs/>
        <w:lang w:eastAsia="ja-JP"/>
      </w:rPr>
      <w:t>2013</w:t>
    </w:r>
    <w:r>
      <w:rPr>
        <w:b/>
        <w:bCs/>
      </w:rPr>
      <w:t>-</w:t>
    </w:r>
    <w:r w:rsidR="00AC2C8A">
      <w:rPr>
        <w:rFonts w:hint="eastAsia"/>
        <w:b/>
        <w:bCs/>
        <w:lang w:eastAsia="ja-JP"/>
      </w:rPr>
      <w:t>11</w:t>
    </w:r>
    <w:r>
      <w:rPr>
        <w:b/>
        <w:bCs/>
      </w:rPr>
      <w:t>-</w:t>
    </w:r>
    <w:r w:rsidR="00AC2C8A">
      <w:rPr>
        <w:rFonts w:hint="eastAsia"/>
        <w:b/>
        <w:bCs/>
        <w:lang w:eastAsia="ja-JP"/>
      </w:rPr>
      <w:t>11</w:t>
    </w:r>
    <w:r>
      <w:rPr>
        <w:b/>
        <w:bCs/>
      </w:rPr>
      <w:tab/>
      <w:t>21-</w:t>
    </w:r>
    <w:r>
      <w:rPr>
        <w:rFonts w:hint="eastAsia"/>
        <w:b/>
        <w:bCs/>
        <w:lang w:eastAsia="ja-JP"/>
      </w:rPr>
      <w:t>13</w:t>
    </w:r>
    <w:r w:rsidR="00AC2C8A">
      <w:rPr>
        <w:b/>
        <w:bCs/>
      </w:rPr>
      <w:t>-</w:t>
    </w:r>
    <w:r w:rsidR="00AC2C8A">
      <w:rPr>
        <w:rFonts w:hint="eastAsia"/>
        <w:b/>
        <w:bCs/>
        <w:lang w:eastAsia="ja-JP"/>
      </w:rPr>
      <w:t>0205</w:t>
    </w:r>
    <w:r w:rsidR="00DD36C7">
      <w:rPr>
        <w:b/>
        <w:bCs/>
      </w:rPr>
      <w:t>-00-</w:t>
    </w:r>
    <w:r w:rsidR="00AC2C8A">
      <w:rPr>
        <w:rFonts w:hint="eastAsia"/>
        <w:b/>
        <w:bCs/>
        <w:lang w:eastAsia="ja-JP"/>
      </w:rPr>
      <w:t>MuGM</w:t>
    </w:r>
    <w:r w:rsidR="00DD36C7">
      <w:rPr>
        <w:b/>
        <w:bCs/>
      </w:rPr>
      <w:t>.doc</w:t>
    </w:r>
    <w:r>
      <w:rPr>
        <w:rFonts w:hint="eastAsia"/>
        <w:b/>
        <w:bCs/>
        <w:lang w:eastAsia="ja-JP"/>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779C6"/>
    <w:rsid w:val="000D6CAE"/>
    <w:rsid w:val="001847C3"/>
    <w:rsid w:val="001E434A"/>
    <w:rsid w:val="00270073"/>
    <w:rsid w:val="003A4ED3"/>
    <w:rsid w:val="004366B1"/>
    <w:rsid w:val="004663F7"/>
    <w:rsid w:val="008D3F7F"/>
    <w:rsid w:val="00A15AB9"/>
    <w:rsid w:val="00AA5C8A"/>
    <w:rsid w:val="00AC1A82"/>
    <w:rsid w:val="00AC2C8A"/>
    <w:rsid w:val="00BC5D65"/>
    <w:rsid w:val="00C052E7"/>
    <w:rsid w:val="00C23A70"/>
    <w:rsid w:val="00D0149F"/>
    <w:rsid w:val="00D03462"/>
    <w:rsid w:val="00DB5A06"/>
    <w:rsid w:val="00DC7960"/>
    <w:rsid w:val="00DD36C7"/>
    <w:rsid w:val="00E15DA2"/>
    <w:rsid w:val="00E1705D"/>
    <w:rsid w:val="00EE4C04"/>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2171</TotalTime>
  <Pages>2</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3101</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ohba</cp:lastModifiedBy>
  <cp:revision>9</cp:revision>
  <dcterms:created xsi:type="dcterms:W3CDTF">2013-10-19T12:58:00Z</dcterms:created>
  <dcterms:modified xsi:type="dcterms:W3CDTF">2013-11-11T14:50:00Z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