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A352B9">
            <w:pPr>
              <w:pStyle w:val="T2"/>
            </w:pPr>
            <w:r>
              <w:rPr>
                <w:rFonts w:eastAsia="맑은 고딕"/>
                <w:lang w:eastAsia="ko-KR"/>
              </w:rPr>
              <w:t>IG CUB</w:t>
            </w:r>
            <w:r w:rsidR="00811F30">
              <w:rPr>
                <w:rFonts w:eastAsia="맑은 고딕"/>
                <w:lang w:eastAsia="ko-KR"/>
              </w:rPr>
              <w:t xml:space="preserve"> </w:t>
            </w:r>
            <w:r w:rsidR="00A352B9">
              <w:rPr>
                <w:rFonts w:eastAsia="맑은 고딕" w:hint="eastAsia"/>
                <w:lang w:eastAsia="ko-KR"/>
              </w:rPr>
              <w:t>June 4</w:t>
            </w:r>
            <w:r>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A352B9">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A352B9">
              <w:rPr>
                <w:b w:val="0"/>
                <w:sz w:val="20"/>
                <w:lang w:eastAsia="ja-JP"/>
              </w:rPr>
              <w:t>6</w:t>
            </w:r>
            <w:r w:rsidR="00720E76">
              <w:rPr>
                <w:b w:val="0"/>
                <w:sz w:val="20"/>
              </w:rPr>
              <w:t>-</w:t>
            </w:r>
            <w:r w:rsidR="00811F30">
              <w:rPr>
                <w:b w:val="0"/>
                <w:sz w:val="20"/>
              </w:rPr>
              <w:t>0</w:t>
            </w:r>
            <w:r w:rsidR="00A352B9">
              <w:rPr>
                <w:b w:val="0"/>
                <w:sz w:val="20"/>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A352B9">
                              <w:rPr>
                                <w:rFonts w:eastAsia="맑은 고딕"/>
                                <w:lang w:eastAsia="ko-KR"/>
                              </w:rPr>
                              <w:t>June</w:t>
                            </w:r>
                            <w:r w:rsidR="00602879">
                              <w:rPr>
                                <w:rFonts w:eastAsia="MS Mincho" w:hint="eastAsia"/>
                                <w:lang w:eastAsia="ja-JP"/>
                              </w:rPr>
                              <w:t xml:space="preserve"> </w:t>
                            </w:r>
                            <w:r w:rsidR="00A352B9">
                              <w:rPr>
                                <w:rFonts w:eastAsia="MS Mincho"/>
                                <w:lang w:eastAsia="ja-JP"/>
                              </w:rPr>
                              <w:t>4</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A352B9">
                        <w:rPr>
                          <w:rFonts w:eastAsia="맑은 고딕"/>
                          <w:lang w:eastAsia="ko-KR"/>
                        </w:rPr>
                        <w:t>June</w:t>
                      </w:r>
                      <w:r w:rsidR="00602879">
                        <w:rPr>
                          <w:rFonts w:eastAsia="MS Mincho" w:hint="eastAsia"/>
                          <w:lang w:eastAsia="ja-JP"/>
                        </w:rPr>
                        <w:t xml:space="preserve"> </w:t>
                      </w:r>
                      <w:r w:rsidR="00A352B9">
                        <w:rPr>
                          <w:rFonts w:eastAsia="MS Mincho"/>
                          <w:lang w:eastAsia="ja-JP"/>
                        </w:rPr>
                        <w:t>4</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3757EA" w:rsidRPr="00911B91" w:rsidRDefault="00461D62" w:rsidP="00461D62">
      <w:pPr>
        <w:pStyle w:val="a7"/>
        <w:numPr>
          <w:ilvl w:val="0"/>
          <w:numId w:val="1"/>
        </w:numPr>
      </w:pPr>
      <w:r w:rsidRPr="00461D62">
        <w:rPr>
          <w:rFonts w:eastAsia="맑은 고딕"/>
          <w:lang w:eastAsia="ko-KR"/>
        </w:rPr>
        <w:t>Impact of LTE in unlicensed spectrum on Wi-Fi</w:t>
      </w:r>
    </w:p>
    <w:p w:rsidR="00911B91" w:rsidRPr="00811F30" w:rsidRDefault="00911B91" w:rsidP="00461D62">
      <w:pPr>
        <w:pStyle w:val="a7"/>
        <w:numPr>
          <w:ilvl w:val="0"/>
          <w:numId w:val="1"/>
        </w:numPr>
      </w:pPr>
      <w:r>
        <w:rPr>
          <w:rFonts w:eastAsia="맑은 고딕"/>
          <w:lang w:eastAsia="ko-KR"/>
        </w:rPr>
        <w:t>Conference call schedule</w:t>
      </w:r>
    </w:p>
    <w:p w:rsidR="00A8199F" w:rsidRPr="007670AF" w:rsidRDefault="00550AA5" w:rsidP="00811F30">
      <w:pPr>
        <w:pStyle w:val="a7"/>
        <w:numPr>
          <w:ilvl w:val="0"/>
          <w:numId w:val="1"/>
        </w:numPr>
      </w:pPr>
      <w:r w:rsidRPr="006279A2">
        <w:t>AOB</w:t>
      </w:r>
    </w:p>
    <w:p w:rsidR="005A7881" w:rsidRDefault="005A7881" w:rsidP="00550AA5">
      <w:pPr>
        <w:pStyle w:val="1"/>
      </w:pPr>
      <w:r>
        <w:t>Attendance</w:t>
      </w:r>
    </w:p>
    <w:p w:rsidR="005A7881" w:rsidRDefault="005A7881" w:rsidP="005A7881"/>
    <w:p w:rsidR="005660EE" w:rsidRDefault="005660EE" w:rsidP="005660EE">
      <w:pPr>
        <w:rPr>
          <w:rFonts w:eastAsia="맑은 고딕"/>
          <w:lang w:eastAsia="ko-KR"/>
        </w:rPr>
      </w:pPr>
      <w:r w:rsidRPr="00461D62">
        <w:rPr>
          <w:rFonts w:eastAsia="맑은 고딕"/>
          <w:lang w:val="en-US" w:eastAsia="ko-KR"/>
        </w:rPr>
        <w:t>Alireza Babaei</w:t>
      </w:r>
      <w:r>
        <w:rPr>
          <w:rFonts w:eastAsia="맑은 고딕"/>
          <w:lang w:val="en-US" w:eastAsia="ko-KR"/>
        </w:rPr>
        <w:t xml:space="preserve"> (CableLabs)</w:t>
      </w:r>
    </w:p>
    <w:p w:rsidR="00F127D6" w:rsidRDefault="00F127D6" w:rsidP="00F127D6">
      <w:pPr>
        <w:rPr>
          <w:rFonts w:eastAsia="맑은 고딕"/>
          <w:lang w:eastAsia="ko-KR"/>
        </w:rPr>
      </w:pPr>
      <w:r w:rsidRPr="00903CBA">
        <w:rPr>
          <w:rFonts w:eastAsia="맑은 고딕"/>
          <w:lang w:eastAsia="ko-KR"/>
        </w:rPr>
        <w:t>Terry Martin</w:t>
      </w:r>
      <w:r>
        <w:rPr>
          <w:rFonts w:eastAsia="맑은 고딕"/>
          <w:lang w:eastAsia="ko-KR"/>
        </w:rPr>
        <w:t xml:space="preserve"> (</w:t>
      </w:r>
      <w:r w:rsidRPr="00903CBA">
        <w:rPr>
          <w:rFonts w:eastAsia="맑은 고딕"/>
          <w:lang w:eastAsia="ko-KR"/>
        </w:rPr>
        <w:t>Digital Communication Consulting, LLC</w:t>
      </w:r>
      <w:r>
        <w:rPr>
          <w:rFonts w:eastAsia="맑은 고딕"/>
          <w:lang w:eastAsia="ko-KR"/>
        </w:rPr>
        <w:t>)</w:t>
      </w:r>
    </w:p>
    <w:p w:rsidR="00642A34" w:rsidRDefault="00642A34" w:rsidP="00642A34">
      <w:pPr>
        <w:rPr>
          <w:rFonts w:eastAsia="맑은 고딕"/>
          <w:lang w:eastAsia="ko-KR"/>
        </w:rPr>
      </w:pPr>
      <w:r w:rsidRPr="00903CBA">
        <w:rPr>
          <w:rFonts w:eastAsia="맑은 고딕"/>
          <w:lang w:eastAsia="ko-KR"/>
        </w:rPr>
        <w:t>Yasu Inoue</w:t>
      </w:r>
      <w:r>
        <w:rPr>
          <w:rFonts w:eastAsia="맑은 고딕"/>
          <w:lang w:eastAsia="ko-KR"/>
        </w:rPr>
        <w:t xml:space="preserve"> (NTT)</w:t>
      </w:r>
    </w:p>
    <w:p w:rsidR="00642A34" w:rsidRDefault="00642A34" w:rsidP="00642A34">
      <w:pPr>
        <w:rPr>
          <w:rFonts w:eastAsia="맑은 고딕"/>
          <w:lang w:val="fi-FI" w:eastAsia="ko-KR"/>
        </w:rPr>
      </w:pPr>
      <w:r w:rsidRPr="00903CBA">
        <w:rPr>
          <w:rFonts w:eastAsia="맑은 고딕"/>
          <w:lang w:val="fi-FI" w:eastAsia="ko-KR"/>
        </w:rPr>
        <w:t>Chen S</w:t>
      </w:r>
      <w:r>
        <w:rPr>
          <w:rFonts w:eastAsia="맑은 고딕"/>
          <w:lang w:val="fi-FI" w:eastAsia="ko-KR"/>
        </w:rPr>
        <w:t>un</w:t>
      </w:r>
      <w:r w:rsidRPr="00903CBA">
        <w:rPr>
          <w:rFonts w:eastAsia="맑은 고딕"/>
          <w:lang w:val="fi-FI" w:eastAsia="ko-KR"/>
        </w:rPr>
        <w:t xml:space="preserve"> </w:t>
      </w:r>
      <w:r>
        <w:rPr>
          <w:rFonts w:eastAsia="맑은 고딕"/>
          <w:lang w:val="fi-FI" w:eastAsia="ko-KR"/>
        </w:rPr>
        <w:t>(Sony)</w:t>
      </w:r>
    </w:p>
    <w:p w:rsidR="00642A34" w:rsidRDefault="00642A34" w:rsidP="00642A34">
      <w:pPr>
        <w:rPr>
          <w:rFonts w:eastAsia="맑은 고딕"/>
          <w:lang w:eastAsia="ko-KR"/>
        </w:rPr>
      </w:pPr>
      <w:r w:rsidRPr="00903CBA">
        <w:rPr>
          <w:rFonts w:eastAsia="맑은 고딕"/>
          <w:lang w:val="fi-FI" w:eastAsia="ko-KR"/>
        </w:rPr>
        <w:t>Shoi</w:t>
      </w:r>
      <w:r>
        <w:rPr>
          <w:rFonts w:eastAsia="맑은 고딕"/>
          <w:lang w:val="fi-FI" w:eastAsia="ko-KR"/>
        </w:rPr>
        <w:t>chi Kitazawa (</w:t>
      </w:r>
      <w:r w:rsidRPr="00903CBA">
        <w:rPr>
          <w:rFonts w:eastAsia="맑은 고딕"/>
          <w:lang w:val="fi-FI" w:eastAsia="ko-KR"/>
        </w:rPr>
        <w:t>ATR</w:t>
      </w:r>
      <w:r>
        <w:rPr>
          <w:rFonts w:eastAsia="맑은 고딕"/>
          <w:lang w:val="fi-FI" w:eastAsia="ko-KR"/>
        </w:rPr>
        <w:t>)</w:t>
      </w:r>
    </w:p>
    <w:p w:rsidR="00642A34" w:rsidRDefault="00642A34" w:rsidP="00642A34">
      <w:pPr>
        <w:rPr>
          <w:rFonts w:eastAsia="맑은 고딕"/>
          <w:lang w:val="fi-FI" w:eastAsia="ko-KR"/>
        </w:rPr>
      </w:pPr>
      <w:r>
        <w:rPr>
          <w:rFonts w:eastAsia="맑은 고딕"/>
          <w:lang w:val="fi-FI" w:eastAsia="ko-KR"/>
        </w:rPr>
        <w:t xml:space="preserve">Steve </w:t>
      </w:r>
      <w:r w:rsidRPr="00903CBA">
        <w:rPr>
          <w:rFonts w:eastAsia="맑은 고딕"/>
          <w:lang w:val="fi-FI" w:eastAsia="ko-KR"/>
        </w:rPr>
        <w:t>Shellhammer</w:t>
      </w:r>
      <w:r>
        <w:rPr>
          <w:rFonts w:eastAsia="맑은 고딕"/>
          <w:lang w:val="fi-FI" w:eastAsia="ko-KR"/>
        </w:rPr>
        <w:t xml:space="preserve"> (Qualcomm)</w:t>
      </w:r>
    </w:p>
    <w:p w:rsidR="00F127D6" w:rsidRDefault="00F127D6" w:rsidP="00F127D6">
      <w:pPr>
        <w:rPr>
          <w:rFonts w:eastAsia="맑은 고딕"/>
          <w:lang w:eastAsia="ko-KR"/>
        </w:rPr>
      </w:pPr>
      <w:r>
        <w:rPr>
          <w:rFonts w:eastAsia="맑은 고딕"/>
          <w:lang w:eastAsia="ko-KR"/>
        </w:rPr>
        <w:t>Ron Porat (Broadcom)</w:t>
      </w:r>
    </w:p>
    <w:p w:rsidR="00903CBA" w:rsidRDefault="00F127D6" w:rsidP="00903CBA">
      <w:pPr>
        <w:rPr>
          <w:rFonts w:eastAsia="맑은 고딕"/>
          <w:lang w:eastAsia="ko-KR"/>
        </w:rPr>
      </w:pPr>
      <w:r w:rsidRPr="00903CBA">
        <w:rPr>
          <w:rFonts w:eastAsia="맑은 고딕"/>
          <w:lang w:eastAsia="ko-KR"/>
        </w:rPr>
        <w:t xml:space="preserve">Scott </w:t>
      </w:r>
      <w:r w:rsidR="00903CBA" w:rsidRPr="00903CBA">
        <w:rPr>
          <w:rFonts w:eastAsia="맑은 고딕"/>
          <w:lang w:eastAsia="ko-KR"/>
        </w:rPr>
        <w:t>Marin (NSN - US/Irving)</w:t>
      </w:r>
    </w:p>
    <w:p w:rsidR="00CC5A4F" w:rsidRDefault="001566DF" w:rsidP="00986E00">
      <w:pPr>
        <w:rPr>
          <w:rFonts w:eastAsia="맑은 고딕"/>
          <w:lang w:val="fi-FI" w:eastAsia="ko-KR"/>
        </w:rPr>
      </w:pPr>
      <w:r w:rsidRPr="00986E00">
        <w:rPr>
          <w:rFonts w:eastAsia="맑은 고딕"/>
          <w:lang w:val="fi-FI" w:eastAsia="ko-KR"/>
        </w:rPr>
        <w:t>Hyunduk Kang</w:t>
      </w:r>
      <w:r w:rsidR="00E14FF0">
        <w:rPr>
          <w:rFonts w:eastAsia="맑은 고딕"/>
          <w:lang w:val="fi-FI" w:eastAsia="ko-KR"/>
        </w:rPr>
        <w:t xml:space="preserve">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756C85">
        <w:rPr>
          <w:rFonts w:eastAsia="맑은 고딕"/>
          <w:lang w:val="en-US" w:eastAsia="ko-KR"/>
        </w:rPr>
        <w:t>call host</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F7047C" w:rsidRPr="001E213C" w:rsidRDefault="00461D62" w:rsidP="00903CBA">
      <w:pPr>
        <w:pStyle w:val="1"/>
        <w:rPr>
          <w:rFonts w:eastAsia="맑은 고딕"/>
          <w:b w:val="0"/>
          <w:lang w:val="en-US" w:eastAsia="ko-KR"/>
        </w:rPr>
      </w:pPr>
      <w:r w:rsidRPr="00461D62">
        <w:rPr>
          <w:rFonts w:eastAsia="맑은 고딕"/>
          <w:lang w:val="en-US" w:eastAsia="ko-KR"/>
        </w:rPr>
        <w:t>Impact of LTE in unlicensed spectrum on Wi-Fi</w:t>
      </w:r>
    </w:p>
    <w:p w:rsidR="00903CBA" w:rsidRDefault="00903CBA" w:rsidP="007D7324">
      <w:pPr>
        <w:rPr>
          <w:rFonts w:eastAsia="맑은 고딕"/>
          <w:lang w:val="en-US" w:eastAsia="ko-KR"/>
        </w:rPr>
      </w:pPr>
      <w:bookmarkStart w:id="0" w:name="_GoBack"/>
      <w:bookmarkEnd w:id="0"/>
    </w:p>
    <w:p w:rsidR="00903CBA" w:rsidRPr="00F16758" w:rsidRDefault="00461D62" w:rsidP="00C11CCA">
      <w:pPr>
        <w:rPr>
          <w:rFonts w:eastAsia="맑은 고딕"/>
          <w:lang w:val="en-US" w:eastAsia="ko-KR"/>
        </w:rPr>
      </w:pPr>
      <w:r w:rsidRPr="00461D62">
        <w:rPr>
          <w:rFonts w:eastAsia="맑은 고딕"/>
          <w:lang w:val="en-US" w:eastAsia="ko-KR"/>
        </w:rPr>
        <w:t xml:space="preserve">Alireza </w:t>
      </w:r>
      <w:r w:rsidRPr="00F16758">
        <w:rPr>
          <w:rFonts w:eastAsia="맑은 고딕"/>
          <w:lang w:val="en-US" w:eastAsia="ko-KR"/>
        </w:rPr>
        <w:t xml:space="preserve">Babaei </w:t>
      </w:r>
      <w:r w:rsidR="00903CBA" w:rsidRPr="00F16758">
        <w:rPr>
          <w:rFonts w:eastAsia="맑은 고딕"/>
          <w:lang w:val="fi-FI" w:eastAsia="ko-KR"/>
        </w:rPr>
        <w:t>presented</w:t>
      </w:r>
      <w:r w:rsidR="005B5098">
        <w:rPr>
          <w:rFonts w:eastAsia="맑은 고딕"/>
          <w:lang w:val="fi-FI" w:eastAsia="ko-KR"/>
        </w:rPr>
        <w:t xml:space="preserve"> </w:t>
      </w:r>
      <w:r w:rsidR="005B5098">
        <w:rPr>
          <w:rFonts w:eastAsia="맑은 고딕" w:hint="eastAsia"/>
          <w:lang w:val="fi-FI" w:eastAsia="ko-KR"/>
        </w:rPr>
        <w:t>i</w:t>
      </w:r>
      <w:r w:rsidRPr="00F16758">
        <w:rPr>
          <w:rFonts w:eastAsia="맑은 고딕"/>
          <w:lang w:val="fi-FI" w:eastAsia="ko-KR"/>
        </w:rPr>
        <w:t>mpact of LTE in unlicensed spectrum on Wi-Fi (doc. 19-14/0037</w:t>
      </w:r>
      <w:r w:rsidR="00903CBA" w:rsidRPr="00F16758">
        <w:rPr>
          <w:rFonts w:eastAsia="맑은 고딕"/>
          <w:lang w:val="fi-FI" w:eastAsia="ko-KR"/>
        </w:rPr>
        <w:t xml:space="preserve">r0) </w:t>
      </w:r>
      <w:r w:rsidRPr="00F16758">
        <w:rPr>
          <w:rFonts w:eastAsia="맑은 고딕"/>
          <w:lang w:val="fi-FI" w:eastAsia="ko-KR"/>
        </w:rPr>
        <w:t xml:space="preserve">providing analytical/numerical and lab test results on the impact of LTE in unlicensed spectrum on the performance of Wi-Fi networks. </w:t>
      </w:r>
      <w:r w:rsidR="00F16758" w:rsidRPr="00F16758">
        <w:rPr>
          <w:rFonts w:eastAsia="맑은 고딕"/>
          <w:lang w:val="fi-FI" w:eastAsia="ko-KR"/>
        </w:rPr>
        <w:t xml:space="preserve">The effect of </w:t>
      </w:r>
      <w:r w:rsidRPr="00F16758">
        <w:rPr>
          <w:rFonts w:eastAsia="맑은 고딕"/>
          <w:lang w:val="fi-FI" w:eastAsia="ko-KR"/>
        </w:rPr>
        <w:t xml:space="preserve">LTE quite period and duty cycle </w:t>
      </w:r>
      <w:r w:rsidR="00F16758" w:rsidRPr="00F16758">
        <w:rPr>
          <w:rFonts w:eastAsia="맑은 고딕"/>
          <w:lang w:val="fi-FI" w:eastAsia="ko-KR"/>
        </w:rPr>
        <w:t xml:space="preserve">approach for coexistence </w:t>
      </w:r>
      <w:r w:rsidRPr="00F16758">
        <w:rPr>
          <w:rFonts w:eastAsia="맑은 고딕"/>
          <w:lang w:val="fi-FI" w:eastAsia="ko-KR"/>
        </w:rPr>
        <w:t xml:space="preserve">LTE </w:t>
      </w:r>
      <w:r w:rsidR="00F16758" w:rsidRPr="00F16758">
        <w:rPr>
          <w:rFonts w:eastAsia="맑은 고딕"/>
          <w:lang w:val="fi-FI" w:eastAsia="ko-KR"/>
        </w:rPr>
        <w:t xml:space="preserve">with Wi-Fi </w:t>
      </w:r>
      <w:r w:rsidRPr="00F16758">
        <w:rPr>
          <w:rFonts w:eastAsia="맑은 고딕"/>
          <w:lang w:val="fi-FI" w:eastAsia="ko-KR"/>
        </w:rPr>
        <w:t xml:space="preserve">are </w:t>
      </w:r>
      <w:r w:rsidR="00F16758" w:rsidRPr="00F16758">
        <w:rPr>
          <w:rFonts w:eastAsia="맑은 고딕"/>
          <w:lang w:val="fi-FI" w:eastAsia="ko-KR"/>
        </w:rPr>
        <w:t>examined</w:t>
      </w:r>
      <w:r w:rsidRPr="00F16758">
        <w:rPr>
          <w:rFonts w:eastAsia="맑은 고딕"/>
          <w:lang w:val="fi-FI" w:eastAsia="ko-KR"/>
        </w:rPr>
        <w:t xml:space="preserve">. </w:t>
      </w:r>
      <w:r w:rsidR="00AA1B8B" w:rsidRPr="00F16758">
        <w:rPr>
          <w:rFonts w:eastAsia="맑은 고딕"/>
          <w:lang w:val="fi-FI" w:eastAsia="ko-KR"/>
        </w:rPr>
        <w:t>T</w:t>
      </w:r>
      <w:r w:rsidR="00082A8C" w:rsidRPr="00F16758">
        <w:rPr>
          <w:rFonts w:eastAsia="맑은 고딕"/>
          <w:lang w:val="fi-FI" w:eastAsia="ko-KR"/>
        </w:rPr>
        <w:t xml:space="preserve">he group </w:t>
      </w:r>
      <w:r w:rsidR="00E239E2">
        <w:rPr>
          <w:rFonts w:eastAsia="맑은 고딕"/>
          <w:lang w:val="fi-FI" w:eastAsia="ko-KR"/>
        </w:rPr>
        <w:t xml:space="preserve">also </w:t>
      </w:r>
      <w:r w:rsidR="00082A8C" w:rsidRPr="00F16758">
        <w:rPr>
          <w:rFonts w:eastAsia="맑은 고딕"/>
          <w:lang w:val="fi-FI" w:eastAsia="ko-KR"/>
        </w:rPr>
        <w:t xml:space="preserve">discussed </w:t>
      </w:r>
      <w:r w:rsidR="00E239E2">
        <w:rPr>
          <w:rFonts w:eastAsia="맑은 고딕"/>
          <w:lang w:val="fi-FI" w:eastAsia="ko-KR"/>
        </w:rPr>
        <w:t xml:space="preserve">realated </w:t>
      </w:r>
      <w:r w:rsidR="00AA1B8B" w:rsidRPr="00F16758">
        <w:rPr>
          <w:rFonts w:eastAsia="맑은 고딕"/>
          <w:lang w:val="fi-FI" w:eastAsia="ko-KR"/>
        </w:rPr>
        <w:t>issues on Wi</w:t>
      </w:r>
      <w:r w:rsidR="00652BAD">
        <w:rPr>
          <w:rFonts w:eastAsia="맑은 고딕"/>
          <w:lang w:val="fi-FI" w:eastAsia="ko-KR"/>
        </w:rPr>
        <w:t>-</w:t>
      </w:r>
      <w:r w:rsidR="00AA1B8B" w:rsidRPr="00F16758">
        <w:rPr>
          <w:rFonts w:eastAsia="맑은 고딕"/>
          <w:lang w:val="fi-FI" w:eastAsia="ko-KR"/>
        </w:rPr>
        <w:t>Fi</w:t>
      </w:r>
      <w:r w:rsidR="00F16758" w:rsidRPr="00F16758">
        <w:rPr>
          <w:rFonts w:eastAsia="맑은 고딕"/>
          <w:lang w:val="fi-FI" w:eastAsia="ko-KR"/>
        </w:rPr>
        <w:t xml:space="preserve"> throughput and </w:t>
      </w:r>
      <w:r w:rsidR="00AA1B8B" w:rsidRPr="00F16758">
        <w:rPr>
          <w:rFonts w:eastAsia="맑은 고딕"/>
          <w:lang w:val="fi-FI" w:eastAsia="ko-KR"/>
        </w:rPr>
        <w:t>delay</w:t>
      </w:r>
      <w:r w:rsidR="00F16758" w:rsidRPr="00F16758">
        <w:rPr>
          <w:rFonts w:eastAsia="맑은 고딕"/>
          <w:lang w:val="fi-FI" w:eastAsia="ko-KR"/>
        </w:rPr>
        <w:t xml:space="preserve"> regarding the duty cycle approach</w:t>
      </w:r>
      <w:r w:rsidR="00AA1B8B" w:rsidRPr="00F16758">
        <w:rPr>
          <w:rFonts w:eastAsia="맑은 고딕"/>
          <w:lang w:val="fi-FI" w:eastAsia="ko-KR"/>
        </w:rPr>
        <w:t>.</w:t>
      </w:r>
    </w:p>
    <w:p w:rsidR="00004A86" w:rsidRPr="005B5098" w:rsidRDefault="00004A86" w:rsidP="00C11CCA">
      <w:pPr>
        <w:rPr>
          <w:rFonts w:eastAsia="맑은 고딕"/>
          <w:lang w:val="en-US" w:eastAsia="ko-KR"/>
        </w:rPr>
      </w:pPr>
    </w:p>
    <w:p w:rsidR="00911B91" w:rsidRPr="001E213C" w:rsidRDefault="00911B91" w:rsidP="00911B91">
      <w:pPr>
        <w:pStyle w:val="1"/>
        <w:rPr>
          <w:rFonts w:eastAsia="맑은 고딕"/>
          <w:b w:val="0"/>
          <w:lang w:val="en-US" w:eastAsia="ko-KR"/>
        </w:rPr>
      </w:pPr>
      <w:r>
        <w:rPr>
          <w:rFonts w:eastAsia="맑은 고딕"/>
          <w:lang w:val="en-US" w:eastAsia="ko-KR"/>
        </w:rPr>
        <w:t>Conference call schedule</w:t>
      </w:r>
    </w:p>
    <w:p w:rsidR="00461D62" w:rsidRPr="00911B91" w:rsidRDefault="00461D62" w:rsidP="00C11CCA">
      <w:pPr>
        <w:rPr>
          <w:rFonts w:eastAsia="맑은 고딕"/>
          <w:lang w:val="en-US" w:eastAsia="ko-KR"/>
        </w:rPr>
      </w:pPr>
    </w:p>
    <w:p w:rsidR="00A8199F" w:rsidRDefault="005A7DC5" w:rsidP="00C11CCA">
      <w:pPr>
        <w:rPr>
          <w:rFonts w:eastAsia="맑은 고딕"/>
          <w:lang w:val="en-US" w:eastAsia="ko-KR"/>
        </w:rPr>
      </w:pPr>
      <w:r>
        <w:rPr>
          <w:rFonts w:eastAsia="맑은 고딕" w:hint="eastAsia"/>
          <w:lang w:val="en-US" w:eastAsia="ko-KR"/>
        </w:rPr>
        <w:t xml:space="preserve">The group </w:t>
      </w:r>
      <w:r w:rsidR="00461D62">
        <w:rPr>
          <w:rFonts w:eastAsia="맑은 고딕" w:hint="eastAsia"/>
          <w:lang w:val="en-US" w:eastAsia="ko-KR"/>
        </w:rPr>
        <w:t xml:space="preserve">decided to add one more teleconference call before </w:t>
      </w:r>
      <w:r w:rsidR="00461D62">
        <w:rPr>
          <w:rFonts w:eastAsia="맑은 고딕"/>
          <w:lang w:val="en-US" w:eastAsia="ko-KR"/>
        </w:rPr>
        <w:t xml:space="preserve">the face-to-face meeting on </w:t>
      </w:r>
      <w:r w:rsidR="00461D62">
        <w:rPr>
          <w:rFonts w:eastAsia="맑은 고딕" w:hint="eastAsia"/>
          <w:lang w:val="en-US" w:eastAsia="ko-KR"/>
        </w:rPr>
        <w:t>July.</w:t>
      </w:r>
    </w:p>
    <w:p w:rsidR="00461D62" w:rsidRPr="00C11CCA" w:rsidRDefault="00254F59" w:rsidP="00C11CCA">
      <w:pPr>
        <w:rPr>
          <w:rFonts w:eastAsia="맑은 고딕"/>
          <w:lang w:val="en-US" w:eastAsia="ko-KR"/>
        </w:rPr>
      </w:pPr>
      <w:r>
        <w:rPr>
          <w:rFonts w:eastAsia="맑은 고딕" w:hint="eastAsia"/>
          <w:lang w:val="en-US" w:eastAsia="ko-KR"/>
        </w:rPr>
        <w:t xml:space="preserve"> </w:t>
      </w: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B0" w:rsidRDefault="00096BB0">
      <w:r>
        <w:separator/>
      </w:r>
    </w:p>
  </w:endnote>
  <w:endnote w:type="continuationSeparator" w:id="0">
    <w:p w:rsidR="00096BB0" w:rsidRDefault="0009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652BAD">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B0" w:rsidRDefault="00096BB0">
      <w:r>
        <w:separator/>
      </w:r>
    </w:p>
  </w:footnote>
  <w:footnote w:type="continuationSeparator" w:id="0">
    <w:p w:rsidR="00096BB0" w:rsidRDefault="0009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811F30">
      <w:rPr>
        <w:rFonts w:eastAsia="맑은 고딕"/>
        <w:lang w:eastAsia="ko-KR"/>
      </w:rPr>
      <w:t>May</w:t>
    </w:r>
    <w:r w:rsidR="00B64E0F">
      <w:t xml:space="preserve"> 201</w:t>
    </w:r>
    <w:r w:rsidR="00602879">
      <w:rPr>
        <w:rFonts w:hint="eastAsia"/>
        <w:lang w:eastAsia="ja-JP"/>
      </w:rPr>
      <w:t>4</w:t>
    </w:r>
    <w:r>
      <w:fldChar w:fldCharType="end"/>
    </w:r>
    <w:r w:rsidR="00B129C7">
      <w:tab/>
    </w:r>
    <w:r w:rsidR="00B129C7">
      <w:tab/>
    </w:r>
    <w:r w:rsidR="00096BB0">
      <w:fldChar w:fldCharType="begin"/>
    </w:r>
    <w:r w:rsidR="00096BB0">
      <w:instrText xml:space="preserve"> TITLE  \* MERGEFORMAT </w:instrText>
    </w:r>
    <w:r w:rsidR="00096BB0">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505DA2">
      <w:rPr>
        <w:rFonts w:eastAsia="맑은 고딕"/>
        <w:lang w:eastAsia="ko-KR"/>
      </w:rPr>
      <w:t>3</w:t>
    </w:r>
    <w:r w:rsidR="00A352B9">
      <w:rPr>
        <w:rFonts w:eastAsia="맑은 고딕"/>
        <w:lang w:eastAsia="ko-KR"/>
      </w:rPr>
      <w:t>8</w:t>
    </w:r>
    <w:r w:rsidR="00DB2961">
      <w:t>r</w:t>
    </w:r>
    <w:r w:rsidR="00E1056B">
      <w:t>0</w:t>
    </w:r>
    <w:r w:rsidR="00096BB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03C8B"/>
    <w:rsid w:val="00004A86"/>
    <w:rsid w:val="00011EC7"/>
    <w:rsid w:val="00027332"/>
    <w:rsid w:val="00037305"/>
    <w:rsid w:val="0004451F"/>
    <w:rsid w:val="00051C3B"/>
    <w:rsid w:val="00052F2E"/>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81B31"/>
    <w:rsid w:val="001A4F5C"/>
    <w:rsid w:val="001C5D69"/>
    <w:rsid w:val="001E213C"/>
    <w:rsid w:val="0020151B"/>
    <w:rsid w:val="00202489"/>
    <w:rsid w:val="00203864"/>
    <w:rsid w:val="00211961"/>
    <w:rsid w:val="0021410C"/>
    <w:rsid w:val="00227BC3"/>
    <w:rsid w:val="00233386"/>
    <w:rsid w:val="00242A7E"/>
    <w:rsid w:val="00254F59"/>
    <w:rsid w:val="00262CF7"/>
    <w:rsid w:val="00273754"/>
    <w:rsid w:val="00276CCF"/>
    <w:rsid w:val="00281658"/>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F2B38"/>
    <w:rsid w:val="003F7067"/>
    <w:rsid w:val="00406063"/>
    <w:rsid w:val="00411959"/>
    <w:rsid w:val="00415E1E"/>
    <w:rsid w:val="0042053F"/>
    <w:rsid w:val="0044571F"/>
    <w:rsid w:val="00461D62"/>
    <w:rsid w:val="004839D1"/>
    <w:rsid w:val="00485E24"/>
    <w:rsid w:val="0049511D"/>
    <w:rsid w:val="004A3793"/>
    <w:rsid w:val="004A76CA"/>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7FBE"/>
    <w:rsid w:val="00591FF9"/>
    <w:rsid w:val="005A7881"/>
    <w:rsid w:val="005A7DC5"/>
    <w:rsid w:val="005B5098"/>
    <w:rsid w:val="005C3BF8"/>
    <w:rsid w:val="005E2C38"/>
    <w:rsid w:val="005E35FF"/>
    <w:rsid w:val="00602879"/>
    <w:rsid w:val="006279A2"/>
    <w:rsid w:val="00630091"/>
    <w:rsid w:val="00642A34"/>
    <w:rsid w:val="00652BAD"/>
    <w:rsid w:val="00657E9E"/>
    <w:rsid w:val="00661331"/>
    <w:rsid w:val="00670AF4"/>
    <w:rsid w:val="006722D8"/>
    <w:rsid w:val="00672EED"/>
    <w:rsid w:val="006865AC"/>
    <w:rsid w:val="00691ABA"/>
    <w:rsid w:val="006A59EB"/>
    <w:rsid w:val="006B204F"/>
    <w:rsid w:val="006C6020"/>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A4151"/>
    <w:rsid w:val="007C53FD"/>
    <w:rsid w:val="007C5CAB"/>
    <w:rsid w:val="007D1A65"/>
    <w:rsid w:val="007D5B1D"/>
    <w:rsid w:val="007D7324"/>
    <w:rsid w:val="007E0028"/>
    <w:rsid w:val="007F638F"/>
    <w:rsid w:val="008115E0"/>
    <w:rsid w:val="00811F30"/>
    <w:rsid w:val="0082699E"/>
    <w:rsid w:val="008277E9"/>
    <w:rsid w:val="00861173"/>
    <w:rsid w:val="008B5641"/>
    <w:rsid w:val="008C71E7"/>
    <w:rsid w:val="008D16AF"/>
    <w:rsid w:val="008E3B86"/>
    <w:rsid w:val="008F1034"/>
    <w:rsid w:val="00901673"/>
    <w:rsid w:val="00903CBA"/>
    <w:rsid w:val="00911B91"/>
    <w:rsid w:val="0091211D"/>
    <w:rsid w:val="009155BA"/>
    <w:rsid w:val="00927978"/>
    <w:rsid w:val="00930ADE"/>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F4671"/>
    <w:rsid w:val="00A00DB1"/>
    <w:rsid w:val="00A00EBF"/>
    <w:rsid w:val="00A0265D"/>
    <w:rsid w:val="00A0776A"/>
    <w:rsid w:val="00A14B51"/>
    <w:rsid w:val="00A151D3"/>
    <w:rsid w:val="00A24408"/>
    <w:rsid w:val="00A352B9"/>
    <w:rsid w:val="00A42E96"/>
    <w:rsid w:val="00A50AE8"/>
    <w:rsid w:val="00A6589E"/>
    <w:rsid w:val="00A65D52"/>
    <w:rsid w:val="00A8199F"/>
    <w:rsid w:val="00AA1B8B"/>
    <w:rsid w:val="00AC0998"/>
    <w:rsid w:val="00AC0FA4"/>
    <w:rsid w:val="00AD6B85"/>
    <w:rsid w:val="00AE5F23"/>
    <w:rsid w:val="00B129C7"/>
    <w:rsid w:val="00B15FF6"/>
    <w:rsid w:val="00B36651"/>
    <w:rsid w:val="00B507F5"/>
    <w:rsid w:val="00B533CC"/>
    <w:rsid w:val="00B64E0F"/>
    <w:rsid w:val="00B74EA0"/>
    <w:rsid w:val="00B913C6"/>
    <w:rsid w:val="00B9402F"/>
    <w:rsid w:val="00BA63D8"/>
    <w:rsid w:val="00BB6533"/>
    <w:rsid w:val="00BC06AE"/>
    <w:rsid w:val="00BD1B61"/>
    <w:rsid w:val="00BE6825"/>
    <w:rsid w:val="00BF25DF"/>
    <w:rsid w:val="00C05C43"/>
    <w:rsid w:val="00C11CCA"/>
    <w:rsid w:val="00C14CB7"/>
    <w:rsid w:val="00C2253E"/>
    <w:rsid w:val="00C317D9"/>
    <w:rsid w:val="00C34782"/>
    <w:rsid w:val="00C36F8C"/>
    <w:rsid w:val="00C76F1F"/>
    <w:rsid w:val="00C81BB6"/>
    <w:rsid w:val="00C91AA2"/>
    <w:rsid w:val="00C97087"/>
    <w:rsid w:val="00CA0808"/>
    <w:rsid w:val="00CA6641"/>
    <w:rsid w:val="00CC5A4F"/>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056B"/>
    <w:rsid w:val="00E13C0E"/>
    <w:rsid w:val="00E13C6C"/>
    <w:rsid w:val="00E14301"/>
    <w:rsid w:val="00E14FF0"/>
    <w:rsid w:val="00E239E2"/>
    <w:rsid w:val="00E30A0F"/>
    <w:rsid w:val="00E33B40"/>
    <w:rsid w:val="00E418AA"/>
    <w:rsid w:val="00E427AB"/>
    <w:rsid w:val="00E60AA0"/>
    <w:rsid w:val="00E8034A"/>
    <w:rsid w:val="00E85AA1"/>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1545</TotalTime>
  <Pages>2</Pages>
  <Words>224</Words>
  <Characters>1283</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73</cp:revision>
  <cp:lastPrinted>1900-12-31T22:00:00Z</cp:lastPrinted>
  <dcterms:created xsi:type="dcterms:W3CDTF">2014-03-05T06:09:00Z</dcterms:created>
  <dcterms:modified xsi:type="dcterms:W3CDTF">2014-06-13T02:37:00Z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