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D69F" w14:textId="77777777" w:rsidR="00DE0563" w:rsidRDefault="00DE0563">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0525F5" w14:paraId="538675E0" w14:textId="77777777" w:rsidTr="00D04AB4">
        <w:trPr>
          <w:trHeight w:val="485"/>
          <w:jc w:val="center"/>
        </w:trPr>
        <w:tc>
          <w:tcPr>
            <w:tcW w:w="9576" w:type="dxa"/>
            <w:gridSpan w:val="5"/>
            <w:vAlign w:val="center"/>
          </w:tcPr>
          <w:p w14:paraId="6E3A7424" w14:textId="02A76126" w:rsidR="00DE0563" w:rsidRDefault="00C4630D">
            <w:pPr>
              <w:pStyle w:val="T2"/>
            </w:pPr>
            <w:r>
              <w:t>Proposed Response to</w:t>
            </w:r>
            <w:r w:rsidR="00214121">
              <w:t>:</w:t>
            </w:r>
            <w:r>
              <w:t xml:space="preserve"> Draft RSPG Opinion on Long</w:t>
            </w:r>
            <w:r w:rsidR="001A5577">
              <w:t>-</w:t>
            </w:r>
            <w:r w:rsidR="008407FF">
              <w:t>t</w:t>
            </w:r>
            <w:r w:rsidR="001A5577">
              <w:t xml:space="preserve">erm </w:t>
            </w:r>
            <w:r w:rsidR="00214121">
              <w:t>v</w:t>
            </w:r>
            <w:r w:rsidR="001A5577">
              <w:t xml:space="preserve">ision for the </w:t>
            </w:r>
            <w:r w:rsidR="00214121">
              <w:t>u</w:t>
            </w:r>
            <w:r w:rsidR="001A5577">
              <w:t>pper 6 GHz band</w:t>
            </w:r>
          </w:p>
        </w:tc>
      </w:tr>
      <w:tr w:rsidR="000525F5" w14:paraId="014B5CBA" w14:textId="77777777" w:rsidTr="00D04AB4">
        <w:trPr>
          <w:trHeight w:val="359"/>
          <w:jc w:val="center"/>
        </w:trPr>
        <w:tc>
          <w:tcPr>
            <w:tcW w:w="9576" w:type="dxa"/>
            <w:gridSpan w:val="5"/>
            <w:vAlign w:val="center"/>
          </w:tcPr>
          <w:p w14:paraId="6864E252" w14:textId="2563505C" w:rsidR="00DE0563" w:rsidRDefault="00DE0563">
            <w:pPr>
              <w:pStyle w:val="T2"/>
              <w:ind w:left="0"/>
              <w:rPr>
                <w:sz w:val="20"/>
              </w:rPr>
            </w:pPr>
            <w:r>
              <w:rPr>
                <w:sz w:val="20"/>
              </w:rPr>
              <w:t>Date:</w:t>
            </w:r>
            <w:r>
              <w:rPr>
                <w:b w:val="0"/>
                <w:sz w:val="20"/>
              </w:rPr>
              <w:t xml:space="preserve">  </w:t>
            </w:r>
            <w:r w:rsidR="001C2FFC">
              <w:rPr>
                <w:b w:val="0"/>
                <w:sz w:val="20"/>
              </w:rPr>
              <w:t>2025</w:t>
            </w:r>
            <w:r>
              <w:rPr>
                <w:b w:val="0"/>
                <w:sz w:val="20"/>
              </w:rPr>
              <w:t>-</w:t>
            </w:r>
            <w:r w:rsidR="001C2FFC">
              <w:rPr>
                <w:b w:val="0"/>
                <w:sz w:val="20"/>
              </w:rPr>
              <w:t>07</w:t>
            </w:r>
            <w:r>
              <w:rPr>
                <w:b w:val="0"/>
                <w:sz w:val="20"/>
              </w:rPr>
              <w:t>-</w:t>
            </w:r>
            <w:r w:rsidR="001C2FFC">
              <w:rPr>
                <w:b w:val="0"/>
                <w:sz w:val="20"/>
              </w:rPr>
              <w:t>24</w:t>
            </w:r>
          </w:p>
        </w:tc>
      </w:tr>
      <w:tr w:rsidR="000525F5" w14:paraId="4AAC75E9" w14:textId="77777777" w:rsidTr="00D04AB4">
        <w:trPr>
          <w:cantSplit/>
          <w:jc w:val="center"/>
        </w:trPr>
        <w:tc>
          <w:tcPr>
            <w:tcW w:w="9576" w:type="dxa"/>
            <w:gridSpan w:val="5"/>
            <w:vAlign w:val="center"/>
          </w:tcPr>
          <w:p w14:paraId="4331057D" w14:textId="77777777" w:rsidR="00DE0563" w:rsidRDefault="00DE0563">
            <w:pPr>
              <w:pStyle w:val="T2"/>
              <w:spacing w:after="0"/>
              <w:ind w:left="0" w:right="0"/>
              <w:jc w:val="left"/>
              <w:rPr>
                <w:sz w:val="20"/>
              </w:rPr>
            </w:pPr>
            <w:r>
              <w:rPr>
                <w:sz w:val="20"/>
              </w:rPr>
              <w:t>Author(s):</w:t>
            </w:r>
          </w:p>
        </w:tc>
      </w:tr>
      <w:tr w:rsidR="000525F5" w14:paraId="6A0BE176" w14:textId="77777777" w:rsidTr="00D04AB4">
        <w:trPr>
          <w:jc w:val="center"/>
        </w:trPr>
        <w:tc>
          <w:tcPr>
            <w:tcW w:w="1336" w:type="dxa"/>
            <w:vAlign w:val="center"/>
          </w:tcPr>
          <w:p w14:paraId="5534475B" w14:textId="77777777" w:rsidR="00DE0563" w:rsidRDefault="00DE0563">
            <w:pPr>
              <w:pStyle w:val="T2"/>
              <w:spacing w:after="0"/>
              <w:ind w:left="0" w:right="0"/>
              <w:jc w:val="left"/>
              <w:rPr>
                <w:sz w:val="20"/>
              </w:rPr>
            </w:pPr>
            <w:r>
              <w:rPr>
                <w:sz w:val="20"/>
              </w:rPr>
              <w:t>Name</w:t>
            </w:r>
          </w:p>
        </w:tc>
        <w:tc>
          <w:tcPr>
            <w:tcW w:w="2064" w:type="dxa"/>
            <w:vAlign w:val="center"/>
          </w:tcPr>
          <w:p w14:paraId="51A2547C" w14:textId="77777777" w:rsidR="00DE0563" w:rsidRDefault="00DE0563">
            <w:pPr>
              <w:pStyle w:val="T2"/>
              <w:spacing w:after="0"/>
              <w:ind w:left="0" w:right="0"/>
              <w:jc w:val="left"/>
              <w:rPr>
                <w:sz w:val="20"/>
              </w:rPr>
            </w:pPr>
            <w:r>
              <w:rPr>
                <w:sz w:val="20"/>
              </w:rPr>
              <w:t>Company</w:t>
            </w:r>
          </w:p>
        </w:tc>
        <w:tc>
          <w:tcPr>
            <w:tcW w:w="2814" w:type="dxa"/>
            <w:vAlign w:val="center"/>
          </w:tcPr>
          <w:p w14:paraId="5B8FFE80" w14:textId="77777777" w:rsidR="00DE0563" w:rsidRDefault="00DE0563">
            <w:pPr>
              <w:pStyle w:val="T2"/>
              <w:spacing w:after="0"/>
              <w:ind w:left="0" w:right="0"/>
              <w:jc w:val="left"/>
              <w:rPr>
                <w:sz w:val="20"/>
              </w:rPr>
            </w:pPr>
            <w:r>
              <w:rPr>
                <w:sz w:val="20"/>
              </w:rPr>
              <w:t>Address</w:t>
            </w:r>
          </w:p>
        </w:tc>
        <w:tc>
          <w:tcPr>
            <w:tcW w:w="1161" w:type="dxa"/>
            <w:vAlign w:val="center"/>
          </w:tcPr>
          <w:p w14:paraId="3E234C17" w14:textId="77777777" w:rsidR="00DE0563" w:rsidRDefault="00DE0563">
            <w:pPr>
              <w:pStyle w:val="T2"/>
              <w:spacing w:after="0"/>
              <w:ind w:left="0" w:right="0"/>
              <w:jc w:val="left"/>
              <w:rPr>
                <w:sz w:val="20"/>
              </w:rPr>
            </w:pPr>
            <w:r>
              <w:rPr>
                <w:sz w:val="20"/>
              </w:rPr>
              <w:t>Phone</w:t>
            </w:r>
          </w:p>
        </w:tc>
        <w:tc>
          <w:tcPr>
            <w:tcW w:w="2201" w:type="dxa"/>
            <w:vAlign w:val="center"/>
          </w:tcPr>
          <w:p w14:paraId="6B2AF528" w14:textId="77777777" w:rsidR="00DE0563" w:rsidRDefault="00DE0563">
            <w:pPr>
              <w:pStyle w:val="T2"/>
              <w:spacing w:after="0"/>
              <w:ind w:left="0" w:right="0"/>
              <w:jc w:val="left"/>
              <w:rPr>
                <w:sz w:val="20"/>
              </w:rPr>
            </w:pPr>
            <w:r>
              <w:rPr>
                <w:sz w:val="20"/>
              </w:rPr>
              <w:t>email</w:t>
            </w:r>
          </w:p>
        </w:tc>
      </w:tr>
      <w:tr w:rsidR="000525F5" w14:paraId="7F1AC61B" w14:textId="77777777" w:rsidTr="00D04AB4">
        <w:trPr>
          <w:jc w:val="center"/>
        </w:trPr>
        <w:tc>
          <w:tcPr>
            <w:tcW w:w="1336" w:type="dxa"/>
            <w:vAlign w:val="center"/>
          </w:tcPr>
          <w:p w14:paraId="64D5554A" w14:textId="31B3EF96" w:rsidR="00DE0563" w:rsidRDefault="001C2FFC">
            <w:pPr>
              <w:pStyle w:val="T2"/>
              <w:spacing w:after="0"/>
              <w:ind w:left="0" w:right="0"/>
              <w:rPr>
                <w:b w:val="0"/>
                <w:sz w:val="20"/>
              </w:rPr>
            </w:pPr>
            <w:r>
              <w:rPr>
                <w:b w:val="0"/>
                <w:sz w:val="20"/>
              </w:rPr>
              <w:t>Prasanna Desai</w:t>
            </w:r>
          </w:p>
        </w:tc>
        <w:tc>
          <w:tcPr>
            <w:tcW w:w="2064" w:type="dxa"/>
            <w:vAlign w:val="center"/>
          </w:tcPr>
          <w:p w14:paraId="6735E786" w14:textId="1A449DAF" w:rsidR="00DE0563" w:rsidRDefault="001C2FFC" w:rsidP="001C2FFC">
            <w:pPr>
              <w:pStyle w:val="T2"/>
              <w:spacing w:after="0"/>
              <w:ind w:left="0" w:right="0"/>
              <w:jc w:val="left"/>
              <w:rPr>
                <w:b w:val="0"/>
                <w:sz w:val="20"/>
              </w:rPr>
            </w:pPr>
            <w:r>
              <w:rPr>
                <w:b w:val="0"/>
                <w:sz w:val="20"/>
              </w:rPr>
              <w:t>Self</w:t>
            </w:r>
          </w:p>
        </w:tc>
        <w:tc>
          <w:tcPr>
            <w:tcW w:w="2814" w:type="dxa"/>
            <w:vAlign w:val="center"/>
          </w:tcPr>
          <w:p w14:paraId="19FFF23F" w14:textId="77777777" w:rsidR="00DE0563" w:rsidRDefault="00DE0563">
            <w:pPr>
              <w:pStyle w:val="T2"/>
              <w:spacing w:after="0"/>
              <w:ind w:left="0" w:right="0"/>
              <w:rPr>
                <w:b w:val="0"/>
                <w:sz w:val="20"/>
              </w:rPr>
            </w:pPr>
          </w:p>
        </w:tc>
        <w:tc>
          <w:tcPr>
            <w:tcW w:w="1161" w:type="dxa"/>
            <w:vAlign w:val="center"/>
          </w:tcPr>
          <w:p w14:paraId="0AFD2A50" w14:textId="77777777" w:rsidR="00DE0563" w:rsidRDefault="00DE0563">
            <w:pPr>
              <w:pStyle w:val="T2"/>
              <w:spacing w:after="0"/>
              <w:ind w:left="0" w:right="0"/>
              <w:rPr>
                <w:b w:val="0"/>
                <w:sz w:val="20"/>
              </w:rPr>
            </w:pPr>
          </w:p>
        </w:tc>
        <w:tc>
          <w:tcPr>
            <w:tcW w:w="2201" w:type="dxa"/>
            <w:vAlign w:val="center"/>
          </w:tcPr>
          <w:p w14:paraId="2D4D0738" w14:textId="4404EDC7" w:rsidR="00DE0563" w:rsidRDefault="001C2FFC">
            <w:pPr>
              <w:pStyle w:val="T2"/>
              <w:spacing w:after="0"/>
              <w:ind w:left="0" w:right="0"/>
              <w:rPr>
                <w:b w:val="0"/>
                <w:sz w:val="16"/>
              </w:rPr>
            </w:pPr>
            <w:r>
              <w:rPr>
                <w:b w:val="0"/>
                <w:sz w:val="16"/>
              </w:rPr>
              <w:t>prasannadesai@yahoo.com</w:t>
            </w:r>
          </w:p>
        </w:tc>
      </w:tr>
      <w:tr w:rsidR="000525F5" w14:paraId="229FEEE0" w14:textId="77777777" w:rsidTr="00D04AB4">
        <w:trPr>
          <w:jc w:val="center"/>
        </w:trPr>
        <w:tc>
          <w:tcPr>
            <w:tcW w:w="1336" w:type="dxa"/>
            <w:vAlign w:val="center"/>
          </w:tcPr>
          <w:p w14:paraId="412F070C" w14:textId="77777777" w:rsidR="00DE0563" w:rsidRDefault="00DE0563">
            <w:pPr>
              <w:pStyle w:val="T2"/>
              <w:spacing w:after="0"/>
              <w:ind w:left="0" w:right="0"/>
              <w:rPr>
                <w:b w:val="0"/>
                <w:sz w:val="20"/>
              </w:rPr>
            </w:pPr>
          </w:p>
        </w:tc>
        <w:tc>
          <w:tcPr>
            <w:tcW w:w="2064" w:type="dxa"/>
            <w:vAlign w:val="center"/>
          </w:tcPr>
          <w:p w14:paraId="442E4055" w14:textId="77777777" w:rsidR="00DE0563" w:rsidRDefault="00DE0563">
            <w:pPr>
              <w:pStyle w:val="T2"/>
              <w:spacing w:after="0"/>
              <w:ind w:left="0" w:right="0"/>
              <w:rPr>
                <w:b w:val="0"/>
                <w:sz w:val="20"/>
              </w:rPr>
            </w:pPr>
          </w:p>
        </w:tc>
        <w:tc>
          <w:tcPr>
            <w:tcW w:w="2814" w:type="dxa"/>
            <w:vAlign w:val="center"/>
          </w:tcPr>
          <w:p w14:paraId="3D66E913" w14:textId="77777777" w:rsidR="00DE0563" w:rsidRDefault="00DE0563">
            <w:pPr>
              <w:pStyle w:val="T2"/>
              <w:spacing w:after="0"/>
              <w:ind w:left="0" w:right="0"/>
              <w:rPr>
                <w:b w:val="0"/>
                <w:sz w:val="20"/>
              </w:rPr>
            </w:pPr>
          </w:p>
        </w:tc>
        <w:tc>
          <w:tcPr>
            <w:tcW w:w="1161" w:type="dxa"/>
            <w:vAlign w:val="center"/>
          </w:tcPr>
          <w:p w14:paraId="300862D5" w14:textId="77777777" w:rsidR="00DE0563" w:rsidRDefault="00DE0563">
            <w:pPr>
              <w:pStyle w:val="T2"/>
              <w:spacing w:after="0"/>
              <w:ind w:left="0" w:right="0"/>
              <w:rPr>
                <w:b w:val="0"/>
                <w:sz w:val="20"/>
              </w:rPr>
            </w:pPr>
          </w:p>
        </w:tc>
        <w:tc>
          <w:tcPr>
            <w:tcW w:w="2201" w:type="dxa"/>
            <w:vAlign w:val="center"/>
          </w:tcPr>
          <w:p w14:paraId="4CC4528E" w14:textId="77777777" w:rsidR="00DE0563" w:rsidRDefault="00DE0563">
            <w:pPr>
              <w:pStyle w:val="T2"/>
              <w:spacing w:after="0"/>
              <w:ind w:left="0" w:right="0"/>
              <w:rPr>
                <w:b w:val="0"/>
                <w:sz w:val="16"/>
              </w:rPr>
            </w:pPr>
          </w:p>
        </w:tc>
      </w:tr>
    </w:tbl>
    <w:p w14:paraId="6C9BC051" w14:textId="782F7E6D" w:rsidR="00DE0563" w:rsidRDefault="00DE0563">
      <w:pPr>
        <w:pStyle w:val="T1"/>
        <w:spacing w:after="120"/>
        <w:rPr>
          <w:sz w:val="22"/>
        </w:rPr>
      </w:pPr>
      <w:r>
        <w:rPr>
          <w:noProof/>
        </w:rPr>
        <mc:AlternateContent>
          <mc:Choice Requires="wps">
            <w:drawing>
              <wp:anchor distT="0" distB="0" distL="114300" distR="114300" simplePos="0" relativeHeight="251657216" behindDoc="0" locked="0" layoutInCell="0" allowOverlap="1" wp14:anchorId="5EAFF11A" wp14:editId="1E31D119">
                <wp:simplePos x="0" y="0"/>
                <wp:positionH relativeFrom="column">
                  <wp:posOffset>-62865</wp:posOffset>
                </wp:positionH>
                <wp:positionV relativeFrom="paragraph">
                  <wp:posOffset>205740</wp:posOffset>
                </wp:positionV>
                <wp:extent cx="5943600" cy="2844800"/>
                <wp:effectExtent l="0" t="0" r="0" b="0"/>
                <wp:wrapNone/>
                <wp:docPr id="1044415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F1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CF335D5" w14:textId="77777777" w:rsidR="00DE0563" w:rsidRDefault="00DE0563">
                      <w:pPr>
                        <w:pStyle w:val="T1"/>
                        <w:spacing w:after="120"/>
                      </w:pPr>
                      <w:r>
                        <w:t>Abstract</w:t>
                      </w:r>
                    </w:p>
                    <w:p w14:paraId="49651787" w14:textId="18C01C15" w:rsidR="00DE0563" w:rsidRDefault="000D22D1" w:rsidP="00D61EBF">
                      <w:r w:rsidRPr="000D22D1">
                        <w:t xml:space="preserve">This document drafts a proposed response to </w:t>
                      </w:r>
                      <w:r w:rsidR="004662FD">
                        <w:t>a</w:t>
                      </w:r>
                      <w:r w:rsidR="0049473A">
                        <w:t>n on</w:t>
                      </w:r>
                      <w:r w:rsidR="00AC7E98">
                        <w:t>going</w:t>
                      </w:r>
                      <w:r w:rsidR="004662FD">
                        <w:t xml:space="preserve"> </w:t>
                      </w:r>
                      <w:r w:rsidR="00801192">
                        <w:t xml:space="preserve">public </w:t>
                      </w:r>
                      <w:r w:rsidR="004662FD">
                        <w:t>consultation</w:t>
                      </w:r>
                      <w:r w:rsidRPr="000D22D1">
                        <w:t xml:space="preserve"> </w:t>
                      </w:r>
                      <w:r w:rsidR="00C5282E">
                        <w:t xml:space="preserve">European Commission’s Radio </w:t>
                      </w:r>
                      <w:r w:rsidR="004662FD">
                        <w:t>Spectru</w:t>
                      </w:r>
                      <w:r w:rsidR="00AC7E98">
                        <w:t xml:space="preserve">m </w:t>
                      </w:r>
                      <w:r w:rsidR="009B7E54">
                        <w:t>Policy Group (RSPG)</w:t>
                      </w:r>
                      <w:r w:rsidR="00075F2A">
                        <w:t>.</w:t>
                      </w:r>
                      <w:r w:rsidR="00D61EBF">
                        <w:t xml:space="preserve"> </w:t>
                      </w:r>
                      <w:r w:rsidR="00081ED5">
                        <w:t>Th</w:t>
                      </w:r>
                      <w:r w:rsidR="007B53B2">
                        <w:t>e call for public comments on the “</w:t>
                      </w:r>
                      <w:r w:rsidR="00D61EBF" w:rsidRPr="007B53B2">
                        <w:t>Draft RSPG Opinion on Long-term vision for the upper 6 GHz band</w:t>
                      </w:r>
                      <w:r w:rsidR="007B53B2" w:rsidRPr="007B53B2">
                        <w:t>”</w:t>
                      </w:r>
                      <w:r w:rsidR="007B53B2">
                        <w:t xml:space="preserve"> is open from</w:t>
                      </w:r>
                      <w:r w:rsidR="007B53B2" w:rsidRPr="007B53B2">
                        <w:t xml:space="preserve"> </w:t>
                      </w:r>
                      <w:r w:rsidR="00D61EBF" w:rsidRPr="00D61EBF">
                        <w:t>20 June 2025 - 31 August 2025</w:t>
                      </w:r>
                      <w:r w:rsidR="007B53B2">
                        <w:t>.</w:t>
                      </w:r>
                    </w:p>
                  </w:txbxContent>
                </v:textbox>
              </v:shape>
            </w:pict>
          </mc:Fallback>
        </mc:AlternateContent>
      </w:r>
    </w:p>
    <w:p w14:paraId="059F6B53" w14:textId="00405D50" w:rsidR="00DE0563" w:rsidRDefault="00DE0563" w:rsidP="001162D2">
      <w:r>
        <w:rPr>
          <w:noProof/>
        </w:rPr>
        <mc:AlternateContent>
          <mc:Choice Requires="wps">
            <w:drawing>
              <wp:anchor distT="0" distB="0" distL="114300" distR="114300" simplePos="0" relativeHeight="251658240" behindDoc="0" locked="0" layoutInCell="0" allowOverlap="1" wp14:anchorId="1EC15414" wp14:editId="5CA38B3E">
                <wp:simplePos x="0" y="0"/>
                <wp:positionH relativeFrom="column">
                  <wp:posOffset>-62865</wp:posOffset>
                </wp:positionH>
                <wp:positionV relativeFrom="paragraph">
                  <wp:posOffset>5683250</wp:posOffset>
                </wp:positionV>
                <wp:extent cx="6057900" cy="572135"/>
                <wp:effectExtent l="0" t="0" r="0" b="0"/>
                <wp:wrapNone/>
                <wp:docPr id="176530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5414"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49151354" w14:textId="77777777" w:rsidR="00DE0563" w:rsidRDefault="00DE056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8934D50" w14:textId="77777777" w:rsidR="00DE0563" w:rsidRDefault="00DE0563">
                      <w:pPr>
                        <w:jc w:val="both"/>
                        <w:rPr>
                          <w:rFonts w:ascii="Arial Unicode MS" w:eastAsia="Arial Unicode MS" w:hAnsi="Arial Unicode MS"/>
                          <w:color w:val="000000"/>
                          <w:sz w:val="18"/>
                          <w:lang w:val="en-US"/>
                        </w:rPr>
                      </w:pPr>
                    </w:p>
                  </w:txbxContent>
                </v:textbox>
              </v:shape>
            </w:pict>
          </mc:Fallback>
        </mc:AlternateContent>
      </w:r>
      <w:r>
        <w:br w:type="page"/>
      </w:r>
    </w:p>
    <w:p w14:paraId="57536A37" w14:textId="5FC67FC0" w:rsidR="004A42C8" w:rsidRDefault="0048012F" w:rsidP="003D42C7">
      <w:r>
        <w:lastRenderedPageBreak/>
        <w:t>Electronic filing</w:t>
      </w:r>
      <w:r>
        <w:tab/>
      </w:r>
      <w:r>
        <w:tab/>
      </w:r>
      <w:r>
        <w:tab/>
      </w:r>
      <w:r>
        <w:tab/>
      </w:r>
      <w:r>
        <w:tab/>
      </w:r>
      <w:r>
        <w:tab/>
      </w:r>
      <w:r>
        <w:tab/>
      </w:r>
      <w:r>
        <w:tab/>
      </w:r>
      <w:r>
        <w:tab/>
      </w:r>
      <w:r>
        <w:tab/>
      </w:r>
      <w:r w:rsidR="00723BB4" w:rsidRPr="00723BB4">
        <w:rPr>
          <w:highlight w:val="yellow"/>
        </w:rPr>
        <w:t>Add f</w:t>
      </w:r>
      <w:r w:rsidRPr="00723BB4">
        <w:rPr>
          <w:highlight w:val="yellow"/>
        </w:rPr>
        <w:t>iling date</w:t>
      </w:r>
    </w:p>
    <w:p w14:paraId="52F9712E" w14:textId="77777777" w:rsidR="004A42C8" w:rsidRDefault="004A42C8" w:rsidP="003D42C7"/>
    <w:p w14:paraId="71027D04" w14:textId="361EB458" w:rsidR="003D42C7" w:rsidRDefault="003D42C7" w:rsidP="003D42C7">
      <w:r w:rsidRPr="00051091">
        <w:t>Dear Radio Spectrum Policy Group,</w:t>
      </w:r>
    </w:p>
    <w:p w14:paraId="7B905128" w14:textId="2606E16B" w:rsidR="003D42C7" w:rsidRDefault="003D42C7" w:rsidP="003D42C7">
      <w:r w:rsidRPr="00051091">
        <w:t xml:space="preserve"> </w:t>
      </w:r>
    </w:p>
    <w:p w14:paraId="0EB19EDE" w14:textId="75CF5146" w:rsidR="001E2C15" w:rsidRDefault="003D42C7" w:rsidP="003D42C7">
      <w:r w:rsidRPr="00051091">
        <w:t xml:space="preserve">IEEE 802 LAN/MAN Standards Committee (LMSC) thanks the Radio Spectrum Policy Group (RSPG) for issuing the </w:t>
      </w:r>
      <w:r w:rsidRPr="001E2C15">
        <w:t>consultation “</w:t>
      </w:r>
      <w:r w:rsidR="00537B04" w:rsidRPr="001E2C15">
        <w:t>Draft RSPG Opinion on Long-term vision for the upper 6 GHz band</w:t>
      </w:r>
      <w:r w:rsidRPr="001E2C15">
        <w:t>”</w:t>
      </w:r>
      <w:r w:rsidRPr="00051091">
        <w:t xml:space="preserve"> and for the opportunity to provide feedback. </w:t>
      </w:r>
      <w:r w:rsidR="00674588">
        <w:t xml:space="preserve">Our feedback </w:t>
      </w:r>
      <w:r w:rsidR="00E10EEB">
        <w:t xml:space="preserve">here is intended to be </w:t>
      </w:r>
      <w:r w:rsidR="00674588">
        <w:t>consistent with</w:t>
      </w:r>
      <w:r w:rsidR="008227B6">
        <w:t>,</w:t>
      </w:r>
      <w:r w:rsidR="00A51EAF">
        <w:t xml:space="preserve"> and supplement</w:t>
      </w:r>
      <w:r w:rsidR="008227B6">
        <w:t>,</w:t>
      </w:r>
      <w:r w:rsidR="00674588">
        <w:t xml:space="preserve"> our responses to </w:t>
      </w:r>
      <w:r w:rsidR="00E10EEB">
        <w:t>an earlier RSPG</w:t>
      </w:r>
      <w:r w:rsidR="00674588">
        <w:t xml:space="preserve"> </w:t>
      </w:r>
      <w:r w:rsidR="00E10EEB">
        <w:t>co</w:t>
      </w:r>
      <w:r w:rsidR="00674588" w:rsidRPr="00051091">
        <w:t>nsultation</w:t>
      </w:r>
      <w:r w:rsidR="007D6C61">
        <w:t xml:space="preserve"> (</w:t>
      </w:r>
      <w:r w:rsidR="00674588" w:rsidRPr="00051091">
        <w:t>“Questionnaire on long-term vision for the upper 6 GHz band”</w:t>
      </w:r>
      <w:r w:rsidR="007D6C61">
        <w:t>)</w:t>
      </w:r>
      <w:r w:rsidR="00E10EEB">
        <w:t>.</w:t>
      </w:r>
    </w:p>
    <w:p w14:paraId="5D9B21AC" w14:textId="77777777" w:rsidR="001E2C15" w:rsidRDefault="001E2C15" w:rsidP="003D42C7"/>
    <w:p w14:paraId="29541D5F" w14:textId="17BE7C77" w:rsidR="00392583" w:rsidRPr="00124D25" w:rsidRDefault="003D42C7" w:rsidP="003D42C7">
      <w:pPr>
        <w:rPr>
          <w:szCs w:val="22"/>
        </w:rPr>
      </w:pPr>
      <w:r w:rsidRPr="00051091">
        <w:t xml:space="preserve">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w:t>
      </w:r>
      <w:r w:rsidRPr="00124D25">
        <w:rPr>
          <w:szCs w:val="22"/>
        </w:rPr>
        <w:t xml:space="preserve">element for all networked applications today. IEEE 802 LMSC is a committee of the IEEE Standards Association and of Technical Activities, two of the Major Organizational Units of the IEEE. IEEE has about 400,000 members in over 160 </w:t>
      </w:r>
      <w:r w:rsidR="00B71AC2" w:rsidRPr="00124D25">
        <w:rPr>
          <w:szCs w:val="22"/>
        </w:rPr>
        <w:t>countries,</w:t>
      </w:r>
      <w:r w:rsidRPr="00124D25">
        <w:rPr>
          <w:szCs w:val="22"/>
        </w:rPr>
        <w:t xml:space="preserve">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124D25">
        <w:rPr>
          <w:szCs w:val="22"/>
        </w:rPr>
        <w:t>IEEE as a whole</w:t>
      </w:r>
      <w:proofErr w:type="gramEnd"/>
      <w:r w:rsidRPr="00124D25">
        <w:rPr>
          <w:szCs w:val="22"/>
        </w:rPr>
        <w:t xml:space="preserve">. Please find below the IEEE 802 LMSC’s comments on </w:t>
      </w:r>
      <w:r w:rsidR="006E310C" w:rsidRPr="00124D25">
        <w:rPr>
          <w:szCs w:val="22"/>
        </w:rPr>
        <w:t xml:space="preserve">RSPG’s </w:t>
      </w:r>
      <w:r w:rsidR="00F247B4" w:rsidRPr="00124D25">
        <w:rPr>
          <w:szCs w:val="22"/>
        </w:rPr>
        <w:t>draft opinion</w:t>
      </w:r>
      <w:r w:rsidR="006E310C" w:rsidRPr="00124D25">
        <w:rPr>
          <w:szCs w:val="22"/>
        </w:rPr>
        <w:t xml:space="preserve"> on the long-term vision for the upper 6 GHz band</w:t>
      </w:r>
      <w:r w:rsidRPr="00124D25">
        <w:rPr>
          <w:szCs w:val="22"/>
        </w:rPr>
        <w:t>.</w:t>
      </w:r>
    </w:p>
    <w:p w14:paraId="560E52C1" w14:textId="77777777" w:rsidR="00A21B4C" w:rsidRPr="00A23D2C" w:rsidRDefault="00A21B4C" w:rsidP="003D42C7">
      <w:pPr>
        <w:rPr>
          <w:szCs w:val="22"/>
        </w:rPr>
      </w:pPr>
    </w:p>
    <w:p w14:paraId="73B8B514" w14:textId="30B22C9D" w:rsidR="00AC5CD8" w:rsidRDefault="008A200A" w:rsidP="00AC5CD8">
      <w:pPr>
        <w:rPr>
          <w:color w:val="000000" w:themeColor="text1"/>
          <w:szCs w:val="22"/>
        </w:rPr>
      </w:pPr>
      <w:r w:rsidRPr="008A200A">
        <w:rPr>
          <w:szCs w:val="22"/>
        </w:rPr>
        <w:t>Wi-Fi remains the preferred indoor wireless connectivity solution across Europe, with traffic volumes growing significantly faster than those on mobile networks.</w:t>
      </w:r>
      <w:r>
        <w:rPr>
          <w:szCs w:val="22"/>
        </w:rPr>
        <w:t xml:space="preserve"> </w:t>
      </w:r>
      <w:r w:rsidR="005E4DAF">
        <w:rPr>
          <w:color w:val="000000" w:themeColor="text1"/>
          <w:szCs w:val="22"/>
        </w:rPr>
        <w:t>I</w:t>
      </w:r>
      <w:r w:rsidR="00C14A8E" w:rsidRPr="00A23D2C">
        <w:rPr>
          <w:color w:val="000000" w:themeColor="text1"/>
          <w:szCs w:val="22"/>
        </w:rPr>
        <w:t>n our response to the RSPG Questionnaire issued last year,</w:t>
      </w:r>
      <w:r w:rsidR="003B28C1" w:rsidRPr="003B28C1">
        <w:rPr>
          <w:rFonts w:ascii="Segoe UI" w:hAnsi="Segoe UI" w:cs="Segoe UI"/>
          <w:color w:val="424242"/>
          <w:shd w:val="clear" w:color="auto" w:fill="FAFAFA"/>
        </w:rPr>
        <w:t xml:space="preserve"> </w:t>
      </w:r>
      <w:r w:rsidR="003B28C1" w:rsidRPr="003B28C1">
        <w:rPr>
          <w:color w:val="000000" w:themeColor="text1"/>
          <w:szCs w:val="22"/>
        </w:rPr>
        <w:t>we emphasized that authorizing the entire 6 GHz band for Wi-Fi is essential to fully support latency-sensitive, high-throughput applications such as real-time XR in healthcare, education, and gaming, as well as robotics, industrial automation, and sensory systems.</w:t>
      </w:r>
      <w:r w:rsidR="00651F23" w:rsidRPr="00651F23">
        <w:rPr>
          <w:rFonts w:ascii="Segoe UI" w:hAnsi="Segoe UI" w:cs="Segoe UI"/>
          <w:color w:val="424242"/>
          <w:shd w:val="clear" w:color="auto" w:fill="FAFAFA"/>
        </w:rPr>
        <w:t xml:space="preserve"> </w:t>
      </w:r>
      <w:r w:rsidR="00651F23" w:rsidRPr="00651F23">
        <w:rPr>
          <w:color w:val="000000" w:themeColor="text1"/>
          <w:szCs w:val="22"/>
        </w:rPr>
        <w:t xml:space="preserve">This is particularly important for enabling these applications in dense residential settings and for scaling them in enterprise and industrial environments, where multiple sessions must operate simultaneously and in </w:t>
      </w:r>
      <w:proofErr w:type="gramStart"/>
      <w:r w:rsidR="00651F23" w:rsidRPr="00651F23">
        <w:rPr>
          <w:color w:val="000000" w:themeColor="text1"/>
          <w:szCs w:val="22"/>
        </w:rPr>
        <w:t>close proximity</w:t>
      </w:r>
      <w:proofErr w:type="gramEnd"/>
      <w:r w:rsidR="00651F23" w:rsidRPr="00651F23">
        <w:rPr>
          <w:color w:val="000000" w:themeColor="text1"/>
          <w:szCs w:val="22"/>
        </w:rPr>
        <w:t>.</w:t>
      </w:r>
      <w:r w:rsidR="003B28C1">
        <w:rPr>
          <w:color w:val="000000" w:themeColor="text1"/>
          <w:szCs w:val="22"/>
        </w:rPr>
        <w:t xml:space="preserve"> </w:t>
      </w:r>
      <w:r w:rsidR="00F75A73" w:rsidRPr="00A23D2C">
        <w:rPr>
          <w:szCs w:val="22"/>
        </w:rPr>
        <w:t>With access to 320 MHz channels, Wi-Fi devices can build upon IEEE Std. 802.11az-2023 to offer sub-1 meter positioning accuracy, which results in new innovative use cases such as micro-targeting for retail and warehouse asset tracking.</w:t>
      </w:r>
      <w:r w:rsidR="00A21550" w:rsidRPr="00A23D2C">
        <w:rPr>
          <w:szCs w:val="22"/>
        </w:rPr>
        <w:t xml:space="preserve"> </w:t>
      </w:r>
      <w:r w:rsidR="001D142B">
        <w:rPr>
          <w:szCs w:val="22"/>
        </w:rPr>
        <w:t>Thus, in addition to a</w:t>
      </w:r>
      <w:r w:rsidR="00DE5654">
        <w:rPr>
          <w:szCs w:val="22"/>
        </w:rPr>
        <w:t xml:space="preserve">dditional </w:t>
      </w:r>
      <w:r w:rsidR="001D142B">
        <w:rPr>
          <w:szCs w:val="22"/>
        </w:rPr>
        <w:t xml:space="preserve">coverage and capacity, additional spectrum </w:t>
      </w:r>
      <w:r w:rsidR="00501688">
        <w:rPr>
          <w:szCs w:val="22"/>
        </w:rPr>
        <w:t>also</w:t>
      </w:r>
      <w:r w:rsidR="00DE5654">
        <w:rPr>
          <w:szCs w:val="22"/>
        </w:rPr>
        <w:t xml:space="preserve"> augments new </w:t>
      </w:r>
      <w:r w:rsidR="00D6724D">
        <w:rPr>
          <w:szCs w:val="22"/>
        </w:rPr>
        <w:t xml:space="preserve">Wi-Fi </w:t>
      </w:r>
      <w:proofErr w:type="spellStart"/>
      <w:r w:rsidR="00DE5654">
        <w:rPr>
          <w:szCs w:val="22"/>
        </w:rPr>
        <w:t>locationing</w:t>
      </w:r>
      <w:proofErr w:type="spellEnd"/>
      <w:r w:rsidR="00DE5654">
        <w:rPr>
          <w:szCs w:val="22"/>
        </w:rPr>
        <w:t xml:space="preserve"> capabilities. </w:t>
      </w:r>
      <w:r w:rsidR="00E6396F" w:rsidRPr="00E6396F">
        <w:rPr>
          <w:szCs w:val="22"/>
        </w:rPr>
        <w:t>The availability of numerous channels across a range of widths (20 MHz to 320 MHz) enables more modular and flexible deployments</w:t>
      </w:r>
      <w:r w:rsidR="00A21550" w:rsidRPr="00A23D2C">
        <w:rPr>
          <w:szCs w:val="22"/>
        </w:rPr>
        <w:t xml:space="preserve"> that allow scaled operation of services in the above-mentioned target industries. Some examples include multi-layer operation, service segmentation and prioritization, context-aware wireless networks, and hyper-aware access point deployments. Highly secure communication with WPA3 security, which is being now mandated for Wi-Fi devices operating in the 6 GHz band, further enhances these services and addresses new uses cases as well.</w:t>
      </w:r>
      <w:r w:rsidR="00AC5CD8">
        <w:rPr>
          <w:szCs w:val="22"/>
        </w:rPr>
        <w:t xml:space="preserve"> </w:t>
      </w:r>
      <w:r w:rsidR="00AC5CD8" w:rsidRPr="00067269">
        <w:rPr>
          <w:color w:val="000000" w:themeColor="text1"/>
          <w:szCs w:val="22"/>
        </w:rPr>
        <w:t>The current widespread availability of Wi-Fi devices that can access and use the entire 6 GHz band means that most enterprises and industries in Europe will see immediate and sustained economic benefit from license-exempt access to the upper 6 GHz band.</w:t>
      </w:r>
    </w:p>
    <w:p w14:paraId="789A5F98" w14:textId="77777777" w:rsidR="00924731" w:rsidRDefault="00924731" w:rsidP="00AC5CD8">
      <w:pPr>
        <w:rPr>
          <w:color w:val="000000" w:themeColor="text1"/>
          <w:szCs w:val="22"/>
        </w:rPr>
      </w:pPr>
    </w:p>
    <w:p w14:paraId="548C6BDC" w14:textId="7C4D7A2E" w:rsidR="003C5187" w:rsidRPr="00E76F41" w:rsidRDefault="003C5187" w:rsidP="003C5187">
      <w:pPr>
        <w:rPr>
          <w:b/>
          <w:bCs/>
          <w:color w:val="000000" w:themeColor="text1"/>
          <w:szCs w:val="22"/>
          <w:lang w:val="en-US"/>
        </w:rPr>
      </w:pPr>
      <w:r w:rsidRPr="00E76F41">
        <w:rPr>
          <w:b/>
          <w:bCs/>
          <w:color w:val="000000" w:themeColor="text1"/>
          <w:szCs w:val="22"/>
          <w:lang w:val="en-US"/>
        </w:rPr>
        <w:t>Band</w:t>
      </w:r>
      <w:r w:rsidR="00E76F41" w:rsidRPr="00E76F41">
        <w:rPr>
          <w:b/>
          <w:bCs/>
          <w:color w:val="000000" w:themeColor="text1"/>
          <w:szCs w:val="22"/>
          <w:lang w:val="en-US"/>
        </w:rPr>
        <w:t>-Split</w:t>
      </w:r>
    </w:p>
    <w:p w14:paraId="6D4B093F" w14:textId="7F084862" w:rsidR="003C5187" w:rsidRDefault="003C5187" w:rsidP="003C5187">
      <w:pPr>
        <w:rPr>
          <w:color w:val="000000" w:themeColor="text1"/>
          <w:szCs w:val="22"/>
          <w:lang w:val="en-US"/>
        </w:rPr>
      </w:pPr>
      <w:r w:rsidRPr="003C5187">
        <w:rPr>
          <w:color w:val="000000" w:themeColor="text1"/>
          <w:szCs w:val="22"/>
          <w:lang w:val="en-US"/>
        </w:rPr>
        <w:t>If a full-band allocation of the 6 GHz spectrum is not feasible due to the specific needs of certain European administrations, a split of the upper 6 GHz ban</w:t>
      </w:r>
      <w:r>
        <w:rPr>
          <w:color w:val="000000" w:themeColor="text1"/>
          <w:szCs w:val="22"/>
          <w:lang w:val="en-US"/>
        </w:rPr>
        <w:t xml:space="preserve">d, </w:t>
      </w:r>
      <w:r w:rsidR="002328D1">
        <w:rPr>
          <w:color w:val="000000" w:themeColor="text1"/>
          <w:szCs w:val="22"/>
          <w:lang w:val="en-US"/>
        </w:rPr>
        <w:t xml:space="preserve">with priority given to </w:t>
      </w:r>
      <w:r w:rsidRPr="003C5187">
        <w:rPr>
          <w:color w:val="000000" w:themeColor="text1"/>
          <w:szCs w:val="22"/>
          <w:lang w:val="en-US"/>
        </w:rPr>
        <w:t>WAS/RLAN (Wi-Fi)</w:t>
      </w:r>
      <w:r>
        <w:rPr>
          <w:color w:val="000000" w:themeColor="text1"/>
          <w:szCs w:val="22"/>
          <w:lang w:val="en-US"/>
        </w:rPr>
        <w:t xml:space="preserve">, </w:t>
      </w:r>
      <w:r w:rsidRPr="003C5187">
        <w:rPr>
          <w:color w:val="000000" w:themeColor="text1"/>
          <w:szCs w:val="22"/>
          <w:lang w:val="en-US"/>
        </w:rPr>
        <w:t>could serve as a viable alternative. This approach would accommodate future national decisions to allocate parts of the upper 6 GHz band to MFCN in specific areas.</w:t>
      </w:r>
      <w:r w:rsidR="00E76F41">
        <w:rPr>
          <w:color w:val="000000" w:themeColor="text1"/>
          <w:szCs w:val="22"/>
          <w:lang w:val="en-US"/>
        </w:rPr>
        <w:t xml:space="preserve"> </w:t>
      </w:r>
      <w:r w:rsidRPr="003C5187">
        <w:rPr>
          <w:color w:val="000000" w:themeColor="text1"/>
          <w:szCs w:val="22"/>
          <w:lang w:val="en-US"/>
        </w:rPr>
        <w:t>In such a band-split scenario, we urge the RSPG to prioritize at least 160 MH</w:t>
      </w:r>
      <w:r w:rsidR="00E76F41">
        <w:rPr>
          <w:color w:val="000000" w:themeColor="text1"/>
          <w:szCs w:val="22"/>
          <w:lang w:val="en-US"/>
        </w:rPr>
        <w:t xml:space="preserve">z, </w:t>
      </w:r>
      <w:r w:rsidRPr="003C5187">
        <w:rPr>
          <w:color w:val="000000" w:themeColor="text1"/>
          <w:szCs w:val="22"/>
          <w:lang w:val="en-US"/>
        </w:rPr>
        <w:t>and ideally 320 MH</w:t>
      </w:r>
      <w:r w:rsidR="00E76F41">
        <w:rPr>
          <w:color w:val="000000" w:themeColor="text1"/>
          <w:szCs w:val="22"/>
          <w:lang w:val="en-US"/>
        </w:rPr>
        <w:t xml:space="preserve">z, </w:t>
      </w:r>
      <w:r w:rsidRPr="003C5187">
        <w:rPr>
          <w:color w:val="000000" w:themeColor="text1"/>
          <w:szCs w:val="22"/>
          <w:lang w:val="en-US"/>
        </w:rPr>
        <w:t>of the upper 6 GHz band for license-exempt use, under rules aligned with those governing the 5945–6425 MHz range (lower 6 GHz). Access to this additional spectrum would allow Wi-Fi manufacturers to bring new equipment to the European market promptly, without requiring future changes to spectrum designations.</w:t>
      </w:r>
    </w:p>
    <w:p w14:paraId="6A2AEA65" w14:textId="77777777" w:rsidR="00E76F41" w:rsidRPr="003C5187" w:rsidRDefault="00E76F41" w:rsidP="003C5187">
      <w:pPr>
        <w:rPr>
          <w:color w:val="000000" w:themeColor="text1"/>
          <w:szCs w:val="22"/>
          <w:lang w:val="en-US"/>
        </w:rPr>
      </w:pPr>
    </w:p>
    <w:p w14:paraId="332D8672" w14:textId="1F54C1A3" w:rsidR="003C5187" w:rsidRDefault="003C5187" w:rsidP="003C5187">
      <w:pPr>
        <w:rPr>
          <w:color w:val="000000" w:themeColor="text1"/>
          <w:szCs w:val="22"/>
          <w:lang w:val="en-US"/>
        </w:rPr>
      </w:pPr>
      <w:r w:rsidRPr="003C5187">
        <w:rPr>
          <w:color w:val="000000" w:themeColor="text1"/>
          <w:szCs w:val="22"/>
          <w:lang w:val="en-US"/>
        </w:rPr>
        <w:t>Article 3 of Commission Implementing Decision (EU) 2021/1067 stipulates that new applications in adjacent bands must not restrict WAS/RLAN operations in the lower 6 GHz band. We interpret this to mean that MFCN use in the upper 6 GHz band must not cause harmful interference to WAS/RLAN operations in the 5945–6425 MHz range.</w:t>
      </w:r>
      <w:r w:rsidR="00E76F41">
        <w:rPr>
          <w:color w:val="000000" w:themeColor="text1"/>
          <w:szCs w:val="22"/>
          <w:lang w:val="en-US"/>
        </w:rPr>
        <w:t xml:space="preserve"> </w:t>
      </w:r>
      <w:r w:rsidRPr="003C5187">
        <w:rPr>
          <w:color w:val="000000" w:themeColor="text1"/>
          <w:szCs w:val="22"/>
          <w:lang w:val="en-US"/>
        </w:rPr>
        <w:t xml:space="preserve">If WAS/RLAN is granted prioritized access to a portion of the upper 6 GHz band, we believe this portion should also fall under the protection of Article 3. </w:t>
      </w:r>
      <w:r w:rsidR="00E76F41">
        <w:rPr>
          <w:color w:val="000000" w:themeColor="text1"/>
          <w:szCs w:val="22"/>
          <w:lang w:val="en-US"/>
        </w:rPr>
        <w:t>C</w:t>
      </w:r>
      <w:r w:rsidRPr="003C5187">
        <w:rPr>
          <w:color w:val="000000" w:themeColor="text1"/>
          <w:szCs w:val="22"/>
          <w:lang w:val="en-US"/>
        </w:rPr>
        <w:t>onsequently, any new MFCN applications above the band-split must not interfere with WAS/RLAN operations in either the lower 6 GHz band or the prioritized portion of the upper band. The technical measures required to ensure compliance</w:t>
      </w:r>
      <w:r w:rsidR="00E76F41">
        <w:rPr>
          <w:color w:val="000000" w:themeColor="text1"/>
          <w:szCs w:val="22"/>
          <w:lang w:val="en-US"/>
        </w:rPr>
        <w:t xml:space="preserve">, </w:t>
      </w:r>
      <w:r w:rsidRPr="003C5187">
        <w:rPr>
          <w:color w:val="000000" w:themeColor="text1"/>
          <w:szCs w:val="22"/>
          <w:lang w:val="en-US"/>
        </w:rPr>
        <w:t>such as guard bands or limits on out-of-band emissions</w:t>
      </w:r>
      <w:r w:rsidR="00E76F41">
        <w:rPr>
          <w:color w:val="000000" w:themeColor="text1"/>
          <w:szCs w:val="22"/>
          <w:lang w:val="en-US"/>
        </w:rPr>
        <w:t xml:space="preserve">, </w:t>
      </w:r>
      <w:r w:rsidRPr="003C5187">
        <w:rPr>
          <w:color w:val="000000" w:themeColor="text1"/>
          <w:szCs w:val="22"/>
          <w:lang w:val="en-US"/>
        </w:rPr>
        <w:t>should be addressed at the CEPT level and harmonized across Europe.</w:t>
      </w:r>
    </w:p>
    <w:p w14:paraId="7944C4F7" w14:textId="77777777" w:rsidR="00005E7D" w:rsidRDefault="00005E7D" w:rsidP="003C5187">
      <w:pPr>
        <w:rPr>
          <w:color w:val="000000" w:themeColor="text1"/>
          <w:szCs w:val="22"/>
          <w:lang w:val="en-US"/>
        </w:rPr>
      </w:pPr>
    </w:p>
    <w:p w14:paraId="3403A4F8" w14:textId="05A43350" w:rsidR="00D604D6" w:rsidRPr="00D604D6" w:rsidRDefault="004026BC" w:rsidP="003C5187">
      <w:pPr>
        <w:rPr>
          <w:b/>
          <w:bCs/>
          <w:color w:val="000000" w:themeColor="text1"/>
          <w:szCs w:val="22"/>
          <w:lang w:val="en-US"/>
        </w:rPr>
      </w:pPr>
      <w:r>
        <w:rPr>
          <w:b/>
          <w:bCs/>
          <w:color w:val="000000" w:themeColor="text1"/>
          <w:szCs w:val="22"/>
          <w:lang w:val="en-US"/>
        </w:rPr>
        <w:t xml:space="preserve">Prioritized </w:t>
      </w:r>
      <w:r w:rsidR="00F54EB9">
        <w:rPr>
          <w:b/>
          <w:bCs/>
          <w:color w:val="000000" w:themeColor="text1"/>
          <w:szCs w:val="22"/>
          <w:lang w:val="en-US"/>
        </w:rPr>
        <w:t xml:space="preserve">Band-Split based </w:t>
      </w:r>
      <w:r w:rsidR="00D604D6" w:rsidRPr="00D604D6">
        <w:rPr>
          <w:b/>
          <w:bCs/>
          <w:color w:val="000000" w:themeColor="text1"/>
          <w:szCs w:val="22"/>
          <w:lang w:val="en-US"/>
        </w:rPr>
        <w:t>Band-Sharing</w:t>
      </w:r>
    </w:p>
    <w:p w14:paraId="7E92E2E3" w14:textId="77777777" w:rsidR="00005E7D" w:rsidRDefault="00005E7D" w:rsidP="00005E7D">
      <w:pPr>
        <w:rPr>
          <w:szCs w:val="22"/>
          <w:lang w:val="en-US"/>
        </w:rPr>
      </w:pPr>
      <w:r w:rsidRPr="001F5092">
        <w:rPr>
          <w:szCs w:val="22"/>
          <w:lang w:val="en-US"/>
        </w:rPr>
        <w:t>MFCN is unlikely to be deployed uniformly across entire national territories in the upper 6 GHz band above the band-split, and not all EU countries are expected to utilize the full MFCN-prioritized portion for mobile services. Moreover, trials have shown that outdoor-to-indoor MFCN connectivity in this band does not provide reliable deep indoor coverage, leaving substantial portions of the spectrum</w:t>
      </w:r>
      <w:r>
        <w:rPr>
          <w:szCs w:val="22"/>
          <w:lang w:val="en-US"/>
        </w:rPr>
        <w:t xml:space="preserve">, </w:t>
      </w:r>
      <w:r w:rsidRPr="001F5092">
        <w:rPr>
          <w:szCs w:val="22"/>
          <w:lang w:val="en-US"/>
        </w:rPr>
        <w:t>particularly indoors</w:t>
      </w:r>
      <w:r>
        <w:rPr>
          <w:szCs w:val="22"/>
          <w:lang w:val="en-US"/>
        </w:rPr>
        <w:t xml:space="preserve">, </w:t>
      </w:r>
      <w:r w:rsidRPr="001F5092">
        <w:rPr>
          <w:szCs w:val="22"/>
          <w:lang w:val="en-US"/>
        </w:rPr>
        <w:t>underutilized.</w:t>
      </w:r>
      <w:r>
        <w:rPr>
          <w:szCs w:val="22"/>
          <w:lang w:val="en-US"/>
        </w:rPr>
        <w:t xml:space="preserve"> Therefore, </w:t>
      </w:r>
      <w:r w:rsidRPr="001F5092">
        <w:rPr>
          <w:szCs w:val="22"/>
          <w:lang w:val="en-US"/>
        </w:rPr>
        <w:t>authoriz</w:t>
      </w:r>
      <w:r>
        <w:rPr>
          <w:szCs w:val="22"/>
          <w:lang w:val="en-US"/>
        </w:rPr>
        <w:t>ing</w:t>
      </w:r>
      <w:r w:rsidRPr="001F5092">
        <w:rPr>
          <w:szCs w:val="22"/>
          <w:lang w:val="en-US"/>
        </w:rPr>
        <w:t xml:space="preserve"> non-prioritized WAS/RLAN Low Power Indoor (LPI) access to the MFCN-prioritized portion of the upper 6 GHz band</w:t>
      </w:r>
      <w:r>
        <w:rPr>
          <w:szCs w:val="22"/>
          <w:lang w:val="en-US"/>
        </w:rPr>
        <w:t xml:space="preserve"> would be appropriate</w:t>
      </w:r>
      <w:r w:rsidRPr="001F5092">
        <w:rPr>
          <w:szCs w:val="22"/>
          <w:lang w:val="en-US"/>
        </w:rPr>
        <w:t xml:space="preserve"> under defined conditions.</w:t>
      </w:r>
    </w:p>
    <w:p w14:paraId="236897C3" w14:textId="77777777" w:rsidR="00005E7D" w:rsidRPr="003C5187" w:rsidRDefault="00005E7D" w:rsidP="003C5187">
      <w:pPr>
        <w:rPr>
          <w:color w:val="000000" w:themeColor="text1"/>
          <w:szCs w:val="22"/>
          <w:lang w:val="en-US"/>
        </w:rPr>
      </w:pPr>
    </w:p>
    <w:p w14:paraId="208C4FD1" w14:textId="72F3F454" w:rsidR="00CE3B4D" w:rsidRDefault="00585552" w:rsidP="00062A42">
      <w:pPr>
        <w:rPr>
          <w:szCs w:val="22"/>
        </w:rPr>
      </w:pPr>
      <w:r w:rsidRPr="00585552">
        <w:rPr>
          <w:szCs w:val="22"/>
        </w:rPr>
        <w:t xml:space="preserve">As Europe develops regulatory frameworks to meet its specific needs, it is crucial that consumers and businesses </w:t>
      </w:r>
      <w:r w:rsidR="004D6112" w:rsidRPr="00585552">
        <w:rPr>
          <w:szCs w:val="22"/>
        </w:rPr>
        <w:t>can</w:t>
      </w:r>
      <w:r w:rsidRPr="00585552">
        <w:rPr>
          <w:szCs w:val="22"/>
        </w:rPr>
        <w:t xml:space="preserve"> fully leverage existing standards and commercially available equipment. </w:t>
      </w:r>
      <w:r w:rsidR="00A1662C" w:rsidRPr="00585552">
        <w:rPr>
          <w:szCs w:val="22"/>
        </w:rPr>
        <w:t>Above</w:t>
      </w:r>
      <w:r w:rsidRPr="00585552">
        <w:rPr>
          <w:szCs w:val="22"/>
        </w:rPr>
        <w:t xml:space="preserve"> the band-split in the upper 6 GHz range, neither WAS/RLAN terminals (client devices) nor MFCN user equipment (UEs) should be required to detect the band-split location or implement additional sharing mechanisms. Effective </w:t>
      </w:r>
      <w:r w:rsidR="00402221">
        <w:rPr>
          <w:szCs w:val="22"/>
        </w:rPr>
        <w:t xml:space="preserve">band-sharing </w:t>
      </w:r>
      <w:r w:rsidRPr="00585552">
        <w:rPr>
          <w:szCs w:val="22"/>
        </w:rPr>
        <w:t xml:space="preserve">coexistence </w:t>
      </w:r>
      <w:r w:rsidR="00402221">
        <w:rPr>
          <w:szCs w:val="22"/>
        </w:rPr>
        <w:t xml:space="preserve">mechanisms </w:t>
      </w:r>
      <w:r w:rsidRPr="00585552">
        <w:rPr>
          <w:szCs w:val="22"/>
        </w:rPr>
        <w:t>between WAS/RLAN and MFCN can be achieved through coordination at the network leve</w:t>
      </w:r>
      <w:r w:rsidR="00BE1F91">
        <w:rPr>
          <w:szCs w:val="22"/>
        </w:rPr>
        <w:t xml:space="preserve">l, </w:t>
      </w:r>
      <w:r w:rsidRPr="00585552">
        <w:rPr>
          <w:szCs w:val="22"/>
        </w:rPr>
        <w:t>via WAS/RLAN access points (including software and cloud-based management systems) and MFCN base stations. Therefore, we encourage European regulators to permit the deployment of WAS/RLAN terminals capable of operating across the entire 6 GHz band within the European market.</w:t>
      </w:r>
    </w:p>
    <w:p w14:paraId="2AA74DBE" w14:textId="77777777" w:rsidR="004D6112" w:rsidRDefault="004D6112" w:rsidP="00062A42">
      <w:pPr>
        <w:rPr>
          <w:szCs w:val="22"/>
        </w:rPr>
      </w:pPr>
    </w:p>
    <w:p w14:paraId="6E323561" w14:textId="1FE94078" w:rsidR="003F3BA8" w:rsidRPr="00E76F41" w:rsidRDefault="00BA5A74" w:rsidP="003F3BA8">
      <w:pPr>
        <w:rPr>
          <w:b/>
          <w:bCs/>
          <w:color w:val="000000" w:themeColor="text1"/>
          <w:szCs w:val="22"/>
          <w:lang w:val="en-US"/>
        </w:rPr>
      </w:pPr>
      <w:r>
        <w:rPr>
          <w:b/>
          <w:bCs/>
          <w:color w:val="000000" w:themeColor="text1"/>
          <w:szCs w:val="22"/>
          <w:lang w:val="en-US"/>
        </w:rPr>
        <w:t>Regulatory Implications of Upper 6 GHz Band Sharing</w:t>
      </w:r>
    </w:p>
    <w:p w14:paraId="4EB6A4DB" w14:textId="77777777" w:rsidR="00B15212" w:rsidRDefault="002C7E06" w:rsidP="002C7E06">
      <w:pPr>
        <w:rPr>
          <w:szCs w:val="22"/>
          <w:lang w:val="en-US"/>
        </w:rPr>
      </w:pPr>
      <w:r w:rsidRPr="002C7E06">
        <w:rPr>
          <w:szCs w:val="22"/>
          <w:lang w:val="en-US"/>
        </w:rPr>
        <w:t xml:space="preserve">To facilitate sharing in the upper 6 GHz band, it is important that future regulatory changes can be supported by devices already deployed in the market. </w:t>
      </w:r>
    </w:p>
    <w:p w14:paraId="409BD43B" w14:textId="77777777" w:rsidR="00B15212" w:rsidRDefault="00B15212" w:rsidP="002C7E06">
      <w:pPr>
        <w:rPr>
          <w:szCs w:val="22"/>
          <w:lang w:val="en-US"/>
        </w:rPr>
      </w:pPr>
    </w:p>
    <w:p w14:paraId="7E792DB5" w14:textId="3D96355B" w:rsidR="002C7E06" w:rsidRDefault="00651BAC" w:rsidP="002C7E06">
      <w:pPr>
        <w:rPr>
          <w:szCs w:val="22"/>
          <w:lang w:val="en-US"/>
        </w:rPr>
      </w:pPr>
      <w:r w:rsidRPr="00651BAC">
        <w:rPr>
          <w:szCs w:val="22"/>
        </w:rPr>
        <w:t>A practical approach would be to require manufacturers to ensure that upper 6 GHz (U6)-capable access points (APs) are field-upgradable.</w:t>
      </w:r>
      <w:r w:rsidR="002C7E06" w:rsidRPr="002C7E06">
        <w:rPr>
          <w:szCs w:val="22"/>
          <w:lang w:val="en-US"/>
        </w:rPr>
        <w:t xml:space="preserve"> This would allow most devices to be updated in line with new regulations as they are introduced.</w:t>
      </w:r>
      <w:r w:rsidR="00BA5A74">
        <w:rPr>
          <w:szCs w:val="22"/>
          <w:lang w:val="en-US"/>
        </w:rPr>
        <w:t xml:space="preserve"> </w:t>
      </w:r>
      <w:r w:rsidR="002C7E06" w:rsidRPr="002C7E06">
        <w:rPr>
          <w:szCs w:val="22"/>
          <w:lang w:val="en-US"/>
        </w:rPr>
        <w:t xml:space="preserve">However, a small subset of devices may not be easily upgradable or compliant with future changes. To address this, regulations should permit manufacturers to design Wi-Fi devices that operate on specific channels expected to remain prioritized for Wi-Fi use. For example, </w:t>
      </w:r>
      <w:r w:rsidR="00B15212">
        <w:rPr>
          <w:szCs w:val="22"/>
          <w:lang w:val="en-US"/>
        </w:rPr>
        <w:t>the</w:t>
      </w:r>
      <w:r w:rsidR="002C7E06" w:rsidRPr="002C7E06">
        <w:rPr>
          <w:szCs w:val="22"/>
          <w:lang w:val="en-US"/>
        </w:rPr>
        <w:t xml:space="preserve"> additional 160 MHz </w:t>
      </w:r>
      <w:r w:rsidR="00B15212">
        <w:rPr>
          <w:szCs w:val="22"/>
          <w:lang w:val="en-US"/>
        </w:rPr>
        <w:t>(</w:t>
      </w:r>
      <w:r w:rsidR="002C7E06" w:rsidRPr="002C7E06">
        <w:rPr>
          <w:szCs w:val="22"/>
          <w:lang w:val="en-US"/>
        </w:rPr>
        <w:t xml:space="preserve">or </w:t>
      </w:r>
      <w:r w:rsidR="00CF3BE5">
        <w:rPr>
          <w:szCs w:val="22"/>
          <w:lang w:val="en-US"/>
        </w:rPr>
        <w:t xml:space="preserve">320 </w:t>
      </w:r>
      <w:r w:rsidR="002C7E06" w:rsidRPr="002C7E06">
        <w:rPr>
          <w:szCs w:val="22"/>
          <w:lang w:val="en-US"/>
        </w:rPr>
        <w:t>MHz</w:t>
      </w:r>
      <w:r w:rsidR="000F52C4">
        <w:rPr>
          <w:szCs w:val="22"/>
          <w:lang w:val="en-US"/>
        </w:rPr>
        <w:t>)</w:t>
      </w:r>
      <w:r w:rsidR="002C7E06" w:rsidRPr="002C7E06">
        <w:rPr>
          <w:szCs w:val="22"/>
          <w:lang w:val="en-US"/>
        </w:rPr>
        <w:t xml:space="preserve"> spectrum in the U6 band</w:t>
      </w:r>
      <w:r w:rsidR="00BA5A74">
        <w:rPr>
          <w:szCs w:val="22"/>
          <w:lang w:val="en-US"/>
        </w:rPr>
        <w:t xml:space="preserve"> (</w:t>
      </w:r>
      <w:r w:rsidR="002C7E06" w:rsidRPr="002C7E06">
        <w:rPr>
          <w:szCs w:val="22"/>
          <w:lang w:val="en-US"/>
        </w:rPr>
        <w:t>adjacent to the lower 6 GH</w:t>
      </w:r>
      <w:r w:rsidR="00BA5A74">
        <w:rPr>
          <w:szCs w:val="22"/>
          <w:lang w:val="en-US"/>
        </w:rPr>
        <w:t xml:space="preserve">z) </w:t>
      </w:r>
      <w:r w:rsidR="002C7E06" w:rsidRPr="002C7E06">
        <w:rPr>
          <w:szCs w:val="22"/>
          <w:lang w:val="en-US"/>
        </w:rPr>
        <w:t>could be designated as license-exempt, following the same rules as the lower 6 GHz band.</w:t>
      </w:r>
    </w:p>
    <w:p w14:paraId="4E1339DC" w14:textId="77777777" w:rsidR="00B15212" w:rsidRPr="002C7E06" w:rsidRDefault="00B15212" w:rsidP="002C7E06">
      <w:pPr>
        <w:rPr>
          <w:szCs w:val="22"/>
          <w:lang w:val="en-US"/>
        </w:rPr>
      </w:pPr>
    </w:p>
    <w:p w14:paraId="09DB7357" w14:textId="77777777" w:rsidR="002C7E06" w:rsidRPr="002C7E06" w:rsidRDefault="002C7E06" w:rsidP="002C7E06">
      <w:pPr>
        <w:rPr>
          <w:szCs w:val="22"/>
          <w:lang w:val="en-US"/>
        </w:rPr>
      </w:pPr>
      <w:r w:rsidRPr="002C7E06">
        <w:rPr>
          <w:szCs w:val="22"/>
          <w:lang w:val="en-US"/>
        </w:rPr>
        <w:t>For client devices, the situation is more straightforward, as they only operate on the channels used by the AP they connect to. Therefore, client devices can be authorized to operate across the widest possible frequency range. Very Low Power (VLP) operations could initially be limited to prioritized Wi-Fi channels. This would give CEPT time to evaluate VLP use in MFCN-prioritized portions of the band, if supported by industry, while still allowing other types of WAS/RLAN devices access to the spectrum.</w:t>
      </w:r>
    </w:p>
    <w:p w14:paraId="0C2D1604" w14:textId="77777777" w:rsidR="004D6112" w:rsidRDefault="004D6112" w:rsidP="00062A42">
      <w:pPr>
        <w:rPr>
          <w:szCs w:val="22"/>
        </w:rPr>
      </w:pPr>
    </w:p>
    <w:p w14:paraId="1EF1A788" w14:textId="1B1269E6" w:rsidR="004948B2" w:rsidRPr="00E76F41" w:rsidRDefault="006B351F" w:rsidP="004948B2">
      <w:pPr>
        <w:rPr>
          <w:b/>
          <w:bCs/>
          <w:color w:val="000000" w:themeColor="text1"/>
          <w:szCs w:val="22"/>
          <w:lang w:val="en-US"/>
        </w:rPr>
      </w:pPr>
      <w:r>
        <w:rPr>
          <w:b/>
          <w:bCs/>
          <w:color w:val="000000" w:themeColor="text1"/>
          <w:szCs w:val="22"/>
          <w:lang w:val="en-US"/>
        </w:rPr>
        <w:t xml:space="preserve">Enhanced Sensing for </w:t>
      </w:r>
      <w:r w:rsidR="004948B2">
        <w:rPr>
          <w:b/>
          <w:bCs/>
          <w:color w:val="000000" w:themeColor="text1"/>
          <w:szCs w:val="22"/>
          <w:lang w:val="en-US"/>
        </w:rPr>
        <w:t>Upper 6 GHz Band Sharing</w:t>
      </w:r>
    </w:p>
    <w:p w14:paraId="7112D28C" w14:textId="3E2F6318" w:rsidR="004514B8" w:rsidRPr="004514B8" w:rsidRDefault="00D76342" w:rsidP="004514B8">
      <w:pPr>
        <w:rPr>
          <w:szCs w:val="22"/>
          <w:lang w:val="en-US"/>
        </w:rPr>
      </w:pPr>
      <w:r>
        <w:rPr>
          <w:szCs w:val="22"/>
          <w:lang w:val="en-US"/>
        </w:rPr>
        <w:t>Enhanced</w:t>
      </w:r>
      <w:r w:rsidR="001F5092" w:rsidRPr="001F5092">
        <w:rPr>
          <w:szCs w:val="22"/>
          <w:lang w:val="en-US"/>
        </w:rPr>
        <w:t xml:space="preserve"> sensing techniques could be employed to facilitate effective sharing</w:t>
      </w:r>
      <w:r w:rsidR="00007CA4">
        <w:rPr>
          <w:szCs w:val="22"/>
          <w:lang w:val="en-US"/>
        </w:rPr>
        <w:t xml:space="preserve"> of</w:t>
      </w:r>
      <w:r w:rsidR="00CF3BE5">
        <w:rPr>
          <w:szCs w:val="22"/>
          <w:lang w:val="en-US"/>
        </w:rPr>
        <w:t xml:space="preserve"> a portion of</w:t>
      </w:r>
      <w:r w:rsidR="00007CA4">
        <w:rPr>
          <w:szCs w:val="22"/>
          <w:lang w:val="en-US"/>
        </w:rPr>
        <w:t xml:space="preserve"> the </w:t>
      </w:r>
      <w:r w:rsidR="001F5092" w:rsidRPr="001F5092">
        <w:rPr>
          <w:szCs w:val="22"/>
          <w:lang w:val="en-US"/>
        </w:rPr>
        <w:t>band.</w:t>
      </w:r>
      <w:r w:rsidR="004514B8" w:rsidRPr="004514B8">
        <w:rPr>
          <w:rFonts w:ascii="Segoe UI" w:hAnsi="Segoe UI" w:cs="Segoe UI"/>
          <w:color w:val="424242"/>
          <w:szCs w:val="24"/>
          <w:lang w:val="en-US"/>
        </w:rPr>
        <w:t xml:space="preserve"> </w:t>
      </w:r>
      <w:r w:rsidR="004514B8" w:rsidRPr="004514B8">
        <w:rPr>
          <w:szCs w:val="22"/>
          <w:lang w:val="en-US"/>
        </w:rPr>
        <w:t>We believe that enhanced sensing should not be a blanket requirement for all Wi-Fi deployments. Professionally managed networks</w:t>
      </w:r>
      <w:r w:rsidR="00870F69">
        <w:rPr>
          <w:szCs w:val="22"/>
          <w:lang w:val="en-US"/>
        </w:rPr>
        <w:t xml:space="preserve">, </w:t>
      </w:r>
      <w:r w:rsidR="004514B8" w:rsidRPr="004514B8">
        <w:rPr>
          <w:szCs w:val="22"/>
          <w:lang w:val="en-US"/>
        </w:rPr>
        <w:t>such as those in enterprise environment</w:t>
      </w:r>
      <w:r w:rsidR="00870F69">
        <w:rPr>
          <w:szCs w:val="22"/>
          <w:lang w:val="en-US"/>
        </w:rPr>
        <w:t xml:space="preserve">s, </w:t>
      </w:r>
      <w:r w:rsidR="004514B8" w:rsidRPr="004514B8">
        <w:rPr>
          <w:szCs w:val="22"/>
          <w:lang w:val="en-US"/>
        </w:rPr>
        <w:t xml:space="preserve">are better positioned to coordinate spectrum access with other users and may not need such capabilities. If enhanced sensing is deemed necessary, it should be implemented using existing Wi-Fi frames. For example, Wi-Fi devices </w:t>
      </w:r>
      <w:r w:rsidR="004514B8" w:rsidRPr="004514B8">
        <w:rPr>
          <w:szCs w:val="22"/>
          <w:lang w:val="en-US"/>
        </w:rPr>
        <w:lastRenderedPageBreak/>
        <w:t xml:space="preserve">already defer channel access when another device is transmitting. The widely supported CTS-to-Self frame, which allows a device to reserve the channel for a set duration (e.g., 10 </w:t>
      </w:r>
      <w:proofErr w:type="spellStart"/>
      <w:r w:rsidR="004514B8" w:rsidRPr="004514B8">
        <w:rPr>
          <w:szCs w:val="22"/>
          <w:lang w:val="en-US"/>
        </w:rPr>
        <w:t>ms</w:t>
      </w:r>
      <w:proofErr w:type="spellEnd"/>
      <w:r w:rsidR="004514B8" w:rsidRPr="004514B8">
        <w:rPr>
          <w:szCs w:val="22"/>
          <w:lang w:val="en-US"/>
        </w:rPr>
        <w:t>), could be used for this purpose today. Introducing new frame types would require standardization and device updates, which could delay deployment.</w:t>
      </w:r>
      <w:r w:rsidR="002E447D">
        <w:rPr>
          <w:szCs w:val="22"/>
          <w:lang w:val="en-US"/>
        </w:rPr>
        <w:t xml:space="preserve"> </w:t>
      </w:r>
      <w:r w:rsidR="004514B8" w:rsidRPr="004514B8">
        <w:rPr>
          <w:szCs w:val="22"/>
          <w:lang w:val="en-US"/>
        </w:rPr>
        <w:t xml:space="preserve">Any enhanced sensing requirements should apply only to Wi-Fi access points in non-professionally managed environments. As previously noted, infrastructure Wi-Fi clients operate only on the channels used by their associated APs, and VLP devices would be limited to prioritized Wi-Fi channels. </w:t>
      </w:r>
      <w:r w:rsidR="0014793F" w:rsidRPr="0014793F">
        <w:rPr>
          <w:szCs w:val="22"/>
        </w:rPr>
        <w:t>Mandating enhanced sensing based on non-Wi-Fi frames would likely require hardware modifications, potentially delaying the usability of the shared band for several years.</w:t>
      </w:r>
    </w:p>
    <w:p w14:paraId="33AA1D2D" w14:textId="7A243A6B" w:rsidR="001F5092" w:rsidRDefault="001F5092" w:rsidP="001F5092">
      <w:pPr>
        <w:rPr>
          <w:szCs w:val="22"/>
          <w:lang w:val="en-US"/>
        </w:rPr>
      </w:pPr>
    </w:p>
    <w:p w14:paraId="109A7F9B" w14:textId="77777777" w:rsidR="00D232D2" w:rsidRDefault="00D232D2" w:rsidP="001F5092">
      <w:pPr>
        <w:rPr>
          <w:szCs w:val="22"/>
          <w:lang w:val="en-US"/>
        </w:rPr>
      </w:pPr>
    </w:p>
    <w:p w14:paraId="1FF328BF" w14:textId="77777777" w:rsidR="006B4492" w:rsidRPr="00B4506B" w:rsidRDefault="006B4492" w:rsidP="00062A42">
      <w:pPr>
        <w:rPr>
          <w:b/>
          <w:bCs/>
          <w:szCs w:val="22"/>
        </w:rPr>
      </w:pPr>
      <w:r w:rsidRPr="006B4492">
        <w:rPr>
          <w:b/>
          <w:bCs/>
          <w:szCs w:val="22"/>
        </w:rPr>
        <w:t>Conclusion</w:t>
      </w:r>
    </w:p>
    <w:p w14:paraId="33014EAB" w14:textId="4B2A067E" w:rsidR="006B4492" w:rsidRPr="00B4506B" w:rsidRDefault="006B4492" w:rsidP="00062A42">
      <w:pPr>
        <w:rPr>
          <w:szCs w:val="22"/>
        </w:rPr>
      </w:pPr>
      <w:r w:rsidRPr="006B4492">
        <w:rPr>
          <w:szCs w:val="22"/>
        </w:rPr>
        <w:t xml:space="preserve">IEEE 802 LMSC thanks </w:t>
      </w:r>
      <w:r w:rsidRPr="00B4506B">
        <w:rPr>
          <w:szCs w:val="22"/>
        </w:rPr>
        <w:t>RSPG</w:t>
      </w:r>
      <w:r w:rsidRPr="006B4492">
        <w:rPr>
          <w:szCs w:val="22"/>
        </w:rPr>
        <w:t xml:space="preserve"> for the opportunity to provide this submission and respectfully</w:t>
      </w:r>
      <w:r w:rsidRPr="00B4506B">
        <w:rPr>
          <w:szCs w:val="22"/>
        </w:rPr>
        <w:t xml:space="preserve"> requests consideration of the responses provided in this document.</w:t>
      </w:r>
    </w:p>
    <w:p w14:paraId="30ECFFC8" w14:textId="77777777" w:rsidR="00931099" w:rsidRPr="00B4506B" w:rsidRDefault="00931099" w:rsidP="00062A42">
      <w:pPr>
        <w:rPr>
          <w:szCs w:val="22"/>
        </w:rPr>
      </w:pPr>
    </w:p>
    <w:p w14:paraId="778202B2" w14:textId="0C7D6CBB" w:rsidR="00931099" w:rsidRPr="00B4506B" w:rsidRDefault="00931099" w:rsidP="00062A42">
      <w:pPr>
        <w:rPr>
          <w:szCs w:val="22"/>
        </w:rPr>
      </w:pPr>
      <w:r w:rsidRPr="00B4506B">
        <w:rPr>
          <w:szCs w:val="22"/>
        </w:rPr>
        <w:t>Respectfully submitted,</w:t>
      </w:r>
    </w:p>
    <w:p w14:paraId="7E547D2B" w14:textId="77777777" w:rsidR="00931099" w:rsidRPr="00B4506B" w:rsidRDefault="00931099" w:rsidP="00062A42">
      <w:pPr>
        <w:rPr>
          <w:szCs w:val="22"/>
        </w:rPr>
      </w:pPr>
    </w:p>
    <w:p w14:paraId="2720484C" w14:textId="48B86786" w:rsidR="00931099" w:rsidRPr="00B4506B" w:rsidRDefault="00931099" w:rsidP="00062A42">
      <w:pPr>
        <w:rPr>
          <w:szCs w:val="22"/>
        </w:rPr>
      </w:pPr>
      <w:r w:rsidRPr="00B4506B">
        <w:rPr>
          <w:szCs w:val="22"/>
          <w:highlight w:val="yellow"/>
        </w:rPr>
        <w:t>By:</w:t>
      </w:r>
    </w:p>
    <w:p w14:paraId="2DB93CB2" w14:textId="77777777" w:rsidR="00B4506B" w:rsidRPr="00B4506B" w:rsidRDefault="00B4506B">
      <w:pPr>
        <w:rPr>
          <w:b/>
          <w:szCs w:val="22"/>
        </w:rPr>
      </w:pPr>
    </w:p>
    <w:p w14:paraId="60B3F609" w14:textId="1C636F80" w:rsidR="00DE0563" w:rsidRPr="00B4506B" w:rsidRDefault="00DE0563">
      <w:pPr>
        <w:rPr>
          <w:b/>
          <w:szCs w:val="22"/>
        </w:rPr>
      </w:pPr>
      <w:r w:rsidRPr="00C9212E">
        <w:rPr>
          <w:b/>
          <w:szCs w:val="22"/>
          <w:highlight w:val="yellow"/>
        </w:rPr>
        <w:t>References:</w:t>
      </w:r>
    </w:p>
    <w:p w14:paraId="72F290F5" w14:textId="77777777" w:rsidR="00DE0563" w:rsidRDefault="00DE0563"/>
    <w:sectPr w:rsidR="00DE0563" w:rsidSect="000C0AC0">
      <w:headerReference w:type="default" r:id="rId6"/>
      <w:footerReference w:type="default" r:id="rId7"/>
      <w:pgSz w:w="12240" w:h="15840" w:code="1"/>
      <w:pgMar w:top="1080" w:right="1080" w:bottom="108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675C" w14:textId="77777777" w:rsidR="00035D3D" w:rsidRDefault="00035D3D">
      <w:r>
        <w:separator/>
      </w:r>
    </w:p>
  </w:endnote>
  <w:endnote w:type="continuationSeparator" w:id="0">
    <w:p w14:paraId="266B8A84" w14:textId="77777777" w:rsidR="00035D3D" w:rsidRDefault="0003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B17A" w14:textId="7C148799" w:rsidR="00DE0563" w:rsidRDefault="00DE05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620163">
        <w:t>Prasanna Desai</w:t>
      </w:r>
      <w:r w:rsidR="001162D2">
        <w:t xml:space="preserve"> (</w:t>
      </w:r>
      <w:r>
        <w:t>S</w:t>
      </w:r>
      <w:r w:rsidR="00620163">
        <w:t>elf</w:t>
      </w:r>
    </w:fldSimple>
    <w:r w:rsidR="001162D2">
      <w:t>)</w:t>
    </w:r>
  </w:p>
  <w:p w14:paraId="29D95FCD" w14:textId="77777777" w:rsidR="00DE0563" w:rsidRDefault="00DE05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DFB5" w14:textId="77777777" w:rsidR="00035D3D" w:rsidRDefault="00035D3D">
      <w:r>
        <w:separator/>
      </w:r>
    </w:p>
  </w:footnote>
  <w:footnote w:type="continuationSeparator" w:id="0">
    <w:p w14:paraId="4B8C5287" w14:textId="77777777" w:rsidR="00035D3D" w:rsidRDefault="0003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A3B2" w14:textId="778674AB" w:rsidR="00DE0563" w:rsidRDefault="003A218A">
    <w:pPr>
      <w:pStyle w:val="Header"/>
      <w:tabs>
        <w:tab w:val="clear" w:pos="6480"/>
        <w:tab w:val="center" w:pos="4680"/>
        <w:tab w:val="right" w:pos="9360"/>
      </w:tabs>
    </w:pPr>
    <w:fldSimple w:instr=" KEYWORDS  \* MERGEFORMAT ">
      <w:r>
        <w:t>July 2025</w:t>
      </w:r>
    </w:fldSimple>
    <w:r w:rsidR="00DE0563">
      <w:tab/>
    </w:r>
    <w:r w:rsidR="00DE0563">
      <w:tab/>
    </w:r>
    <w:fldSimple w:instr=" TITLE  \* MERGEFORMAT ">
      <w:r w:rsidR="00DE0563">
        <w:t>doc.: IEEE 802.18-</w:t>
      </w:r>
      <w:r w:rsidR="006F67FB">
        <w:t>25</w:t>
      </w:r>
      <w:r w:rsidR="00DE0563">
        <w:t>/0</w:t>
      </w:r>
    </w:fldSimple>
    <w:r w:rsidR="006F67FB">
      <w:t>073</w:t>
    </w:r>
    <w:r w:rsidR="008C5CB6">
      <w:t>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63"/>
    <w:rsid w:val="00005E7D"/>
    <w:rsid w:val="00007CA4"/>
    <w:rsid w:val="00035D3D"/>
    <w:rsid w:val="00051267"/>
    <w:rsid w:val="00057314"/>
    <w:rsid w:val="00062A42"/>
    <w:rsid w:val="00067269"/>
    <w:rsid w:val="00075F2A"/>
    <w:rsid w:val="00081ED5"/>
    <w:rsid w:val="000C0AC0"/>
    <w:rsid w:val="000D22D1"/>
    <w:rsid w:val="000F52C4"/>
    <w:rsid w:val="001162D2"/>
    <w:rsid w:val="00124D25"/>
    <w:rsid w:val="001372AD"/>
    <w:rsid w:val="0014793F"/>
    <w:rsid w:val="00177ABC"/>
    <w:rsid w:val="00184732"/>
    <w:rsid w:val="001A5577"/>
    <w:rsid w:val="001B700D"/>
    <w:rsid w:val="001C2FFC"/>
    <w:rsid w:val="001D142B"/>
    <w:rsid w:val="001E2C15"/>
    <w:rsid w:val="001F5092"/>
    <w:rsid w:val="00214121"/>
    <w:rsid w:val="002328D1"/>
    <w:rsid w:val="002C7E06"/>
    <w:rsid w:val="002E447D"/>
    <w:rsid w:val="00387536"/>
    <w:rsid w:val="00392583"/>
    <w:rsid w:val="00397751"/>
    <w:rsid w:val="003A218A"/>
    <w:rsid w:val="003B28C1"/>
    <w:rsid w:val="003C5187"/>
    <w:rsid w:val="003D42C7"/>
    <w:rsid w:val="003F3BA8"/>
    <w:rsid w:val="00402221"/>
    <w:rsid w:val="004023AF"/>
    <w:rsid w:val="004026BC"/>
    <w:rsid w:val="004514B8"/>
    <w:rsid w:val="004662FD"/>
    <w:rsid w:val="00477654"/>
    <w:rsid w:val="0048012F"/>
    <w:rsid w:val="004810F6"/>
    <w:rsid w:val="0049473A"/>
    <w:rsid w:val="004948B2"/>
    <w:rsid w:val="004A42C8"/>
    <w:rsid w:val="004D6112"/>
    <w:rsid w:val="00501688"/>
    <w:rsid w:val="00537B04"/>
    <w:rsid w:val="00585552"/>
    <w:rsid w:val="005E4DAF"/>
    <w:rsid w:val="006171FE"/>
    <w:rsid w:val="00620163"/>
    <w:rsid w:val="00651BAC"/>
    <w:rsid w:val="00651F23"/>
    <w:rsid w:val="00667396"/>
    <w:rsid w:val="00674588"/>
    <w:rsid w:val="006B351F"/>
    <w:rsid w:val="006B4492"/>
    <w:rsid w:val="006E310C"/>
    <w:rsid w:val="006E5A6F"/>
    <w:rsid w:val="006F67FB"/>
    <w:rsid w:val="00723BB4"/>
    <w:rsid w:val="007A34D0"/>
    <w:rsid w:val="007B53B2"/>
    <w:rsid w:val="007D6C61"/>
    <w:rsid w:val="00801192"/>
    <w:rsid w:val="008227B6"/>
    <w:rsid w:val="008407FF"/>
    <w:rsid w:val="008604E1"/>
    <w:rsid w:val="00870F69"/>
    <w:rsid w:val="008A200A"/>
    <w:rsid w:val="008C2C5E"/>
    <w:rsid w:val="008C5CB6"/>
    <w:rsid w:val="008E7B98"/>
    <w:rsid w:val="00924731"/>
    <w:rsid w:val="00926CA0"/>
    <w:rsid w:val="00931099"/>
    <w:rsid w:val="00950CC5"/>
    <w:rsid w:val="00956897"/>
    <w:rsid w:val="009A4151"/>
    <w:rsid w:val="009B7E54"/>
    <w:rsid w:val="009D6F24"/>
    <w:rsid w:val="00A1662C"/>
    <w:rsid w:val="00A21550"/>
    <w:rsid w:val="00A21B4C"/>
    <w:rsid w:val="00A23D2C"/>
    <w:rsid w:val="00A35D01"/>
    <w:rsid w:val="00A51EAF"/>
    <w:rsid w:val="00AC4DC0"/>
    <w:rsid w:val="00AC5CD8"/>
    <w:rsid w:val="00AC7E98"/>
    <w:rsid w:val="00B15212"/>
    <w:rsid w:val="00B3770D"/>
    <w:rsid w:val="00B4506B"/>
    <w:rsid w:val="00B71AC2"/>
    <w:rsid w:val="00B932C6"/>
    <w:rsid w:val="00BA5A74"/>
    <w:rsid w:val="00BB655B"/>
    <w:rsid w:val="00BB7D46"/>
    <w:rsid w:val="00BE1F91"/>
    <w:rsid w:val="00BF2F7F"/>
    <w:rsid w:val="00C00B06"/>
    <w:rsid w:val="00C10473"/>
    <w:rsid w:val="00C14A8E"/>
    <w:rsid w:val="00C4630D"/>
    <w:rsid w:val="00C5282E"/>
    <w:rsid w:val="00C5790E"/>
    <w:rsid w:val="00C9212E"/>
    <w:rsid w:val="00CC397D"/>
    <w:rsid w:val="00CD3F48"/>
    <w:rsid w:val="00CE3B4D"/>
    <w:rsid w:val="00CE433A"/>
    <w:rsid w:val="00CE6851"/>
    <w:rsid w:val="00CE6FA3"/>
    <w:rsid w:val="00CF3BE5"/>
    <w:rsid w:val="00CF3F95"/>
    <w:rsid w:val="00D04AB4"/>
    <w:rsid w:val="00D232D2"/>
    <w:rsid w:val="00D604D6"/>
    <w:rsid w:val="00D61EBF"/>
    <w:rsid w:val="00D6724D"/>
    <w:rsid w:val="00D76342"/>
    <w:rsid w:val="00DE0563"/>
    <w:rsid w:val="00DE5654"/>
    <w:rsid w:val="00E10EEB"/>
    <w:rsid w:val="00E425CD"/>
    <w:rsid w:val="00E60DA6"/>
    <w:rsid w:val="00E6396F"/>
    <w:rsid w:val="00E76F41"/>
    <w:rsid w:val="00F12B66"/>
    <w:rsid w:val="00F2414B"/>
    <w:rsid w:val="00F247B4"/>
    <w:rsid w:val="00F54EB9"/>
    <w:rsid w:val="00F75A73"/>
    <w:rsid w:val="00FE6B44"/>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EB6F"/>
  <w15:chartTrackingRefBased/>
  <w15:docId w15:val="{3068A627-4818-4F82-BE11-09EFED4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Default">
    <w:name w:val="Default"/>
    <w:rsid w:val="00CC397D"/>
    <w:pPr>
      <w:autoSpaceDE w:val="0"/>
      <w:autoSpaceDN w:val="0"/>
      <w:adjustRightInd w:val="0"/>
    </w:pPr>
    <w:rPr>
      <w:rFonts w:ascii="Calibri" w:eastAsiaTheme="minorHAnsi" w:hAnsi="Calibri" w:cs="Calibri"/>
      <w:color w:val="000000"/>
      <w:sz w:val="24"/>
      <w:szCs w:val="24"/>
      <w:lang w:val="en-GB"/>
      <w14:ligatures w14:val="standardContextual"/>
    </w:rPr>
  </w:style>
  <w:style w:type="paragraph" w:styleId="NormalWeb">
    <w:name w:val="Normal (Web)"/>
    <w:basedOn w:val="Normal"/>
    <w:uiPriority w:val="99"/>
    <w:semiHidden/>
    <w:unhideWhenUsed/>
    <w:rsid w:val="004514B8"/>
    <w:rPr>
      <w:sz w:val="24"/>
      <w:szCs w:val="24"/>
    </w:rPr>
  </w:style>
  <w:style w:type="character" w:styleId="LineNumber">
    <w:name w:val="line number"/>
    <w:basedOn w:val="DefaultParagraphFont"/>
    <w:uiPriority w:val="99"/>
    <w:semiHidden/>
    <w:unhideWhenUsed/>
    <w:rsid w:val="000C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108">
      <w:bodyDiv w:val="1"/>
      <w:marLeft w:val="0"/>
      <w:marRight w:val="0"/>
      <w:marTop w:val="0"/>
      <w:marBottom w:val="0"/>
      <w:divBdr>
        <w:top w:val="none" w:sz="0" w:space="0" w:color="auto"/>
        <w:left w:val="none" w:sz="0" w:space="0" w:color="auto"/>
        <w:bottom w:val="none" w:sz="0" w:space="0" w:color="auto"/>
        <w:right w:val="none" w:sz="0" w:space="0" w:color="auto"/>
      </w:divBdr>
    </w:div>
    <w:div w:id="254096557">
      <w:bodyDiv w:val="1"/>
      <w:marLeft w:val="0"/>
      <w:marRight w:val="0"/>
      <w:marTop w:val="0"/>
      <w:marBottom w:val="0"/>
      <w:divBdr>
        <w:top w:val="none" w:sz="0" w:space="0" w:color="auto"/>
        <w:left w:val="none" w:sz="0" w:space="0" w:color="auto"/>
        <w:bottom w:val="none" w:sz="0" w:space="0" w:color="auto"/>
        <w:right w:val="none" w:sz="0" w:space="0" w:color="auto"/>
      </w:divBdr>
    </w:div>
    <w:div w:id="483812358">
      <w:bodyDiv w:val="1"/>
      <w:marLeft w:val="0"/>
      <w:marRight w:val="0"/>
      <w:marTop w:val="0"/>
      <w:marBottom w:val="0"/>
      <w:divBdr>
        <w:top w:val="none" w:sz="0" w:space="0" w:color="auto"/>
        <w:left w:val="none" w:sz="0" w:space="0" w:color="auto"/>
        <w:bottom w:val="none" w:sz="0" w:space="0" w:color="auto"/>
        <w:right w:val="none" w:sz="0" w:space="0" w:color="auto"/>
      </w:divBdr>
    </w:div>
    <w:div w:id="507791744">
      <w:bodyDiv w:val="1"/>
      <w:marLeft w:val="0"/>
      <w:marRight w:val="0"/>
      <w:marTop w:val="0"/>
      <w:marBottom w:val="0"/>
      <w:divBdr>
        <w:top w:val="none" w:sz="0" w:space="0" w:color="auto"/>
        <w:left w:val="none" w:sz="0" w:space="0" w:color="auto"/>
        <w:bottom w:val="none" w:sz="0" w:space="0" w:color="auto"/>
        <w:right w:val="none" w:sz="0" w:space="0" w:color="auto"/>
      </w:divBdr>
    </w:div>
    <w:div w:id="634798664">
      <w:bodyDiv w:val="1"/>
      <w:marLeft w:val="0"/>
      <w:marRight w:val="0"/>
      <w:marTop w:val="0"/>
      <w:marBottom w:val="0"/>
      <w:divBdr>
        <w:top w:val="none" w:sz="0" w:space="0" w:color="auto"/>
        <w:left w:val="none" w:sz="0" w:space="0" w:color="auto"/>
        <w:bottom w:val="none" w:sz="0" w:space="0" w:color="auto"/>
        <w:right w:val="none" w:sz="0" w:space="0" w:color="auto"/>
      </w:divBdr>
    </w:div>
    <w:div w:id="1408990363">
      <w:bodyDiv w:val="1"/>
      <w:marLeft w:val="0"/>
      <w:marRight w:val="0"/>
      <w:marTop w:val="0"/>
      <w:marBottom w:val="0"/>
      <w:divBdr>
        <w:top w:val="none" w:sz="0" w:space="0" w:color="auto"/>
        <w:left w:val="none" w:sz="0" w:space="0" w:color="auto"/>
        <w:bottom w:val="none" w:sz="0" w:space="0" w:color="auto"/>
        <w:right w:val="none" w:sz="0" w:space="0" w:color="auto"/>
      </w:divBdr>
    </w:div>
    <w:div w:id="1436440745">
      <w:bodyDiv w:val="1"/>
      <w:marLeft w:val="0"/>
      <w:marRight w:val="0"/>
      <w:marTop w:val="0"/>
      <w:marBottom w:val="0"/>
      <w:divBdr>
        <w:top w:val="none" w:sz="0" w:space="0" w:color="auto"/>
        <w:left w:val="none" w:sz="0" w:space="0" w:color="auto"/>
        <w:bottom w:val="none" w:sz="0" w:space="0" w:color="auto"/>
        <w:right w:val="none" w:sz="0" w:space="0" w:color="auto"/>
      </w:divBdr>
    </w:div>
    <w:div w:id="1745569491">
      <w:bodyDiv w:val="1"/>
      <w:marLeft w:val="0"/>
      <w:marRight w:val="0"/>
      <w:marTop w:val="0"/>
      <w:marBottom w:val="0"/>
      <w:divBdr>
        <w:top w:val="none" w:sz="0" w:space="0" w:color="auto"/>
        <w:left w:val="none" w:sz="0" w:space="0" w:color="auto"/>
        <w:bottom w:val="none" w:sz="0" w:space="0" w:color="auto"/>
        <w:right w:val="none" w:sz="0" w:space="0" w:color="auto"/>
      </w:divBdr>
    </w:div>
    <w:div w:id="1870727428">
      <w:bodyDiv w:val="1"/>
      <w:marLeft w:val="0"/>
      <w:marRight w:val="0"/>
      <w:marTop w:val="0"/>
      <w:marBottom w:val="0"/>
      <w:divBdr>
        <w:top w:val="none" w:sz="0" w:space="0" w:color="auto"/>
        <w:left w:val="none" w:sz="0" w:space="0" w:color="auto"/>
        <w:bottom w:val="none" w:sz="0" w:space="0" w:color="auto"/>
        <w:right w:val="none" w:sz="0" w:space="0" w:color="auto"/>
      </w:divBdr>
    </w:div>
    <w:div w:id="1997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ipra\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802-18-Submission-Portrait.dot</Template>
  <TotalTime>313</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Intel</Company>
  <LinksUpToDate>false</LinksUpToDate>
  <CharactersWithSpaces>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802.18-25/0073</dc:title>
  <dc:subject>Submission</dc:subject>
  <dc:creator>Desai, Prasanna P</dc:creator>
  <cp:keywords>Month Year</cp:keywords>
  <dc:description>Prasanna Desai, Self</dc:description>
  <cp:lastModifiedBy>Desai, Prasanna P</cp:lastModifiedBy>
  <cp:revision>133</cp:revision>
  <cp:lastPrinted>1900-01-01T08:00:00Z</cp:lastPrinted>
  <dcterms:created xsi:type="dcterms:W3CDTF">2025-07-23T01:50:00Z</dcterms:created>
  <dcterms:modified xsi:type="dcterms:W3CDTF">2025-07-23T23:06:00Z</dcterms:modified>
  <cp:category/>
</cp:coreProperties>
</file>