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12E3C9E2" w:rsidR="0003157D" w:rsidRDefault="00AD1551" w:rsidP="00805054">
            <w:pPr>
              <w:pStyle w:val="T2"/>
              <w:widowControl w:val="0"/>
              <w:spacing w:after="120"/>
            </w:pPr>
            <w:r>
              <w:t>26</w:t>
            </w:r>
            <w:r w:rsidR="00C76554">
              <w:t xml:space="preserve"> </w:t>
            </w:r>
            <w:r w:rsidR="00183BA3">
              <w:rPr>
                <w:rFonts w:hint="eastAsia"/>
                <w:lang w:eastAsia="zh-CN"/>
              </w:rPr>
              <w:t>Jun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5B10E61A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B460B0">
              <w:rPr>
                <w:b w:val="0"/>
                <w:sz w:val="20"/>
              </w:rPr>
              <w:t>2</w:t>
            </w:r>
            <w:r w:rsidR="00AD1551">
              <w:rPr>
                <w:b w:val="0"/>
                <w:sz w:val="20"/>
              </w:rPr>
              <w:t>7</w:t>
            </w:r>
            <w:r w:rsidR="00C76554">
              <w:rPr>
                <w:b w:val="0"/>
                <w:sz w:val="20"/>
              </w:rPr>
              <w:t xml:space="preserve"> </w:t>
            </w:r>
            <w:r w:rsidR="00183BA3">
              <w:rPr>
                <w:rFonts w:hint="eastAsia"/>
                <w:b w:val="0"/>
                <w:sz w:val="20"/>
                <w:lang w:eastAsia="zh-CN"/>
              </w:rPr>
              <w:t>Jun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26C4894B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AD1551">
                              <w:rPr>
                                <w:color w:val="000000"/>
                              </w:rPr>
                              <w:t>26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83BA3">
                              <w:rPr>
                                <w:color w:val="000000"/>
                              </w:rPr>
                              <w:t>Jun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26C4894B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AD1551">
                        <w:rPr>
                          <w:color w:val="000000"/>
                        </w:rPr>
                        <w:t>26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183BA3">
                        <w:rPr>
                          <w:color w:val="000000"/>
                        </w:rPr>
                        <w:t>Jun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0099FB38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BB3E90">
          <w:rPr>
            <w:rStyle w:val="af1"/>
            <w:szCs w:val="22"/>
          </w:rPr>
          <w:t>18-2</w:t>
        </w:r>
        <w:r w:rsidR="006C4FFE" w:rsidRPr="00BB3E90">
          <w:rPr>
            <w:rStyle w:val="af1"/>
            <w:szCs w:val="22"/>
          </w:rPr>
          <w:t>5</w:t>
        </w:r>
        <w:r w:rsidR="00891AFE" w:rsidRPr="00BB3E90">
          <w:rPr>
            <w:rStyle w:val="af1"/>
            <w:szCs w:val="22"/>
          </w:rPr>
          <w:t>/</w:t>
        </w:r>
        <w:r w:rsidR="00E018E3" w:rsidRPr="00BB3E90">
          <w:rPr>
            <w:rStyle w:val="af1"/>
            <w:szCs w:val="22"/>
          </w:rPr>
          <w:t>00</w:t>
        </w:r>
        <w:r w:rsidR="00AD1551">
          <w:rPr>
            <w:rStyle w:val="af1"/>
            <w:szCs w:val="22"/>
          </w:rPr>
          <w:t>68</w:t>
        </w:r>
        <w:r w:rsidR="00891AFE" w:rsidRPr="00BB3E90">
          <w:rPr>
            <w:rStyle w:val="af1"/>
            <w:szCs w:val="22"/>
          </w:rPr>
          <w:t>r</w:t>
        </w:r>
      </w:hyperlink>
      <w:r w:rsidR="00057CB1" w:rsidRPr="00BB3E90">
        <w:rPr>
          <w:rStyle w:val="af1"/>
          <w:szCs w:val="22"/>
        </w:rPr>
        <w:t>1</w:t>
      </w:r>
      <w:r w:rsidRPr="00BB3E90">
        <w:rPr>
          <w:szCs w:val="22"/>
        </w:rPr>
        <w:br/>
      </w:r>
    </w:p>
    <w:p w14:paraId="4CD0C897" w14:textId="2B579147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183BA3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245E7D38" w14:textId="77777777" w:rsidR="00183BA3" w:rsidRDefault="00DA3FD2" w:rsidP="002E6CBB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B3E90">
        <w:rPr>
          <w:szCs w:val="22"/>
        </w:rPr>
        <w:t>IEEE 802 required notices</w:t>
      </w:r>
    </w:p>
    <w:p w14:paraId="6580F5F1" w14:textId="63FA3FD9" w:rsidR="0003157D" w:rsidRPr="002E6CBB" w:rsidRDefault="00183BA3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2E6CBB">
        <w:rPr>
          <w:szCs w:val="22"/>
        </w:rPr>
        <w:t>Guidelines for IEEE SA meetings</w:t>
      </w:r>
    </w:p>
    <w:p w14:paraId="1F67FEC3" w14:textId="77777777" w:rsidR="0003157D" w:rsidRPr="00B460B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B460B0">
      <w:pPr>
        <w:numPr>
          <w:ilvl w:val="1"/>
          <w:numId w:val="1"/>
        </w:numPr>
        <w:tabs>
          <w:tab w:val="clear" w:pos="0"/>
          <w:tab w:val="num" w:pos="-360"/>
        </w:tabs>
        <w:ind w:left="357" w:hanging="357"/>
        <w:contextualSpacing/>
        <w:rPr>
          <w:szCs w:val="22"/>
        </w:rPr>
      </w:pPr>
      <w:r w:rsidRPr="00B460B0">
        <w:rPr>
          <w:szCs w:val="22"/>
        </w:rPr>
        <w:t xml:space="preserve">Reminder that </w:t>
      </w:r>
      <w:hyperlink r:id="rId10" w:history="1">
        <w:r w:rsidRPr="00B460B0">
          <w:t>IMAT</w:t>
        </w:r>
      </w:hyperlink>
      <w:r w:rsidRPr="00B460B0">
        <w:rPr>
          <w:szCs w:val="22"/>
        </w:rPr>
        <w:t xml:space="preserve"> is being used for at</w:t>
      </w:r>
      <w:r w:rsidRPr="00BB3E90">
        <w:rPr>
          <w:bCs/>
          <w:szCs w:val="22"/>
        </w:rPr>
        <w:t>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7E4C6030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183BA3" w:rsidRPr="00183BA3">
        <w:t xml:space="preserve"> </w:t>
      </w:r>
      <w:r w:rsidR="00AD1551" w:rsidRPr="003C0865">
        <w:t>Al Petrick</w:t>
      </w:r>
    </w:p>
    <w:p w14:paraId="74EDE845" w14:textId="5F67D824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183BA3" w:rsidRPr="00183BA3">
        <w:t xml:space="preserve"> </w:t>
      </w:r>
      <w:proofErr w:type="spellStart"/>
      <w:r w:rsidR="00AD1551">
        <w:rPr>
          <w:rFonts w:hint="eastAsia"/>
          <w:lang w:eastAsia="zh-CN"/>
        </w:rPr>
        <w:t>Chenhe</w:t>
      </w:r>
      <w:proofErr w:type="spellEnd"/>
      <w:r w:rsidR="00AD1551">
        <w:t xml:space="preserve"> </w:t>
      </w:r>
      <w:r w:rsidR="00AD1551">
        <w:rPr>
          <w:rFonts w:hint="eastAsia"/>
          <w:lang w:eastAsia="zh-CN"/>
        </w:rPr>
        <w:t>Ji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2C0714FD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3C0865" w:rsidRPr="003C0865">
        <w:rPr>
          <w:b/>
          <w:bCs/>
          <w:szCs w:val="22"/>
        </w:rPr>
        <w:t xml:space="preserve">To approve the weekly meeting minutes of the 12 June 2025 RR-TAG call as shown in the document </w:t>
      </w:r>
      <w:hyperlink r:id="rId11" w:history="1">
        <w:r w:rsidR="003C0865" w:rsidRPr="003C0865">
          <w:rPr>
            <w:rStyle w:val="af1"/>
            <w:b/>
            <w:bCs/>
            <w:szCs w:val="22"/>
          </w:rPr>
          <w:t>18-25/006</w:t>
        </w:r>
        <w:r w:rsidR="00AD1551">
          <w:rPr>
            <w:rStyle w:val="af1"/>
            <w:b/>
            <w:bCs/>
            <w:szCs w:val="22"/>
          </w:rPr>
          <w:t>7</w:t>
        </w:r>
        <w:r w:rsidR="003C0865" w:rsidRPr="003C0865">
          <w:rPr>
            <w:rStyle w:val="af1"/>
            <w:b/>
            <w:bCs/>
            <w:szCs w:val="22"/>
          </w:rPr>
          <w:t>r0</w:t>
        </w:r>
      </w:hyperlink>
      <w:r w:rsidR="003C0865" w:rsidRPr="003C0865">
        <w:rPr>
          <w:b/>
          <w:bCs/>
          <w:szCs w:val="22"/>
        </w:rPr>
        <w:t xml:space="preserve"> with editorial privilege for the IEEE 802.18 Chair</w:t>
      </w:r>
      <w:r w:rsidRPr="00812320">
        <w:rPr>
          <w:b/>
          <w:bCs/>
          <w:szCs w:val="22"/>
        </w:rPr>
        <w:t xml:space="preserve">. </w:t>
      </w:r>
    </w:p>
    <w:p w14:paraId="530E0995" w14:textId="625857C8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 </w:t>
      </w:r>
      <w:r w:rsidR="00183BA3" w:rsidRPr="00183BA3">
        <w:t xml:space="preserve"> </w:t>
      </w:r>
      <w:r w:rsidR="00AD1551" w:rsidRPr="003C0865">
        <w:t>Al Petrick</w:t>
      </w:r>
    </w:p>
    <w:p w14:paraId="5C92755D" w14:textId="3EA645A9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183BA3" w:rsidRPr="00183BA3">
        <w:t xml:space="preserve"> </w:t>
      </w:r>
      <w:proofErr w:type="spellStart"/>
      <w:r w:rsidR="00AD1551">
        <w:rPr>
          <w:rFonts w:hint="eastAsia"/>
          <w:lang w:eastAsia="zh-CN"/>
        </w:rPr>
        <w:t>Pelin</w:t>
      </w:r>
      <w:proofErr w:type="spellEnd"/>
      <w:r w:rsidR="00AD1551">
        <w:t xml:space="preserve"> </w:t>
      </w:r>
      <w:r w:rsidR="00AD1551">
        <w:rPr>
          <w:rFonts w:hint="eastAsia"/>
          <w:lang w:eastAsia="zh-CN"/>
        </w:rPr>
        <w:t>Salem</w:t>
      </w:r>
      <w:r w:rsidR="003C0865" w:rsidRPr="003C0865">
        <w:t xml:space="preserve"> 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74119250" w14:textId="4E18D6F0" w:rsidR="00C26282" w:rsidRDefault="00AD1551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AD1551">
        <w:rPr>
          <w:b/>
          <w:bCs/>
          <w:szCs w:val="22"/>
        </w:rPr>
        <w:t>Colombia ANE’s consultation</w:t>
      </w:r>
      <w:r w:rsidR="00183BA3" w:rsidRPr="00183BA3">
        <w:rPr>
          <w:b/>
          <w:bCs/>
          <w:szCs w:val="22"/>
        </w:rPr>
        <w:t xml:space="preserve"> </w:t>
      </w:r>
    </w:p>
    <w:p w14:paraId="78CBB2F5" w14:textId="77777777" w:rsidR="002E6CBB" w:rsidRDefault="002E6CBB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65F36147" w14:textId="0785ED56" w:rsidR="00183BA3" w:rsidRDefault="00E319C2" w:rsidP="00DA3FD2">
      <w:pPr>
        <w:tabs>
          <w:tab w:val="left" w:pos="720"/>
        </w:tabs>
        <w:contextualSpacing/>
        <w:rPr>
          <w:bCs/>
          <w:szCs w:val="22"/>
          <w:lang w:eastAsia="zh-CN"/>
        </w:rPr>
      </w:pPr>
      <w:r>
        <w:rPr>
          <w:rFonts w:hint="eastAsia"/>
          <w:szCs w:val="22"/>
          <w:lang w:eastAsia="zh-CN"/>
        </w:rPr>
        <w:t>Edward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Au</w:t>
      </w:r>
      <w:r w:rsidR="006C2094">
        <w:rPr>
          <w:szCs w:val="22"/>
        </w:rPr>
        <w:t xml:space="preserve"> passes the gavel to </w:t>
      </w:r>
      <w:r w:rsidR="00183BA3" w:rsidRPr="00183BA3">
        <w:rPr>
          <w:szCs w:val="22"/>
        </w:rPr>
        <w:t>Al Petrick</w:t>
      </w:r>
      <w:r w:rsidR="006C2094">
        <w:rPr>
          <w:szCs w:val="22"/>
        </w:rPr>
        <w:t>, co-Vice Chair, to</w:t>
      </w:r>
      <w:r w:rsidR="00183BA3">
        <w:rPr>
          <w:b/>
          <w:bCs/>
          <w:szCs w:val="22"/>
        </w:rPr>
        <w:t xml:space="preserve"> </w:t>
      </w:r>
      <w:r w:rsidR="00183BA3" w:rsidRPr="002E6CBB">
        <w:rPr>
          <w:bCs/>
          <w:szCs w:val="22"/>
        </w:rPr>
        <w:t>chair the meeting</w:t>
      </w:r>
      <w:r w:rsidR="00183BA3">
        <w:rPr>
          <w:rFonts w:hint="eastAsia"/>
          <w:bCs/>
          <w:szCs w:val="22"/>
          <w:lang w:eastAsia="zh-CN"/>
        </w:rPr>
        <w:t>.</w:t>
      </w:r>
    </w:p>
    <w:p w14:paraId="66F1F902" w14:textId="77777777" w:rsidR="00183BA3" w:rsidRPr="00BB3E90" w:rsidRDefault="00183BA3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1BDDCFA6" w:rsidR="008C03A0" w:rsidRPr="00E9533E" w:rsidRDefault="00AD1551" w:rsidP="002964D5">
      <w:pPr>
        <w:contextualSpacing/>
        <w:jc w:val="both"/>
        <w:rPr>
          <w:szCs w:val="22"/>
        </w:rPr>
      </w:pPr>
      <w:bookmarkStart w:id="1" w:name="_Hlk201283940"/>
      <w:r>
        <w:rPr>
          <w:rFonts w:hint="eastAsia"/>
          <w:szCs w:val="22"/>
          <w:lang w:eastAsia="zh-CN"/>
        </w:rPr>
        <w:t>Edward</w:t>
      </w:r>
      <w:r>
        <w:rPr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Au</w:t>
      </w:r>
      <w:r w:rsidR="008C03A0" w:rsidRPr="00BB3E90">
        <w:rPr>
          <w:szCs w:val="22"/>
        </w:rPr>
        <w:t xml:space="preserve"> </w:t>
      </w:r>
      <w:r w:rsidR="00FA1314" w:rsidRPr="00BB3E90">
        <w:rPr>
          <w:szCs w:val="22"/>
        </w:rPr>
        <w:t xml:space="preserve">presents </w:t>
      </w:r>
      <w:hyperlink r:id="rId12" w:history="1">
        <w:r w:rsidR="008C03A0" w:rsidRPr="00BB3E90">
          <w:rPr>
            <w:rStyle w:val="af1"/>
            <w:szCs w:val="22"/>
          </w:rPr>
          <w:t>18-2</w:t>
        </w:r>
        <w:r w:rsidR="009D5648" w:rsidRPr="00BB3E90">
          <w:rPr>
            <w:rStyle w:val="af1"/>
            <w:szCs w:val="22"/>
          </w:rPr>
          <w:t>5</w:t>
        </w:r>
        <w:r w:rsidR="008C03A0" w:rsidRPr="00BB3E90">
          <w:rPr>
            <w:rStyle w:val="af1"/>
            <w:szCs w:val="22"/>
          </w:rPr>
          <w:t>/00</w:t>
        </w:r>
        <w:r w:rsidR="00511D1A">
          <w:rPr>
            <w:rStyle w:val="af1"/>
            <w:szCs w:val="22"/>
          </w:rPr>
          <w:t>6</w:t>
        </w:r>
        <w:r>
          <w:rPr>
            <w:rStyle w:val="af1"/>
            <w:szCs w:val="22"/>
          </w:rPr>
          <w:t>6</w:t>
        </w:r>
        <w:r w:rsidR="008C03A0" w:rsidRPr="00BB3E90">
          <w:rPr>
            <w:rStyle w:val="af1"/>
            <w:szCs w:val="22"/>
          </w:rPr>
          <w:t>r</w:t>
        </w:r>
      </w:hyperlink>
      <w:r>
        <w:rPr>
          <w:rStyle w:val="af1"/>
          <w:szCs w:val="22"/>
        </w:rPr>
        <w:t>3</w:t>
      </w:r>
      <w:r w:rsidR="008C03A0" w:rsidRPr="00E9533E">
        <w:rPr>
          <w:szCs w:val="22"/>
        </w:rPr>
        <w:t xml:space="preserve"> IEEE 802 draft </w:t>
      </w:r>
      <w:r w:rsidR="009D5648" w:rsidRPr="00E9533E">
        <w:rPr>
          <w:szCs w:val="22"/>
        </w:rPr>
        <w:t xml:space="preserve">response to the </w:t>
      </w:r>
      <w:r>
        <w:rPr>
          <w:rFonts w:hint="eastAsia"/>
          <w:szCs w:val="22"/>
          <w:lang w:eastAsia="zh-CN"/>
        </w:rPr>
        <w:t>Colombia</w:t>
      </w:r>
      <w:r w:rsidR="00303800" w:rsidRPr="00303800"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>ANE</w:t>
      </w:r>
      <w:r w:rsidR="00303800" w:rsidRPr="00303800">
        <w:rPr>
          <w:szCs w:val="22"/>
        </w:rPr>
        <w:t>’s consultation</w:t>
      </w:r>
      <w:r w:rsidR="009D5648" w:rsidRPr="00E9533E">
        <w:rPr>
          <w:szCs w:val="22"/>
        </w:rPr>
        <w:t xml:space="preserve"> “</w:t>
      </w:r>
      <w:r w:rsidRPr="00AD1551">
        <w:rPr>
          <w:b/>
          <w:bCs/>
          <w:szCs w:val="22"/>
          <w:lang w:eastAsia="zh-CN"/>
        </w:rPr>
        <w:t>Draft response to Colombia ANE's consultation re the 900 MHz frequency band</w:t>
      </w:r>
      <w:r w:rsidR="009D5648" w:rsidRPr="00E9533E">
        <w:rPr>
          <w:szCs w:val="22"/>
        </w:rPr>
        <w:t>”</w:t>
      </w:r>
      <w:r w:rsidR="008C03A0" w:rsidRPr="00E9533E">
        <w:rPr>
          <w:szCs w:val="22"/>
        </w:rPr>
        <w:t>.</w:t>
      </w:r>
      <w:bookmarkEnd w:id="1"/>
      <w:r w:rsidR="008C03A0" w:rsidRPr="00E9533E">
        <w:rPr>
          <w:szCs w:val="22"/>
        </w:rPr>
        <w:t xml:space="preserve">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1CEC5972" w:rsidR="00F24499" w:rsidRDefault="00F24499" w:rsidP="002964D5">
      <w:pPr>
        <w:contextualSpacing/>
        <w:jc w:val="both"/>
        <w:rPr>
          <w:szCs w:val="22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8F7772" w:rsidRPr="008F7772">
        <w:rPr>
          <w:szCs w:val="22"/>
        </w:rPr>
        <w:t xml:space="preserve"> </w:t>
      </w:r>
      <w:r w:rsidR="0072167E">
        <w:rPr>
          <w:rFonts w:hint="eastAsia"/>
          <w:szCs w:val="22"/>
          <w:lang w:eastAsia="zh-CN"/>
        </w:rPr>
        <w:t>None</w:t>
      </w:r>
      <w:r w:rsidR="002E6B30">
        <w:rPr>
          <w:szCs w:val="22"/>
        </w:rPr>
        <w:t>.</w:t>
      </w:r>
    </w:p>
    <w:p w14:paraId="6E1DCCBA" w14:textId="03C4F7F7" w:rsidR="00B33AA8" w:rsidRDefault="00B33AA8" w:rsidP="002964D5">
      <w:pPr>
        <w:contextualSpacing/>
        <w:jc w:val="both"/>
        <w:rPr>
          <w:szCs w:val="22"/>
          <w:lang w:eastAsia="zh-CN"/>
        </w:rPr>
      </w:pPr>
    </w:p>
    <w:p w14:paraId="6BCD5562" w14:textId="77777777" w:rsidR="008F71AD" w:rsidRDefault="008F71AD" w:rsidP="008F71AD">
      <w:pPr>
        <w:contextualSpacing/>
        <w:jc w:val="both"/>
        <w:rPr>
          <w:szCs w:val="22"/>
        </w:rPr>
      </w:pPr>
      <w:r w:rsidRPr="00880488">
        <w:rPr>
          <w:szCs w:val="22"/>
        </w:rPr>
        <w:t xml:space="preserve">Chair informs the group, Direct Vote Live (DVL) will be used to record all technical motions. </w:t>
      </w:r>
      <w:r>
        <w:rPr>
          <w:szCs w:val="22"/>
        </w:rPr>
        <w:t xml:space="preserve">He </w:t>
      </w:r>
      <w:r w:rsidRPr="00880488">
        <w:rPr>
          <w:szCs w:val="22"/>
        </w:rPr>
        <w:t>moderates DVL.</w:t>
      </w:r>
    </w:p>
    <w:p w14:paraId="376654BB" w14:textId="77777777" w:rsidR="008F71AD" w:rsidRDefault="008F71AD" w:rsidP="002964D5">
      <w:pPr>
        <w:contextualSpacing/>
        <w:jc w:val="both"/>
        <w:rPr>
          <w:szCs w:val="22"/>
          <w:lang w:eastAsia="zh-CN"/>
        </w:rPr>
      </w:pPr>
    </w:p>
    <w:p w14:paraId="36F9B53B" w14:textId="00348B4D" w:rsidR="00D26CCC" w:rsidRPr="00AD1551" w:rsidRDefault="00775C9F" w:rsidP="00AD1551">
      <w:pPr>
        <w:numPr>
          <w:ilvl w:val="0"/>
          <w:numId w:val="31"/>
        </w:numPr>
        <w:contextualSpacing/>
        <w:jc w:val="both"/>
        <w:rPr>
          <w:b/>
          <w:bCs/>
          <w:szCs w:val="22"/>
          <w:lang w:eastAsia="zh-CN"/>
        </w:rPr>
      </w:pPr>
      <w:r w:rsidRPr="00AD1551">
        <w:rPr>
          <w:b/>
          <w:bCs/>
          <w:szCs w:val="22"/>
          <w:lang w:eastAsia="zh-CN"/>
        </w:rPr>
        <w:t xml:space="preserve">Motion #3 (Technical):  Move to approve document </w:t>
      </w:r>
      <w:hyperlink r:id="rId13" w:history="1">
        <w:r w:rsidRPr="00AD1551">
          <w:rPr>
            <w:rStyle w:val="af1"/>
            <w:b/>
            <w:bCs/>
            <w:szCs w:val="22"/>
            <w:lang w:val="en-GB" w:eastAsia="zh-CN"/>
          </w:rPr>
          <w:t>18-25/0066r</w:t>
        </w:r>
        <w:r w:rsidR="00FC0049">
          <w:rPr>
            <w:rStyle w:val="af1"/>
            <w:b/>
            <w:bCs/>
            <w:szCs w:val="22"/>
            <w:lang w:val="en-GB" w:eastAsia="zh-CN"/>
          </w:rPr>
          <w:t>4</w:t>
        </w:r>
      </w:hyperlink>
      <w:r w:rsidRPr="00AD1551">
        <w:rPr>
          <w:b/>
          <w:bCs/>
          <w:szCs w:val="22"/>
          <w:lang w:val="en-GB" w:eastAsia="zh-CN"/>
        </w:rPr>
        <w:t xml:space="preserve"> </w:t>
      </w:r>
      <w:r w:rsidRPr="00AD1551">
        <w:rPr>
          <w:b/>
          <w:bCs/>
          <w:szCs w:val="22"/>
          <w:lang w:eastAsia="zh-CN"/>
        </w:rPr>
        <w:t xml:space="preserve">in response to the </w:t>
      </w:r>
      <w:proofErr w:type="spellStart"/>
      <w:r w:rsidRPr="00AD1551">
        <w:rPr>
          <w:b/>
          <w:bCs/>
          <w:szCs w:val="22"/>
          <w:lang w:val="en-CA" w:eastAsia="zh-CN"/>
        </w:rPr>
        <w:t>Agencia</w:t>
      </w:r>
      <w:proofErr w:type="spellEnd"/>
      <w:r w:rsidRPr="00AD1551">
        <w:rPr>
          <w:b/>
          <w:bCs/>
          <w:szCs w:val="22"/>
          <w:lang w:val="en-CA" w:eastAsia="zh-CN"/>
        </w:rPr>
        <w:t xml:space="preserve"> Nacional del </w:t>
      </w:r>
      <w:proofErr w:type="spellStart"/>
      <w:r w:rsidRPr="00AD1551">
        <w:rPr>
          <w:b/>
          <w:bCs/>
          <w:szCs w:val="22"/>
          <w:lang w:val="en-CA" w:eastAsia="zh-CN"/>
        </w:rPr>
        <w:t>Espectro</w:t>
      </w:r>
      <w:proofErr w:type="spellEnd"/>
      <w:r w:rsidRPr="00AD1551">
        <w:rPr>
          <w:b/>
          <w:bCs/>
          <w:szCs w:val="22"/>
          <w:lang w:val="en-CA" w:eastAsia="zh-CN"/>
        </w:rPr>
        <w:t xml:space="preserve"> (ANE)</w:t>
      </w:r>
      <w:r w:rsidRPr="00AD1551">
        <w:rPr>
          <w:b/>
          <w:bCs/>
          <w:szCs w:val="22"/>
          <w:lang w:eastAsia="zh-CN"/>
        </w:rPr>
        <w:t xml:space="preserve">’s consultation “Proposal for flexibility of the 900 MHz band”, for review and approval by the IEEE 802 LMSC for submission </w:t>
      </w:r>
      <w:r w:rsidRPr="00AD1551">
        <w:rPr>
          <w:b/>
          <w:bCs/>
          <w:szCs w:val="22"/>
          <w:lang w:val="en-GB" w:eastAsia="zh-CN"/>
        </w:rPr>
        <w:t>to the ANE before the contribution deadline.  The IEEE 802.18 Chair is authorized to make editorial changes as necessary.</w:t>
      </w:r>
    </w:p>
    <w:p w14:paraId="24AA58CD" w14:textId="18BB8386" w:rsidR="00D26CCC" w:rsidRPr="00AD1551" w:rsidRDefault="00775C9F" w:rsidP="00AD1551">
      <w:pPr>
        <w:numPr>
          <w:ilvl w:val="1"/>
          <w:numId w:val="31"/>
        </w:numPr>
        <w:contextualSpacing/>
        <w:jc w:val="both"/>
        <w:rPr>
          <w:b/>
          <w:bCs/>
          <w:szCs w:val="22"/>
          <w:lang w:eastAsia="zh-CN"/>
        </w:rPr>
      </w:pPr>
      <w:r w:rsidRPr="00AD1551">
        <w:rPr>
          <w:b/>
          <w:bCs/>
          <w:szCs w:val="22"/>
          <w:lang w:eastAsia="zh-CN"/>
        </w:rPr>
        <w:t>Moved:</w:t>
      </w:r>
      <w:r w:rsidR="00FC0049">
        <w:rPr>
          <w:b/>
          <w:bCs/>
          <w:szCs w:val="22"/>
          <w:lang w:eastAsia="zh-CN"/>
        </w:rPr>
        <w:t xml:space="preserve"> </w:t>
      </w:r>
      <w:r w:rsidR="00FC0049" w:rsidRPr="00FC0049">
        <w:rPr>
          <w:b/>
          <w:bCs/>
          <w:szCs w:val="22"/>
          <w:lang w:eastAsia="zh-CN"/>
        </w:rPr>
        <w:t xml:space="preserve">Vijay </w:t>
      </w:r>
      <w:proofErr w:type="spellStart"/>
      <w:r w:rsidR="00FC0049" w:rsidRPr="00FC0049">
        <w:rPr>
          <w:b/>
          <w:bCs/>
          <w:szCs w:val="22"/>
          <w:lang w:eastAsia="zh-CN"/>
        </w:rPr>
        <w:t>Auluck</w:t>
      </w:r>
      <w:proofErr w:type="spellEnd"/>
    </w:p>
    <w:p w14:paraId="361D6513" w14:textId="1982599E" w:rsidR="00D26CCC" w:rsidRPr="00AD1551" w:rsidRDefault="00775C9F" w:rsidP="00AD1551">
      <w:pPr>
        <w:numPr>
          <w:ilvl w:val="1"/>
          <w:numId w:val="31"/>
        </w:numPr>
        <w:contextualSpacing/>
        <w:jc w:val="both"/>
        <w:rPr>
          <w:b/>
          <w:bCs/>
          <w:szCs w:val="22"/>
          <w:lang w:eastAsia="zh-CN"/>
        </w:rPr>
      </w:pPr>
      <w:r w:rsidRPr="00AD1551">
        <w:rPr>
          <w:b/>
          <w:bCs/>
          <w:szCs w:val="22"/>
          <w:lang w:eastAsia="zh-CN"/>
        </w:rPr>
        <w:lastRenderedPageBreak/>
        <w:t>Seconded:</w:t>
      </w:r>
      <w:r w:rsidR="00FC0049">
        <w:rPr>
          <w:b/>
          <w:bCs/>
          <w:szCs w:val="22"/>
          <w:lang w:eastAsia="zh-CN"/>
        </w:rPr>
        <w:t xml:space="preserve"> </w:t>
      </w:r>
      <w:r w:rsidR="00FC0049" w:rsidRPr="00FC0049">
        <w:rPr>
          <w:b/>
          <w:bCs/>
          <w:szCs w:val="22"/>
          <w:lang w:eastAsia="zh-CN"/>
        </w:rPr>
        <w:t>Benjamin Rolfe</w:t>
      </w:r>
    </w:p>
    <w:p w14:paraId="20BB5103" w14:textId="53EB7AAC" w:rsidR="00D26CCC" w:rsidRPr="00AD1551" w:rsidRDefault="00775C9F" w:rsidP="00AD1551">
      <w:pPr>
        <w:numPr>
          <w:ilvl w:val="1"/>
          <w:numId w:val="31"/>
        </w:numPr>
        <w:contextualSpacing/>
        <w:jc w:val="both"/>
        <w:rPr>
          <w:b/>
          <w:bCs/>
          <w:szCs w:val="22"/>
          <w:lang w:eastAsia="zh-CN"/>
        </w:rPr>
      </w:pPr>
      <w:r w:rsidRPr="00AD1551">
        <w:rPr>
          <w:b/>
          <w:bCs/>
          <w:szCs w:val="22"/>
          <w:lang w:eastAsia="zh-CN"/>
        </w:rPr>
        <w:t>Discussion:</w:t>
      </w:r>
      <w:r w:rsidR="00FC0049">
        <w:rPr>
          <w:b/>
          <w:bCs/>
          <w:szCs w:val="22"/>
          <w:lang w:eastAsia="zh-CN"/>
        </w:rPr>
        <w:t xml:space="preserve"> </w:t>
      </w:r>
      <w:r w:rsidR="00FC0049">
        <w:rPr>
          <w:rFonts w:hint="eastAsia"/>
          <w:b/>
          <w:bCs/>
          <w:szCs w:val="22"/>
          <w:lang w:eastAsia="zh-CN"/>
        </w:rPr>
        <w:t>None</w:t>
      </w:r>
      <w:r w:rsidR="00FC0049">
        <w:rPr>
          <w:rFonts w:hint="eastAsia"/>
          <w:b/>
          <w:bCs/>
          <w:szCs w:val="22"/>
          <w:lang w:eastAsia="zh-CN"/>
        </w:rPr>
        <w:t>。</w:t>
      </w:r>
    </w:p>
    <w:p w14:paraId="4D1FA207" w14:textId="6D3B3E50" w:rsidR="00D26CCC" w:rsidRPr="00AD1551" w:rsidRDefault="00775C9F" w:rsidP="00AD1551">
      <w:pPr>
        <w:numPr>
          <w:ilvl w:val="1"/>
          <w:numId w:val="31"/>
        </w:numPr>
        <w:contextualSpacing/>
        <w:jc w:val="both"/>
        <w:rPr>
          <w:b/>
          <w:bCs/>
          <w:szCs w:val="22"/>
          <w:lang w:eastAsia="zh-CN"/>
        </w:rPr>
      </w:pPr>
      <w:r w:rsidRPr="00AD1551">
        <w:rPr>
          <w:b/>
          <w:bCs/>
          <w:szCs w:val="22"/>
          <w:lang w:eastAsia="zh-CN"/>
        </w:rPr>
        <w:t>Result:</w:t>
      </w:r>
      <w:r w:rsidR="00FC0049">
        <w:rPr>
          <w:b/>
          <w:bCs/>
          <w:szCs w:val="22"/>
          <w:lang w:eastAsia="zh-CN"/>
        </w:rPr>
        <w:t xml:space="preserve"> </w:t>
      </w:r>
      <w:r w:rsidR="00FC0049">
        <w:rPr>
          <w:rFonts w:hint="eastAsia"/>
          <w:b/>
          <w:bCs/>
          <w:szCs w:val="22"/>
          <w:lang w:eastAsia="zh-CN"/>
        </w:rPr>
        <w:t>Approved</w:t>
      </w:r>
      <w:r w:rsidR="00FC0049">
        <w:rPr>
          <w:b/>
          <w:bCs/>
          <w:szCs w:val="22"/>
          <w:lang w:eastAsia="zh-CN"/>
        </w:rPr>
        <w:t xml:space="preserve"> </w:t>
      </w:r>
      <w:r w:rsidR="00FC0049">
        <w:rPr>
          <w:rFonts w:hint="eastAsia"/>
          <w:b/>
          <w:bCs/>
          <w:szCs w:val="22"/>
          <w:lang w:eastAsia="zh-CN"/>
        </w:rPr>
        <w:t>(</w:t>
      </w:r>
      <w:r w:rsidR="00FC0049">
        <w:rPr>
          <w:b/>
          <w:bCs/>
          <w:szCs w:val="22"/>
          <w:lang w:eastAsia="zh-CN"/>
        </w:rPr>
        <w:t>10</w:t>
      </w:r>
      <w:r w:rsidR="001F1D35">
        <w:rPr>
          <w:b/>
          <w:bCs/>
          <w:szCs w:val="22"/>
          <w:lang w:eastAsia="zh-CN"/>
        </w:rPr>
        <w:t xml:space="preserve"> </w:t>
      </w:r>
      <w:r w:rsidR="00FC0049">
        <w:rPr>
          <w:b/>
          <w:bCs/>
          <w:szCs w:val="22"/>
          <w:lang w:eastAsia="zh-CN"/>
        </w:rPr>
        <w:t>Yes, 0</w:t>
      </w:r>
      <w:r w:rsidR="001F1D35">
        <w:rPr>
          <w:b/>
          <w:bCs/>
          <w:szCs w:val="22"/>
          <w:lang w:eastAsia="zh-CN"/>
        </w:rPr>
        <w:t xml:space="preserve"> No</w:t>
      </w:r>
      <w:r w:rsidR="00FC0049">
        <w:rPr>
          <w:b/>
          <w:bCs/>
          <w:szCs w:val="22"/>
          <w:lang w:eastAsia="zh-CN"/>
        </w:rPr>
        <w:t xml:space="preserve"> 2</w:t>
      </w:r>
      <w:r w:rsidR="001F1D35">
        <w:rPr>
          <w:b/>
          <w:bCs/>
          <w:szCs w:val="22"/>
          <w:lang w:eastAsia="zh-CN"/>
        </w:rPr>
        <w:t xml:space="preserve"> Abs)</w:t>
      </w:r>
    </w:p>
    <w:p w14:paraId="5197BA63" w14:textId="77777777" w:rsidR="00D26CCC" w:rsidRPr="00AD1551" w:rsidRDefault="00775C9F" w:rsidP="00AD1551">
      <w:pPr>
        <w:numPr>
          <w:ilvl w:val="1"/>
          <w:numId w:val="31"/>
        </w:numPr>
        <w:contextualSpacing/>
        <w:jc w:val="both"/>
        <w:rPr>
          <w:b/>
          <w:bCs/>
          <w:szCs w:val="22"/>
          <w:lang w:eastAsia="zh-CN"/>
        </w:rPr>
      </w:pPr>
      <w:r w:rsidRPr="00AD1551">
        <w:rPr>
          <w:b/>
          <w:bCs/>
          <w:szCs w:val="22"/>
          <w:lang w:eastAsia="zh-CN"/>
        </w:rPr>
        <w:t>NOTE:  The Chair did not vote.</w:t>
      </w:r>
    </w:p>
    <w:p w14:paraId="0AE86E3D" w14:textId="4E7B8F47" w:rsidR="00C01000" w:rsidRPr="00AD1551" w:rsidRDefault="00C01000" w:rsidP="002964D5">
      <w:pPr>
        <w:contextualSpacing/>
        <w:jc w:val="both"/>
        <w:rPr>
          <w:szCs w:val="22"/>
          <w:lang w:eastAsia="zh-CN"/>
        </w:rPr>
      </w:pPr>
    </w:p>
    <w:p w14:paraId="45022A99" w14:textId="77777777" w:rsidR="00781771" w:rsidRDefault="00781771" w:rsidP="00781771">
      <w:pPr>
        <w:contextualSpacing/>
        <w:jc w:val="both"/>
        <w:rPr>
          <w:szCs w:val="22"/>
          <w:lang w:eastAsia="zh-CN"/>
        </w:rPr>
      </w:pPr>
      <w:r>
        <w:rPr>
          <w:szCs w:val="22"/>
        </w:rPr>
        <w:t xml:space="preserve">Al Petrick, co-Vice Chair, passes the gavel back to </w:t>
      </w:r>
      <w:r>
        <w:rPr>
          <w:rFonts w:hint="eastAsia"/>
          <w:szCs w:val="22"/>
          <w:lang w:eastAsia="zh-CN"/>
        </w:rPr>
        <w:t>Edward</w:t>
      </w:r>
      <w:r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>Au</w:t>
      </w:r>
      <w:r>
        <w:rPr>
          <w:szCs w:val="22"/>
          <w:lang w:eastAsia="zh-CN"/>
        </w:rPr>
        <w:t>, to chair the meeting.</w:t>
      </w:r>
    </w:p>
    <w:p w14:paraId="41FA93BA" w14:textId="09D9B66F" w:rsidR="00781771" w:rsidRDefault="00781771" w:rsidP="002964D5">
      <w:pPr>
        <w:contextualSpacing/>
        <w:jc w:val="both"/>
        <w:rPr>
          <w:szCs w:val="22"/>
          <w:lang w:eastAsia="zh-CN"/>
        </w:rPr>
      </w:pPr>
    </w:p>
    <w:p w14:paraId="09AEB5AA" w14:textId="37C46275" w:rsidR="00496458" w:rsidRDefault="00496458" w:rsidP="00B21D30">
      <w:pPr>
        <w:contextualSpacing/>
        <w:jc w:val="both"/>
        <w:rPr>
          <w:b/>
          <w:bCs/>
          <w:szCs w:val="22"/>
        </w:rPr>
      </w:pPr>
      <w:r w:rsidRPr="00496458">
        <w:rPr>
          <w:b/>
          <w:bCs/>
          <w:szCs w:val="22"/>
        </w:rPr>
        <w:t>Status of ongoing consultations</w:t>
      </w:r>
    </w:p>
    <w:p w14:paraId="0401E99D" w14:textId="586BEDF9" w:rsidR="00496458" w:rsidRDefault="00496458" w:rsidP="00B21D30">
      <w:pPr>
        <w:contextualSpacing/>
        <w:jc w:val="both"/>
        <w:rPr>
          <w:b/>
          <w:bCs/>
          <w:szCs w:val="22"/>
        </w:rPr>
      </w:pPr>
    </w:p>
    <w:p w14:paraId="3BCDB21D" w14:textId="603C981C" w:rsidR="00496458" w:rsidRPr="00BB3E90" w:rsidRDefault="00496458" w:rsidP="00496458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4" w:history="1">
        <w:r>
          <w:rPr>
            <w:rStyle w:val="af1"/>
            <w:b/>
            <w:szCs w:val="22"/>
          </w:rPr>
          <w:t>18-24/0001r44</w:t>
        </w:r>
      </w:hyperlink>
      <w:r w:rsidRPr="00BB3E90">
        <w:rPr>
          <w:szCs w:val="22"/>
        </w:rPr>
        <w:t>.</w:t>
      </w:r>
    </w:p>
    <w:p w14:paraId="5D36E703" w14:textId="77777777" w:rsidR="00496458" w:rsidRPr="00BB3E90" w:rsidRDefault="00496458" w:rsidP="00496458">
      <w:pPr>
        <w:contextualSpacing/>
        <w:jc w:val="both"/>
        <w:rPr>
          <w:szCs w:val="22"/>
        </w:rPr>
      </w:pPr>
    </w:p>
    <w:p w14:paraId="1E494E2F" w14:textId="77777777" w:rsidR="00496458" w:rsidRDefault="00496458" w:rsidP="00496458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Chair presents the status of ongoing consultations and upcoming deadlines to the group and reminds the group on the deadline of the outstanding consultations. </w:t>
      </w:r>
    </w:p>
    <w:p w14:paraId="14E8A34E" w14:textId="77777777" w:rsidR="00496458" w:rsidRPr="00496458" w:rsidRDefault="00496458" w:rsidP="00B21D30">
      <w:pPr>
        <w:contextualSpacing/>
        <w:jc w:val="both"/>
        <w:rPr>
          <w:b/>
          <w:bCs/>
          <w:szCs w:val="22"/>
          <w:lang w:eastAsia="zh-CN"/>
        </w:rPr>
      </w:pPr>
    </w:p>
    <w:p w14:paraId="4D59034D" w14:textId="5B7A9B8F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33017EE5" w14:textId="77777777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</w:p>
    <w:p w14:paraId="31E0B797" w14:textId="78B78A27" w:rsidR="00446042" w:rsidRDefault="00582EFE" w:rsidP="00B21D30">
      <w:pPr>
        <w:contextualSpacing/>
        <w:jc w:val="both"/>
        <w:rPr>
          <w:szCs w:val="22"/>
        </w:rPr>
      </w:pPr>
      <w:r w:rsidRPr="00582EFE">
        <w:rPr>
          <w:szCs w:val="22"/>
        </w:rPr>
        <w:t>Chair reviews a few general discussion items (slide #14).</w:t>
      </w:r>
    </w:p>
    <w:p w14:paraId="343C00AA" w14:textId="77777777" w:rsidR="00582EFE" w:rsidRPr="00BB3E90" w:rsidRDefault="00582EFE" w:rsidP="00B21D30">
      <w:pPr>
        <w:contextualSpacing/>
        <w:jc w:val="both"/>
        <w:rPr>
          <w:szCs w:val="22"/>
        </w:rPr>
      </w:pPr>
    </w:p>
    <w:p w14:paraId="6D10C58D" w14:textId="26229B2A" w:rsidR="00B21D30" w:rsidRPr="00D320A7" w:rsidRDefault="00B21D30" w:rsidP="00B21D30">
      <w:pPr>
        <w:contextualSpacing/>
        <w:jc w:val="both"/>
        <w:rPr>
          <w:szCs w:val="22"/>
        </w:rPr>
      </w:pPr>
      <w:r w:rsidRPr="00D320A7">
        <w:rPr>
          <w:szCs w:val="22"/>
        </w:rPr>
        <w:t xml:space="preserve">Chair reminds the group about the date of the next teleconference call, which is </w:t>
      </w:r>
      <w:r w:rsidR="00582EFE">
        <w:rPr>
          <w:szCs w:val="22"/>
        </w:rPr>
        <w:t>10</w:t>
      </w:r>
      <w:r w:rsidRPr="00D320A7">
        <w:rPr>
          <w:szCs w:val="22"/>
        </w:rPr>
        <w:t xml:space="preserve"> </w:t>
      </w:r>
      <w:r w:rsidR="001B6840">
        <w:rPr>
          <w:szCs w:val="22"/>
        </w:rPr>
        <w:t>J</w:t>
      </w:r>
      <w:r w:rsidR="00582EFE">
        <w:rPr>
          <w:szCs w:val="22"/>
        </w:rPr>
        <w:t>uly</w:t>
      </w:r>
      <w:r w:rsidRPr="00D320A7">
        <w:rPr>
          <w:szCs w:val="22"/>
        </w:rPr>
        <w:t xml:space="preserve"> 2025</w:t>
      </w:r>
      <w:r w:rsidR="00E40D7B">
        <w:rPr>
          <w:szCs w:val="22"/>
        </w:rPr>
        <w:t>,</w:t>
      </w:r>
      <w:r w:rsidR="00E40D7B" w:rsidRPr="00D320A7">
        <w:rPr>
          <w:szCs w:val="22"/>
        </w:rPr>
        <w:t xml:space="preserve"> </w:t>
      </w:r>
      <w:r w:rsidR="00E40D7B">
        <w:rPr>
          <w:szCs w:val="22"/>
        </w:rPr>
        <w:t>a</w:t>
      </w:r>
      <w:r w:rsidR="00E40D7B" w:rsidRPr="00D320A7">
        <w:rPr>
          <w:szCs w:val="22"/>
        </w:rPr>
        <w:t xml:space="preserve">nd </w:t>
      </w:r>
      <w:r w:rsidR="00FA51D1" w:rsidRPr="00842DD9">
        <w:rPr>
          <w:szCs w:val="22"/>
        </w:rPr>
        <w:t xml:space="preserve">the </w:t>
      </w:r>
      <w:r w:rsidR="001B6840">
        <w:rPr>
          <w:szCs w:val="22"/>
        </w:rPr>
        <w:t xml:space="preserve">standard </w:t>
      </w:r>
      <w:r w:rsidR="00FA51D1" w:rsidRPr="00842DD9">
        <w:rPr>
          <w:szCs w:val="22"/>
        </w:rPr>
        <w:t xml:space="preserve">registration and accommodation deadline of the </w:t>
      </w:r>
      <w:r w:rsidR="001B6840">
        <w:rPr>
          <w:szCs w:val="22"/>
        </w:rPr>
        <w:t>July</w:t>
      </w:r>
      <w:r w:rsidR="00FA51D1" w:rsidRPr="00842DD9">
        <w:rPr>
          <w:szCs w:val="22"/>
        </w:rPr>
        <w:t xml:space="preserve"> 2025 </w:t>
      </w:r>
      <w:r w:rsidR="001B6840">
        <w:rPr>
          <w:szCs w:val="22"/>
        </w:rPr>
        <w:t>Plenary</w:t>
      </w:r>
      <w:r w:rsidR="00FA51D1" w:rsidRPr="00842DD9">
        <w:rPr>
          <w:szCs w:val="22"/>
        </w:rPr>
        <w:t xml:space="preserve"> is </w:t>
      </w:r>
      <w:r w:rsidR="001B6840">
        <w:rPr>
          <w:szCs w:val="22"/>
        </w:rPr>
        <w:t>27</w:t>
      </w:r>
      <w:r w:rsidR="00FA51D1" w:rsidRPr="00842DD9">
        <w:rPr>
          <w:szCs w:val="22"/>
        </w:rPr>
        <w:t xml:space="preserve"> </w:t>
      </w:r>
      <w:r w:rsidR="001B6840">
        <w:rPr>
          <w:szCs w:val="22"/>
        </w:rPr>
        <w:t>June.</w:t>
      </w:r>
      <w:r w:rsidR="00FE27CF">
        <w:rPr>
          <w:szCs w:val="22"/>
        </w:rPr>
        <w:t xml:space="preserve"> 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14B2AC40" w:rsidR="00DD011A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</w:t>
      </w:r>
    </w:p>
    <w:p w14:paraId="75C3FB1A" w14:textId="7A84F912" w:rsidR="00B97D8E" w:rsidRDefault="00B97D8E" w:rsidP="00DD011A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3511021E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E9533E">
        <w:rPr>
          <w:szCs w:val="22"/>
        </w:rPr>
        <w:t>3:</w:t>
      </w:r>
      <w:r w:rsidR="00582EFE">
        <w:rPr>
          <w:szCs w:val="22"/>
        </w:rPr>
        <w:t xml:space="preserve">40 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2E6B30" w:rsidRPr="00D63B59" w14:paraId="10B87E5D" w14:textId="77777777" w:rsidTr="00445927">
        <w:trPr>
          <w:trHeight w:val="246"/>
        </w:trPr>
        <w:tc>
          <w:tcPr>
            <w:tcW w:w="3047" w:type="dxa"/>
          </w:tcPr>
          <w:p w14:paraId="2280B31A" w14:textId="68898A53" w:rsidR="002E6B30" w:rsidRPr="00496458" w:rsidRDefault="002E6B30" w:rsidP="009A6269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E</w:t>
            </w:r>
            <w:r w:rsidRPr="00496458">
              <w:rPr>
                <w:bCs/>
                <w:sz w:val="20"/>
                <w:lang w:eastAsia="zh-CN"/>
              </w:rPr>
              <w:t>dward Au</w:t>
            </w:r>
          </w:p>
        </w:tc>
        <w:tc>
          <w:tcPr>
            <w:tcW w:w="4284" w:type="dxa"/>
          </w:tcPr>
          <w:p w14:paraId="3E63AB89" w14:textId="2887AAA8" w:rsidR="002E6B30" w:rsidRPr="002E6B30" w:rsidRDefault="002E6B30" w:rsidP="00E35FE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H</w:t>
            </w:r>
            <w:r>
              <w:rPr>
                <w:bCs/>
                <w:sz w:val="20"/>
                <w:lang w:eastAsia="zh-CN"/>
              </w:rPr>
              <w:t>uawei</w:t>
            </w:r>
          </w:p>
        </w:tc>
      </w:tr>
      <w:tr w:rsidR="00623BBA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DF1718" w:rsidR="00623BBA" w:rsidRPr="00496458" w:rsidRDefault="00623BBA" w:rsidP="009A6269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bCs/>
                <w:sz w:val="20"/>
                <w:lang w:eastAsia="zh-CN"/>
              </w:rPr>
              <w:t>Vijay</w:t>
            </w:r>
            <w:r w:rsidR="00E9533E" w:rsidRPr="00496458">
              <w:rPr>
                <w:bCs/>
                <w:sz w:val="20"/>
                <w:lang w:eastAsia="zh-CN"/>
              </w:rPr>
              <w:t xml:space="preserve"> </w:t>
            </w:r>
            <w:proofErr w:type="spellStart"/>
            <w:r w:rsidR="00E9533E" w:rsidRPr="00496458">
              <w:rPr>
                <w:bCs/>
                <w:sz w:val="20"/>
                <w:lang w:eastAsia="zh-CN"/>
              </w:rPr>
              <w:t>Auluck</w:t>
            </w:r>
            <w:proofErr w:type="spellEnd"/>
          </w:p>
        </w:tc>
        <w:tc>
          <w:tcPr>
            <w:tcW w:w="4284" w:type="dxa"/>
          </w:tcPr>
          <w:p w14:paraId="0EFEEFFE" w14:textId="30248523" w:rsidR="00623BBA" w:rsidRPr="00496458" w:rsidRDefault="00623BBA" w:rsidP="00E35FE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bCs/>
                <w:sz w:val="20"/>
                <w:lang w:eastAsia="zh-CN"/>
              </w:rPr>
              <w:t>Self</w:t>
            </w:r>
          </w:p>
        </w:tc>
      </w:tr>
      <w:tr w:rsidR="00B61135" w:rsidRPr="007B0587" w14:paraId="0A4724B3" w14:textId="77777777" w:rsidTr="00F668EE">
        <w:trPr>
          <w:trHeight w:val="246"/>
        </w:trPr>
        <w:tc>
          <w:tcPr>
            <w:tcW w:w="3047" w:type="dxa"/>
          </w:tcPr>
          <w:p w14:paraId="5CF8E8EE" w14:textId="77777777" w:rsidR="00B61135" w:rsidRPr="00496458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96458">
              <w:rPr>
                <w:bCs/>
                <w:sz w:val="20"/>
                <w:lang w:eastAsia="zh-CN"/>
              </w:rPr>
              <w:t>Yonggang</w:t>
            </w:r>
            <w:proofErr w:type="spellEnd"/>
            <w:r w:rsidRPr="00496458">
              <w:rPr>
                <w:bCs/>
                <w:sz w:val="20"/>
                <w:lang w:eastAsia="zh-CN"/>
              </w:rPr>
              <w:t xml:space="preserve"> Fang</w:t>
            </w:r>
          </w:p>
        </w:tc>
        <w:tc>
          <w:tcPr>
            <w:tcW w:w="4284" w:type="dxa"/>
          </w:tcPr>
          <w:p w14:paraId="540CCDFC" w14:textId="77777777" w:rsidR="00B61135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bCs/>
                <w:sz w:val="20"/>
                <w:lang w:eastAsia="zh-CN"/>
              </w:rPr>
              <w:t>MediaTek</w:t>
            </w:r>
          </w:p>
        </w:tc>
      </w:tr>
      <w:tr w:rsidR="000931BE" w:rsidRPr="007B0587" w14:paraId="5FE4FCE4" w14:textId="77777777" w:rsidTr="0084334C">
        <w:trPr>
          <w:trHeight w:val="246"/>
        </w:trPr>
        <w:tc>
          <w:tcPr>
            <w:tcW w:w="3047" w:type="dxa"/>
          </w:tcPr>
          <w:p w14:paraId="44EF1BD3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Jay</w:t>
            </w:r>
            <w:r w:rsidRPr="00496458">
              <w:rPr>
                <w:bCs/>
                <w:sz w:val="20"/>
                <w:lang w:eastAsia="zh-CN"/>
              </w:rPr>
              <w:t xml:space="preserve"> </w:t>
            </w:r>
            <w:r w:rsidRPr="00496458">
              <w:rPr>
                <w:rFonts w:hint="eastAsia"/>
                <w:bCs/>
                <w:sz w:val="20"/>
                <w:lang w:eastAsia="zh-CN"/>
              </w:rPr>
              <w:t>Holcomb</w:t>
            </w:r>
          </w:p>
        </w:tc>
        <w:tc>
          <w:tcPr>
            <w:tcW w:w="4284" w:type="dxa"/>
          </w:tcPr>
          <w:p w14:paraId="240B4864" w14:textId="77777777" w:rsidR="000931BE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Self</w:t>
            </w:r>
          </w:p>
        </w:tc>
      </w:tr>
      <w:tr w:rsidR="000931BE" w:rsidRPr="009A00D9" w14:paraId="29BDF560" w14:textId="77777777" w:rsidTr="0084334C">
        <w:trPr>
          <w:trHeight w:val="246"/>
        </w:trPr>
        <w:tc>
          <w:tcPr>
            <w:tcW w:w="3047" w:type="dxa"/>
          </w:tcPr>
          <w:p w14:paraId="52B72A0E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Rich</w:t>
            </w:r>
            <w:r w:rsidRPr="00496458">
              <w:rPr>
                <w:bCs/>
                <w:sz w:val="20"/>
                <w:lang w:eastAsia="zh-CN"/>
              </w:rPr>
              <w:t xml:space="preserve"> </w:t>
            </w:r>
            <w:r w:rsidRPr="00496458">
              <w:rPr>
                <w:rFonts w:hint="eastAsia"/>
                <w:bCs/>
                <w:sz w:val="20"/>
                <w:lang w:eastAsia="zh-CN"/>
              </w:rPr>
              <w:t>Kennedy</w:t>
            </w:r>
          </w:p>
        </w:tc>
        <w:tc>
          <w:tcPr>
            <w:tcW w:w="4284" w:type="dxa"/>
          </w:tcPr>
          <w:p w14:paraId="57D53779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C652F2">
              <w:rPr>
                <w:bCs/>
                <w:sz w:val="20"/>
                <w:lang w:eastAsia="zh-CN"/>
              </w:rPr>
              <w:t>Bluetooth SIG</w:t>
            </w:r>
          </w:p>
        </w:tc>
      </w:tr>
      <w:tr w:rsidR="000931BE" w:rsidRPr="009A00D9" w14:paraId="67B3B4CD" w14:textId="77777777" w:rsidTr="0084334C">
        <w:trPr>
          <w:trHeight w:val="246"/>
        </w:trPr>
        <w:tc>
          <w:tcPr>
            <w:tcW w:w="3047" w:type="dxa"/>
          </w:tcPr>
          <w:p w14:paraId="219249BD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T</w:t>
            </w:r>
            <w:r w:rsidRPr="00496458">
              <w:rPr>
                <w:bCs/>
                <w:sz w:val="20"/>
                <w:lang w:eastAsia="zh-CN"/>
              </w:rPr>
              <w:t>imothy Jeffries</w:t>
            </w:r>
          </w:p>
        </w:tc>
        <w:tc>
          <w:tcPr>
            <w:tcW w:w="4284" w:type="dxa"/>
          </w:tcPr>
          <w:p w14:paraId="0423AD15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96458">
              <w:rPr>
                <w:rFonts w:hint="eastAsia"/>
                <w:bCs/>
                <w:sz w:val="20"/>
                <w:lang w:eastAsia="zh-CN"/>
              </w:rPr>
              <w:t>Future</w:t>
            </w:r>
            <w:r>
              <w:rPr>
                <w:bCs/>
                <w:sz w:val="20"/>
                <w:lang w:eastAsia="zh-CN"/>
              </w:rPr>
              <w:t>w</w:t>
            </w:r>
            <w:r w:rsidRPr="00496458">
              <w:rPr>
                <w:rFonts w:hint="eastAsia"/>
                <w:bCs/>
                <w:sz w:val="20"/>
                <w:lang w:eastAsia="zh-CN"/>
              </w:rPr>
              <w:t>ei</w:t>
            </w:r>
            <w:proofErr w:type="spellEnd"/>
          </w:p>
        </w:tc>
      </w:tr>
      <w:tr w:rsidR="00B61135" w:rsidRPr="007B0587" w14:paraId="29DF90B2" w14:textId="77777777" w:rsidTr="00F668EE">
        <w:trPr>
          <w:trHeight w:val="246"/>
        </w:trPr>
        <w:tc>
          <w:tcPr>
            <w:tcW w:w="3047" w:type="dxa"/>
          </w:tcPr>
          <w:p w14:paraId="217FD09B" w14:textId="77777777" w:rsidR="00B61135" w:rsidRPr="00496458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96458">
              <w:rPr>
                <w:bCs/>
                <w:sz w:val="20"/>
                <w:lang w:eastAsia="zh-CN"/>
              </w:rPr>
              <w:t>Chenhe</w:t>
            </w:r>
            <w:proofErr w:type="spellEnd"/>
            <w:r w:rsidRPr="00496458">
              <w:rPr>
                <w:bCs/>
                <w:sz w:val="20"/>
                <w:lang w:eastAsia="zh-CN"/>
              </w:rPr>
              <w:t xml:space="preserve"> Ji</w:t>
            </w:r>
          </w:p>
        </w:tc>
        <w:tc>
          <w:tcPr>
            <w:tcW w:w="4284" w:type="dxa"/>
          </w:tcPr>
          <w:p w14:paraId="3F729589" w14:textId="77777777" w:rsidR="00B61135" w:rsidRDefault="00B61135" w:rsidP="00F668EE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bCs/>
                <w:sz w:val="20"/>
                <w:lang w:eastAsia="zh-CN"/>
              </w:rPr>
              <w:t>Huawei</w:t>
            </w:r>
          </w:p>
        </w:tc>
      </w:tr>
      <w:tr w:rsidR="0050143A" w:rsidRPr="007B0587" w14:paraId="4F5B2FD0" w14:textId="77777777" w:rsidTr="0084334C">
        <w:trPr>
          <w:trHeight w:val="246"/>
        </w:trPr>
        <w:tc>
          <w:tcPr>
            <w:tcW w:w="3047" w:type="dxa"/>
          </w:tcPr>
          <w:p w14:paraId="265441A4" w14:textId="04BF53A5" w:rsidR="0050143A" w:rsidRPr="00496458" w:rsidRDefault="0050143A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Carl Kain</w:t>
            </w:r>
          </w:p>
        </w:tc>
        <w:tc>
          <w:tcPr>
            <w:tcW w:w="4284" w:type="dxa"/>
          </w:tcPr>
          <w:p w14:paraId="0966FF42" w14:textId="1C77E3ED" w:rsidR="0050143A" w:rsidRDefault="0050143A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bCs/>
                <w:sz w:val="20"/>
                <w:lang w:eastAsia="zh-CN"/>
              </w:rPr>
              <w:t>Noblis</w:t>
            </w:r>
            <w:proofErr w:type="spellEnd"/>
            <w:r>
              <w:rPr>
                <w:bCs/>
                <w:sz w:val="20"/>
                <w:lang w:eastAsia="zh-CN"/>
              </w:rPr>
              <w:t xml:space="preserve"> Inc.</w:t>
            </w:r>
          </w:p>
        </w:tc>
      </w:tr>
      <w:tr w:rsidR="00880488" w:rsidRPr="007B0587" w14:paraId="29518A50" w14:textId="77777777" w:rsidTr="00FD48CB">
        <w:trPr>
          <w:trHeight w:val="246"/>
        </w:trPr>
        <w:tc>
          <w:tcPr>
            <w:tcW w:w="3047" w:type="dxa"/>
          </w:tcPr>
          <w:p w14:paraId="5E256FAF" w14:textId="2B931500" w:rsidR="00880488" w:rsidRPr="0049645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M</w:t>
            </w:r>
            <w:r w:rsidRPr="00496458">
              <w:rPr>
                <w:bCs/>
                <w:sz w:val="20"/>
                <w:lang w:eastAsia="zh-CN"/>
              </w:rPr>
              <w:t>ichael Lynch</w:t>
            </w:r>
          </w:p>
        </w:tc>
        <w:tc>
          <w:tcPr>
            <w:tcW w:w="4284" w:type="dxa"/>
          </w:tcPr>
          <w:p w14:paraId="5D3A86C8" w14:textId="3DCD83E1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MJ Lynch &amp; Associates, LLC.</w:t>
            </w:r>
          </w:p>
        </w:tc>
      </w:tr>
      <w:tr w:rsidR="000931BE" w:rsidRPr="007B0587" w14:paraId="03D5196D" w14:textId="77777777" w:rsidTr="0084334C">
        <w:trPr>
          <w:trHeight w:val="246"/>
        </w:trPr>
        <w:tc>
          <w:tcPr>
            <w:tcW w:w="3047" w:type="dxa"/>
          </w:tcPr>
          <w:p w14:paraId="26016DB1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bCs/>
                <w:sz w:val="20"/>
                <w:lang w:eastAsia="zh-CN"/>
              </w:rPr>
              <w:t>Al Petrick</w:t>
            </w:r>
          </w:p>
        </w:tc>
        <w:tc>
          <w:tcPr>
            <w:tcW w:w="4284" w:type="dxa"/>
          </w:tcPr>
          <w:p w14:paraId="1FD9DBE1" w14:textId="77777777" w:rsidR="000931BE" w:rsidRPr="0088048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bCs/>
                <w:sz w:val="20"/>
                <w:lang w:eastAsia="zh-CN"/>
              </w:rPr>
              <w:t>Jones-Petrick Associates</w:t>
            </w:r>
          </w:p>
        </w:tc>
      </w:tr>
      <w:tr w:rsidR="000931BE" w:rsidRPr="009A00D9" w14:paraId="43F03FA3" w14:textId="77777777" w:rsidTr="0084334C">
        <w:trPr>
          <w:trHeight w:val="246"/>
        </w:trPr>
        <w:tc>
          <w:tcPr>
            <w:tcW w:w="3047" w:type="dxa"/>
          </w:tcPr>
          <w:p w14:paraId="044CA2FB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96458">
              <w:rPr>
                <w:rFonts w:hint="eastAsia"/>
                <w:bCs/>
                <w:sz w:val="20"/>
                <w:lang w:eastAsia="zh-CN"/>
              </w:rPr>
              <w:t>Riku</w:t>
            </w:r>
            <w:proofErr w:type="spellEnd"/>
            <w:r w:rsidRPr="00496458">
              <w:rPr>
                <w:bCs/>
                <w:sz w:val="20"/>
                <w:lang w:eastAsia="zh-CN"/>
              </w:rPr>
              <w:t xml:space="preserve"> </w:t>
            </w:r>
            <w:proofErr w:type="spellStart"/>
            <w:r w:rsidRPr="00496458">
              <w:rPr>
                <w:rFonts w:hint="eastAsia"/>
                <w:bCs/>
                <w:sz w:val="20"/>
                <w:lang w:eastAsia="zh-CN"/>
              </w:rPr>
              <w:t>Pirhonen</w:t>
            </w:r>
            <w:proofErr w:type="spellEnd"/>
          </w:p>
        </w:tc>
        <w:tc>
          <w:tcPr>
            <w:tcW w:w="4284" w:type="dxa"/>
          </w:tcPr>
          <w:p w14:paraId="0B151C6D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N</w:t>
            </w:r>
            <w:r w:rsidRPr="00496458">
              <w:rPr>
                <w:bCs/>
                <w:sz w:val="20"/>
                <w:lang w:eastAsia="zh-CN"/>
              </w:rPr>
              <w:t>XP</w:t>
            </w:r>
          </w:p>
        </w:tc>
      </w:tr>
      <w:tr w:rsidR="000931BE" w:rsidRPr="009A00D9" w14:paraId="2B53B2A6" w14:textId="77777777" w:rsidTr="0084334C">
        <w:trPr>
          <w:trHeight w:val="246"/>
        </w:trPr>
        <w:tc>
          <w:tcPr>
            <w:tcW w:w="3047" w:type="dxa"/>
          </w:tcPr>
          <w:p w14:paraId="5E32BCE5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Benjamin</w:t>
            </w:r>
            <w:r w:rsidRPr="00496458">
              <w:rPr>
                <w:bCs/>
                <w:sz w:val="20"/>
                <w:lang w:eastAsia="zh-CN"/>
              </w:rPr>
              <w:t xml:space="preserve"> </w:t>
            </w:r>
            <w:r w:rsidRPr="00496458">
              <w:rPr>
                <w:rFonts w:hint="eastAsia"/>
                <w:bCs/>
                <w:sz w:val="20"/>
                <w:lang w:eastAsia="zh-CN"/>
              </w:rPr>
              <w:t>Rolfe</w:t>
            </w:r>
          </w:p>
        </w:tc>
        <w:tc>
          <w:tcPr>
            <w:tcW w:w="4284" w:type="dxa"/>
          </w:tcPr>
          <w:p w14:paraId="5B857E86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Blind Creek Associates</w:t>
            </w:r>
          </w:p>
        </w:tc>
      </w:tr>
      <w:tr w:rsidR="000931BE" w:rsidRPr="009A00D9" w14:paraId="014D1D4A" w14:textId="77777777" w:rsidTr="0084334C">
        <w:trPr>
          <w:trHeight w:val="246"/>
        </w:trPr>
        <w:tc>
          <w:tcPr>
            <w:tcW w:w="3047" w:type="dxa"/>
          </w:tcPr>
          <w:p w14:paraId="5746A6FA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96458">
              <w:rPr>
                <w:rFonts w:hint="eastAsia"/>
                <w:bCs/>
                <w:sz w:val="20"/>
                <w:lang w:eastAsia="zh-CN"/>
              </w:rPr>
              <w:t>Pelin</w:t>
            </w:r>
            <w:proofErr w:type="spellEnd"/>
            <w:r w:rsidRPr="00496458">
              <w:rPr>
                <w:bCs/>
                <w:sz w:val="20"/>
                <w:lang w:eastAsia="zh-CN"/>
              </w:rPr>
              <w:t xml:space="preserve"> </w:t>
            </w:r>
            <w:r w:rsidRPr="00496458">
              <w:rPr>
                <w:rFonts w:hint="eastAsia"/>
                <w:bCs/>
                <w:sz w:val="20"/>
                <w:lang w:eastAsia="zh-CN"/>
              </w:rPr>
              <w:t>Salem</w:t>
            </w:r>
          </w:p>
        </w:tc>
        <w:tc>
          <w:tcPr>
            <w:tcW w:w="4284" w:type="dxa"/>
          </w:tcPr>
          <w:p w14:paraId="4C80B92F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Cisco</w:t>
            </w:r>
            <w:r w:rsidRPr="00496458">
              <w:rPr>
                <w:bCs/>
                <w:sz w:val="20"/>
                <w:lang w:eastAsia="zh-CN"/>
              </w:rPr>
              <w:t xml:space="preserve"> </w:t>
            </w:r>
            <w:r w:rsidRPr="00496458">
              <w:rPr>
                <w:rFonts w:hint="eastAsia"/>
                <w:bCs/>
                <w:sz w:val="20"/>
                <w:lang w:eastAsia="zh-CN"/>
              </w:rPr>
              <w:t>Systems</w:t>
            </w:r>
          </w:p>
        </w:tc>
      </w:tr>
      <w:tr w:rsidR="002E6B30" w:rsidRPr="007B0587" w14:paraId="05565418" w14:textId="77777777" w:rsidTr="00FD48CB">
        <w:trPr>
          <w:trHeight w:val="246"/>
        </w:trPr>
        <w:tc>
          <w:tcPr>
            <w:tcW w:w="3047" w:type="dxa"/>
          </w:tcPr>
          <w:p w14:paraId="75CCDD71" w14:textId="132758CB" w:rsidR="002E6B30" w:rsidRPr="00496458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D</w:t>
            </w:r>
            <w:r w:rsidRPr="00496458">
              <w:rPr>
                <w:bCs/>
                <w:sz w:val="20"/>
                <w:lang w:eastAsia="zh-CN"/>
              </w:rPr>
              <w:t>orothy Stanley</w:t>
            </w:r>
          </w:p>
        </w:tc>
        <w:tc>
          <w:tcPr>
            <w:tcW w:w="4284" w:type="dxa"/>
          </w:tcPr>
          <w:p w14:paraId="4F5830D6" w14:textId="0423515A" w:rsidR="002E6B30" w:rsidRPr="00880488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Hewlett Packard Enterprise</w:t>
            </w:r>
          </w:p>
        </w:tc>
      </w:tr>
      <w:tr w:rsidR="002E6B30" w:rsidRPr="007B0587" w14:paraId="10760C6B" w14:textId="77777777" w:rsidTr="00FD48CB">
        <w:trPr>
          <w:trHeight w:val="246"/>
        </w:trPr>
        <w:tc>
          <w:tcPr>
            <w:tcW w:w="3047" w:type="dxa"/>
          </w:tcPr>
          <w:p w14:paraId="1732C703" w14:textId="72CA99B3" w:rsidR="002E6B30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A</w:t>
            </w:r>
            <w:r>
              <w:rPr>
                <w:bCs/>
                <w:sz w:val="20"/>
                <w:lang w:eastAsia="zh-CN"/>
              </w:rPr>
              <w:t>lex Krebs</w:t>
            </w:r>
          </w:p>
        </w:tc>
        <w:tc>
          <w:tcPr>
            <w:tcW w:w="4284" w:type="dxa"/>
          </w:tcPr>
          <w:p w14:paraId="12097910" w14:textId="522CCA61" w:rsidR="002E6B30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A</w:t>
            </w:r>
            <w:r>
              <w:rPr>
                <w:bCs/>
                <w:sz w:val="20"/>
                <w:lang w:eastAsia="zh-CN"/>
              </w:rPr>
              <w:t>pple</w:t>
            </w:r>
          </w:p>
        </w:tc>
      </w:tr>
      <w:tr w:rsidR="000931BE" w:rsidRPr="009A00D9" w14:paraId="3BA907E5" w14:textId="77777777" w:rsidTr="0084334C">
        <w:trPr>
          <w:trHeight w:val="246"/>
        </w:trPr>
        <w:tc>
          <w:tcPr>
            <w:tcW w:w="3047" w:type="dxa"/>
          </w:tcPr>
          <w:p w14:paraId="7EBCCF87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Lei</w:t>
            </w:r>
            <w:r w:rsidRPr="00496458">
              <w:rPr>
                <w:bCs/>
                <w:sz w:val="20"/>
                <w:lang w:eastAsia="zh-CN"/>
              </w:rPr>
              <w:t xml:space="preserve"> </w:t>
            </w:r>
            <w:r w:rsidRPr="00496458">
              <w:rPr>
                <w:rFonts w:hint="eastAsia"/>
                <w:bCs/>
                <w:sz w:val="20"/>
                <w:lang w:eastAsia="zh-CN"/>
              </w:rPr>
              <w:t>Wang</w:t>
            </w:r>
          </w:p>
        </w:tc>
        <w:tc>
          <w:tcPr>
            <w:tcW w:w="4284" w:type="dxa"/>
          </w:tcPr>
          <w:p w14:paraId="2C726568" w14:textId="77777777" w:rsidR="000931BE" w:rsidRPr="00496458" w:rsidRDefault="000931BE" w:rsidP="0084334C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96458">
              <w:rPr>
                <w:rFonts w:hint="eastAsia"/>
                <w:bCs/>
                <w:sz w:val="20"/>
                <w:lang w:eastAsia="zh-CN"/>
              </w:rPr>
              <w:t>Future</w:t>
            </w:r>
            <w:r>
              <w:rPr>
                <w:bCs/>
                <w:sz w:val="20"/>
                <w:lang w:eastAsia="zh-CN"/>
              </w:rPr>
              <w:t>w</w:t>
            </w:r>
            <w:r w:rsidRPr="00496458">
              <w:rPr>
                <w:rFonts w:hint="eastAsia"/>
                <w:bCs/>
                <w:sz w:val="20"/>
                <w:lang w:eastAsia="zh-CN"/>
              </w:rPr>
              <w:t>ei</w:t>
            </w:r>
            <w:proofErr w:type="spellEnd"/>
          </w:p>
        </w:tc>
      </w:tr>
      <w:tr w:rsidR="002E6B30" w:rsidRPr="007B0587" w14:paraId="3C58E28D" w14:textId="77777777" w:rsidTr="00FD48CB">
        <w:trPr>
          <w:trHeight w:val="246"/>
        </w:trPr>
        <w:tc>
          <w:tcPr>
            <w:tcW w:w="3047" w:type="dxa"/>
          </w:tcPr>
          <w:p w14:paraId="03FD6605" w14:textId="198D1B45" w:rsidR="002E6B30" w:rsidRPr="00496458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rFonts w:hint="eastAsia"/>
                <w:bCs/>
                <w:sz w:val="20"/>
                <w:lang w:eastAsia="zh-CN"/>
              </w:rPr>
              <w:t>H</w:t>
            </w:r>
            <w:r w:rsidRPr="00496458">
              <w:rPr>
                <w:bCs/>
                <w:sz w:val="20"/>
                <w:lang w:eastAsia="zh-CN"/>
              </w:rPr>
              <w:t>assan Yaghoobi</w:t>
            </w:r>
          </w:p>
        </w:tc>
        <w:tc>
          <w:tcPr>
            <w:tcW w:w="4284" w:type="dxa"/>
          </w:tcPr>
          <w:p w14:paraId="2B3F742E" w14:textId="555BDF89" w:rsidR="002E6B30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Apple</w:t>
            </w:r>
          </w:p>
        </w:tc>
      </w:tr>
      <w:tr w:rsidR="002E6B30" w:rsidRPr="009A00D9" w14:paraId="71692A0D" w14:textId="77777777" w:rsidTr="00F668EE">
        <w:trPr>
          <w:trHeight w:val="246"/>
        </w:trPr>
        <w:tc>
          <w:tcPr>
            <w:tcW w:w="3047" w:type="dxa"/>
          </w:tcPr>
          <w:p w14:paraId="47DF4F3D" w14:textId="77777777" w:rsidR="002E6B30" w:rsidRPr="00496458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bCs/>
                <w:sz w:val="20"/>
                <w:lang w:eastAsia="zh-CN"/>
              </w:rPr>
              <w:t xml:space="preserve">Larry </w:t>
            </w:r>
            <w:proofErr w:type="spellStart"/>
            <w:r w:rsidRPr="00496458">
              <w:rPr>
                <w:bCs/>
                <w:sz w:val="20"/>
                <w:lang w:eastAsia="zh-CN"/>
              </w:rPr>
              <w:t>Zakaib</w:t>
            </w:r>
            <w:proofErr w:type="spellEnd"/>
          </w:p>
        </w:tc>
        <w:tc>
          <w:tcPr>
            <w:tcW w:w="4284" w:type="dxa"/>
          </w:tcPr>
          <w:p w14:paraId="5CEFAA67" w14:textId="77777777" w:rsidR="002E6B30" w:rsidRPr="00496458" w:rsidRDefault="002E6B30" w:rsidP="002E6B30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96458">
              <w:rPr>
                <w:bCs/>
                <w:sz w:val="20"/>
                <w:lang w:eastAsia="zh-CN"/>
              </w:rPr>
              <w:t>Spark Microsystems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1C96" w14:textId="77777777" w:rsidR="003C78F3" w:rsidRDefault="003C78F3">
      <w:r>
        <w:separator/>
      </w:r>
    </w:p>
  </w:endnote>
  <w:endnote w:type="continuationSeparator" w:id="0">
    <w:p w14:paraId="30572F9A" w14:textId="77777777" w:rsidR="003C78F3" w:rsidRDefault="003C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3C78F3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50B22" w14:textId="77777777" w:rsidR="003C78F3" w:rsidRDefault="003C78F3">
      <w:r>
        <w:separator/>
      </w:r>
    </w:p>
  </w:footnote>
  <w:footnote w:type="continuationSeparator" w:id="0">
    <w:p w14:paraId="72A4775C" w14:textId="77777777" w:rsidR="003C78F3" w:rsidRDefault="003C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7635E583" w:rsidR="00BC2B32" w:rsidRDefault="00183BA3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Jun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6</w:t>
    </w:r>
    <w:r w:rsidR="00AD1551">
      <w:t>9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453"/>
    <w:multiLevelType w:val="hybridMultilevel"/>
    <w:tmpl w:val="B9CA1C04"/>
    <w:lvl w:ilvl="0" w:tplc="14E4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47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2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6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6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C6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20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92BED"/>
    <w:multiLevelType w:val="hybridMultilevel"/>
    <w:tmpl w:val="A0B249C8"/>
    <w:lvl w:ilvl="0" w:tplc="FEC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AF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2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4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6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6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6D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82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23"/>
  </w:num>
  <w:num w:numId="6">
    <w:abstractNumId w:val="2"/>
  </w:num>
  <w:num w:numId="7">
    <w:abstractNumId w:val="1"/>
  </w:num>
  <w:num w:numId="8">
    <w:abstractNumId w:val="3"/>
  </w:num>
  <w:num w:numId="9">
    <w:abstractNumId w:val="25"/>
  </w:num>
  <w:num w:numId="10">
    <w:abstractNumId w:val="10"/>
  </w:num>
  <w:num w:numId="11">
    <w:abstractNumId w:val="11"/>
  </w:num>
  <w:num w:numId="12">
    <w:abstractNumId w:val="29"/>
  </w:num>
  <w:num w:numId="13">
    <w:abstractNumId w:val="28"/>
  </w:num>
  <w:num w:numId="14">
    <w:abstractNumId w:val="16"/>
  </w:num>
  <w:num w:numId="15">
    <w:abstractNumId w:val="24"/>
  </w:num>
  <w:num w:numId="16">
    <w:abstractNumId w:val="18"/>
  </w:num>
  <w:num w:numId="17">
    <w:abstractNumId w:val="0"/>
  </w:num>
  <w:num w:numId="18">
    <w:abstractNumId w:val="22"/>
  </w:num>
  <w:num w:numId="19">
    <w:abstractNumId w:val="26"/>
  </w:num>
  <w:num w:numId="20">
    <w:abstractNumId w:val="27"/>
  </w:num>
  <w:num w:numId="21">
    <w:abstractNumId w:val="4"/>
  </w:num>
  <w:num w:numId="22">
    <w:abstractNumId w:val="6"/>
  </w:num>
  <w:num w:numId="23">
    <w:abstractNumId w:val="30"/>
  </w:num>
  <w:num w:numId="24">
    <w:abstractNumId w:val="19"/>
  </w:num>
  <w:num w:numId="25">
    <w:abstractNumId w:val="15"/>
  </w:num>
  <w:num w:numId="26">
    <w:abstractNumId w:val="8"/>
  </w:num>
  <w:num w:numId="27">
    <w:abstractNumId w:val="21"/>
  </w:num>
  <w:num w:numId="28">
    <w:abstractNumId w:val="20"/>
  </w:num>
  <w:num w:numId="29">
    <w:abstractNumId w:val="9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31BE"/>
    <w:rsid w:val="0009632E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D17A2"/>
    <w:rsid w:val="000D25BC"/>
    <w:rsid w:val="000D7203"/>
    <w:rsid w:val="000E6739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501C6"/>
    <w:rsid w:val="00151FC8"/>
    <w:rsid w:val="00153EC1"/>
    <w:rsid w:val="00154450"/>
    <w:rsid w:val="00160F54"/>
    <w:rsid w:val="00172474"/>
    <w:rsid w:val="0017763D"/>
    <w:rsid w:val="00180DB9"/>
    <w:rsid w:val="00182D7F"/>
    <w:rsid w:val="00183BA3"/>
    <w:rsid w:val="001848D0"/>
    <w:rsid w:val="00186616"/>
    <w:rsid w:val="00187C8B"/>
    <w:rsid w:val="00187E4D"/>
    <w:rsid w:val="001911D8"/>
    <w:rsid w:val="001A02CE"/>
    <w:rsid w:val="001B51A3"/>
    <w:rsid w:val="001B6840"/>
    <w:rsid w:val="001C0529"/>
    <w:rsid w:val="001C068B"/>
    <w:rsid w:val="001C38A0"/>
    <w:rsid w:val="001E0F4A"/>
    <w:rsid w:val="001E760C"/>
    <w:rsid w:val="001F1D35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1614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1BFA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E6B30"/>
    <w:rsid w:val="002E6CBB"/>
    <w:rsid w:val="002F6CA5"/>
    <w:rsid w:val="002F7422"/>
    <w:rsid w:val="0030093E"/>
    <w:rsid w:val="00303800"/>
    <w:rsid w:val="003038D2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3DD"/>
    <w:rsid w:val="003C0865"/>
    <w:rsid w:val="003C0FDF"/>
    <w:rsid w:val="003C3212"/>
    <w:rsid w:val="003C417C"/>
    <w:rsid w:val="003C78F3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46042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458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4B"/>
    <w:rsid w:val="004F2579"/>
    <w:rsid w:val="004F2FEB"/>
    <w:rsid w:val="004F36BE"/>
    <w:rsid w:val="004F6009"/>
    <w:rsid w:val="004F7F5F"/>
    <w:rsid w:val="0050143A"/>
    <w:rsid w:val="005110C8"/>
    <w:rsid w:val="00511D1A"/>
    <w:rsid w:val="005229BF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2EFE"/>
    <w:rsid w:val="00587E77"/>
    <w:rsid w:val="005948A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B4559"/>
    <w:rsid w:val="006B4C19"/>
    <w:rsid w:val="006C2094"/>
    <w:rsid w:val="006C4013"/>
    <w:rsid w:val="006C4FFE"/>
    <w:rsid w:val="006C629E"/>
    <w:rsid w:val="006D7B37"/>
    <w:rsid w:val="006E2CCB"/>
    <w:rsid w:val="006E3610"/>
    <w:rsid w:val="006E4706"/>
    <w:rsid w:val="006E4DAD"/>
    <w:rsid w:val="006E71F6"/>
    <w:rsid w:val="006F5C07"/>
    <w:rsid w:val="006F60DF"/>
    <w:rsid w:val="006F7574"/>
    <w:rsid w:val="007037E5"/>
    <w:rsid w:val="00706626"/>
    <w:rsid w:val="00706C13"/>
    <w:rsid w:val="0070733E"/>
    <w:rsid w:val="0072167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5FB2"/>
    <w:rsid w:val="00757E8B"/>
    <w:rsid w:val="00762A3C"/>
    <w:rsid w:val="00775C9F"/>
    <w:rsid w:val="00780817"/>
    <w:rsid w:val="00781771"/>
    <w:rsid w:val="00785C8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706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C6644"/>
    <w:rsid w:val="008D0BAD"/>
    <w:rsid w:val="008D2552"/>
    <w:rsid w:val="008D4505"/>
    <w:rsid w:val="008D4AA8"/>
    <w:rsid w:val="008D6568"/>
    <w:rsid w:val="008D6ED6"/>
    <w:rsid w:val="008E035F"/>
    <w:rsid w:val="008E248B"/>
    <w:rsid w:val="008E2940"/>
    <w:rsid w:val="008E667E"/>
    <w:rsid w:val="008F2C98"/>
    <w:rsid w:val="008F48AA"/>
    <w:rsid w:val="008F71AD"/>
    <w:rsid w:val="008F7772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1551"/>
    <w:rsid w:val="00AD2160"/>
    <w:rsid w:val="00AD34B8"/>
    <w:rsid w:val="00AD3D8A"/>
    <w:rsid w:val="00AD7D7E"/>
    <w:rsid w:val="00AE1FD9"/>
    <w:rsid w:val="00AF0E4D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460B0"/>
    <w:rsid w:val="00B51957"/>
    <w:rsid w:val="00B559A5"/>
    <w:rsid w:val="00B61135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97D8E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581D"/>
    <w:rsid w:val="00BE5CB6"/>
    <w:rsid w:val="00BE644E"/>
    <w:rsid w:val="00BF0B11"/>
    <w:rsid w:val="00BF10E7"/>
    <w:rsid w:val="00C01000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25EA"/>
    <w:rsid w:val="00C63CED"/>
    <w:rsid w:val="00C652F2"/>
    <w:rsid w:val="00C66E2B"/>
    <w:rsid w:val="00C73ACA"/>
    <w:rsid w:val="00C73BCD"/>
    <w:rsid w:val="00C750A7"/>
    <w:rsid w:val="00C755D2"/>
    <w:rsid w:val="00C76554"/>
    <w:rsid w:val="00C77D7B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6CCC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84097"/>
    <w:rsid w:val="00D906A0"/>
    <w:rsid w:val="00D91972"/>
    <w:rsid w:val="00D91B55"/>
    <w:rsid w:val="00D96295"/>
    <w:rsid w:val="00DA3FD2"/>
    <w:rsid w:val="00DA48AD"/>
    <w:rsid w:val="00DB3FE6"/>
    <w:rsid w:val="00DB6E2D"/>
    <w:rsid w:val="00DC137B"/>
    <w:rsid w:val="00DC6605"/>
    <w:rsid w:val="00DC7CE3"/>
    <w:rsid w:val="00DD011A"/>
    <w:rsid w:val="00DD05D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07B53"/>
    <w:rsid w:val="00E16064"/>
    <w:rsid w:val="00E2012F"/>
    <w:rsid w:val="00E20173"/>
    <w:rsid w:val="00E2101D"/>
    <w:rsid w:val="00E2350C"/>
    <w:rsid w:val="00E248D1"/>
    <w:rsid w:val="00E319C2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816D5"/>
    <w:rsid w:val="00E8450F"/>
    <w:rsid w:val="00E85211"/>
    <w:rsid w:val="00E87F88"/>
    <w:rsid w:val="00E90497"/>
    <w:rsid w:val="00E920C9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F2EC6"/>
    <w:rsid w:val="00EF364A"/>
    <w:rsid w:val="00EF3DFB"/>
    <w:rsid w:val="00F026C9"/>
    <w:rsid w:val="00F032E8"/>
    <w:rsid w:val="00F03AC2"/>
    <w:rsid w:val="00F108EB"/>
    <w:rsid w:val="00F11902"/>
    <w:rsid w:val="00F1228A"/>
    <w:rsid w:val="00F13C40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0049"/>
    <w:rsid w:val="00FC6D0A"/>
    <w:rsid w:val="00FD2051"/>
    <w:rsid w:val="00FD5231"/>
    <w:rsid w:val="00FD58EF"/>
    <w:rsid w:val="00FD6846"/>
    <w:rsid w:val="00FE27C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5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9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2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18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1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7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66-04-0000-draft-response-to-colombia-ane-s-consultation-re-the-900-mhz-frequency-ban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66-03-0000-draft-response-to-colombia-ane-s-consultation-re-the-900-mhz-frequency-band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67-00-0000-rr-tag-minutes-19-june-2025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68-01-0000-rr-tag-agenda-26-june-2025.pptx" TargetMode="External"/><Relationship Id="rId14" Type="http://schemas.openxmlformats.org/officeDocument/2006/relationships/hyperlink" Target="https://mentor.ieee.org/802.18/dcn/24/18-24-0001-44-0000-status-of-ongoing-consultations-and-tag-documents-for-approv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A647-3757-44C3-83A0-8F2D6956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2</cp:revision>
  <cp:lastPrinted>2012-05-15T22:13:00Z</cp:lastPrinted>
  <dcterms:created xsi:type="dcterms:W3CDTF">2025-06-27T02:35:00Z</dcterms:created>
  <dcterms:modified xsi:type="dcterms:W3CDTF">2025-06-27T02:35:00Z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