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2D32E28B" w:rsidR="0003157D" w:rsidRDefault="00183BA3" w:rsidP="00805054">
            <w:pPr>
              <w:pStyle w:val="T2"/>
              <w:widowControl w:val="0"/>
              <w:spacing w:after="120"/>
            </w:pPr>
            <w:r>
              <w:t>12</w:t>
            </w:r>
            <w:r w:rsidR="00C76554">
              <w:t xml:space="preserve"> </w:t>
            </w:r>
            <w:r>
              <w:rPr>
                <w:rFonts w:hint="eastAsia"/>
                <w:lang w:eastAsia="zh-CN"/>
              </w:rPr>
              <w:t>Jun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1D94DF6B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183BA3">
              <w:rPr>
                <w:b w:val="0"/>
                <w:sz w:val="20"/>
              </w:rPr>
              <w:t>13</w:t>
            </w:r>
            <w:r w:rsidR="00C76554">
              <w:rPr>
                <w:b w:val="0"/>
                <w:sz w:val="20"/>
              </w:rPr>
              <w:t xml:space="preserve"> </w:t>
            </w:r>
            <w:r w:rsidR="00183BA3">
              <w:rPr>
                <w:rFonts w:hint="eastAsia"/>
                <w:b w:val="0"/>
                <w:sz w:val="20"/>
                <w:lang w:eastAsia="zh-CN"/>
              </w:rPr>
              <w:t>Jun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00436CDF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183BA3">
                              <w:rPr>
                                <w:color w:val="000000"/>
                              </w:rPr>
                              <w:t>12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83BA3">
                              <w:rPr>
                                <w:color w:val="000000"/>
                              </w:rPr>
                              <w:t>Jun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00436CDF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183BA3">
                        <w:rPr>
                          <w:color w:val="000000"/>
                        </w:rPr>
                        <w:t>12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183BA3">
                        <w:rPr>
                          <w:color w:val="000000"/>
                        </w:rPr>
                        <w:t>Jun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47A1F598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183BA3">
          <w:rPr>
            <w:rStyle w:val="af1"/>
            <w:szCs w:val="22"/>
          </w:rPr>
          <w:t>59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4CB2BE3" w14:textId="77777777" w:rsidR="00686D1C" w:rsidRDefault="00686D1C" w:rsidP="00DA3FD2">
      <w:pPr>
        <w:contextualSpacing/>
        <w:rPr>
          <w:szCs w:val="22"/>
        </w:rPr>
      </w:pPr>
      <w:r w:rsidRPr="00686D1C">
        <w:rPr>
          <w:szCs w:val="22"/>
        </w:rPr>
        <w:t>In Edward Au’s absence, this meeting was chaired by Gaurav Patwardhan.</w:t>
      </w:r>
    </w:p>
    <w:p w14:paraId="0523845C" w14:textId="77777777" w:rsidR="00686D1C" w:rsidRDefault="00686D1C" w:rsidP="00DA3FD2">
      <w:pPr>
        <w:contextualSpacing/>
        <w:rPr>
          <w:szCs w:val="22"/>
        </w:rPr>
      </w:pPr>
    </w:p>
    <w:p w14:paraId="4CD0C897" w14:textId="2B579147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2E6CBB">
      <w:pPr>
        <w:pStyle w:val="af8"/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B3E90" w:rsidRDefault="005A7D3D" w:rsidP="002E6CBB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57" w:hanging="357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46DC3624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183BA3" w:rsidRPr="00183BA3">
        <w:rPr>
          <w:szCs w:val="22"/>
        </w:rPr>
        <w:t>Al Petrick</w:t>
      </w:r>
    </w:p>
    <w:p w14:paraId="74EDE845" w14:textId="0915F07A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proofErr w:type="spellStart"/>
      <w:r w:rsidR="00183BA3" w:rsidRPr="00183BA3">
        <w:rPr>
          <w:szCs w:val="22"/>
        </w:rPr>
        <w:t>Chenhe</w:t>
      </w:r>
      <w:proofErr w:type="spellEnd"/>
      <w:r w:rsidR="00183BA3" w:rsidRPr="00183BA3">
        <w:rPr>
          <w:szCs w:val="22"/>
        </w:rPr>
        <w:t xml:space="preserve"> 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33EBCAF0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183BA3" w:rsidRPr="00183BA3">
        <w:rPr>
          <w:b/>
          <w:bCs/>
          <w:szCs w:val="22"/>
        </w:rPr>
        <w:t xml:space="preserve">To approve the weekly meeting minutes of the 29 May 2025 RR-TAG call as shown in the document </w:t>
      </w:r>
      <w:hyperlink r:id="rId11" w:history="1">
        <w:r w:rsidR="00183BA3" w:rsidRPr="00183BA3">
          <w:rPr>
            <w:rStyle w:val="af1"/>
            <w:b/>
            <w:bCs/>
            <w:szCs w:val="22"/>
          </w:rPr>
          <w:t>18-25/0058r0</w:t>
        </w:r>
      </w:hyperlink>
      <w:r w:rsidR="00183BA3" w:rsidRPr="00183BA3">
        <w:rPr>
          <w:b/>
          <w:bCs/>
          <w:szCs w:val="22"/>
        </w:rPr>
        <w:t xml:space="preserve"> with editorial privilege for the IEEE 802.18 Chair.</w:t>
      </w:r>
      <w:r w:rsidRPr="00812320">
        <w:rPr>
          <w:b/>
          <w:bCs/>
          <w:szCs w:val="22"/>
        </w:rPr>
        <w:t xml:space="preserve">. </w:t>
      </w:r>
    </w:p>
    <w:p w14:paraId="530E0995" w14:textId="77D52503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proofErr w:type="spellStart"/>
      <w:r w:rsidR="00183BA3" w:rsidRPr="00183BA3">
        <w:rPr>
          <w:bCs/>
          <w:szCs w:val="22"/>
        </w:rPr>
        <w:t>Chenhe</w:t>
      </w:r>
      <w:proofErr w:type="spellEnd"/>
      <w:r w:rsidR="00183BA3" w:rsidRPr="00183BA3">
        <w:rPr>
          <w:bCs/>
          <w:szCs w:val="22"/>
        </w:rPr>
        <w:t xml:space="preserve"> Ji</w:t>
      </w:r>
    </w:p>
    <w:p w14:paraId="5C92755D" w14:textId="46F9DD66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183BA3" w:rsidRPr="00183BA3">
        <w:t xml:space="preserve"> </w:t>
      </w:r>
      <w:proofErr w:type="spellStart"/>
      <w:r w:rsidR="00183BA3" w:rsidRPr="00183BA3">
        <w:rPr>
          <w:bCs/>
          <w:szCs w:val="22"/>
        </w:rPr>
        <w:t>Tuncer</w:t>
      </w:r>
      <w:proofErr w:type="spellEnd"/>
      <w:r w:rsidR="00183BA3" w:rsidRPr="00183BA3">
        <w:rPr>
          <w:bCs/>
          <w:szCs w:val="22"/>
        </w:rPr>
        <w:t xml:space="preserve"> </w:t>
      </w:r>
      <w:proofErr w:type="spellStart"/>
      <w:r w:rsidR="00183BA3" w:rsidRPr="00183BA3">
        <w:rPr>
          <w:bCs/>
          <w:szCs w:val="22"/>
        </w:rPr>
        <w:t>Baykas</w:t>
      </w:r>
      <w:proofErr w:type="spellEnd"/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4119250" w14:textId="169F4FF9" w:rsidR="00C26282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183BA3">
        <w:rPr>
          <w:b/>
          <w:bCs/>
          <w:szCs w:val="22"/>
        </w:rPr>
        <w:t xml:space="preserve">India TRAI’s consultation </w:t>
      </w:r>
    </w:p>
    <w:p w14:paraId="78CBB2F5" w14:textId="77777777" w:rsidR="002E6CBB" w:rsidRDefault="002E6CBB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5F36147" w14:textId="45BCED5F" w:rsidR="00183BA3" w:rsidRDefault="006C2094" w:rsidP="00DA3FD2">
      <w:pPr>
        <w:tabs>
          <w:tab w:val="left" w:pos="720"/>
        </w:tabs>
        <w:contextualSpacing/>
        <w:rPr>
          <w:bCs/>
          <w:szCs w:val="22"/>
          <w:lang w:eastAsia="zh-CN"/>
        </w:rPr>
      </w:pPr>
      <w:r>
        <w:rPr>
          <w:szCs w:val="22"/>
        </w:rPr>
        <w:t xml:space="preserve">Gaurav Patwardhan passes the gavel to </w:t>
      </w:r>
      <w:r w:rsidR="00183BA3" w:rsidRPr="00183BA3">
        <w:rPr>
          <w:szCs w:val="22"/>
        </w:rPr>
        <w:t>Al Petrick</w:t>
      </w:r>
      <w:r>
        <w:rPr>
          <w:szCs w:val="22"/>
        </w:rPr>
        <w:t>, co-Vice Chair, to</w:t>
      </w:r>
      <w:r w:rsidR="00183BA3">
        <w:rPr>
          <w:b/>
          <w:bCs/>
          <w:szCs w:val="22"/>
        </w:rPr>
        <w:t xml:space="preserve"> </w:t>
      </w:r>
      <w:r w:rsidR="00183BA3" w:rsidRPr="002E6CBB">
        <w:rPr>
          <w:bCs/>
          <w:szCs w:val="22"/>
        </w:rPr>
        <w:t>chair the meeting</w:t>
      </w:r>
      <w:r w:rsidR="00183BA3">
        <w:rPr>
          <w:rFonts w:hint="eastAsia"/>
          <w:bCs/>
          <w:szCs w:val="22"/>
          <w:lang w:eastAsia="zh-CN"/>
        </w:rPr>
        <w:t>.</w:t>
      </w:r>
    </w:p>
    <w:p w14:paraId="66F1F902" w14:textId="77777777" w:rsidR="00183BA3" w:rsidRPr="00BB3E90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00852B31" w:rsidR="008C03A0" w:rsidRPr="00E9533E" w:rsidRDefault="00C26282" w:rsidP="002964D5">
      <w:pPr>
        <w:contextualSpacing/>
        <w:jc w:val="both"/>
        <w:rPr>
          <w:szCs w:val="22"/>
        </w:rPr>
      </w:pPr>
      <w:r w:rsidRPr="00C26282">
        <w:rPr>
          <w:szCs w:val="22"/>
        </w:rPr>
        <w:t>Gaurav Patwardhan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r w:rsidR="008C03A0" w:rsidRPr="00BB3E90">
          <w:rPr>
            <w:rStyle w:val="af1"/>
            <w:szCs w:val="22"/>
          </w:rPr>
          <w:t>18-2</w:t>
        </w:r>
        <w:r w:rsidR="009D5648" w:rsidRPr="00BB3E90">
          <w:rPr>
            <w:rStyle w:val="af1"/>
            <w:szCs w:val="22"/>
          </w:rPr>
          <w:t>5</w:t>
        </w:r>
        <w:r w:rsidR="008C03A0" w:rsidRPr="00BB3E90">
          <w:rPr>
            <w:rStyle w:val="af1"/>
            <w:szCs w:val="22"/>
          </w:rPr>
          <w:t>/00</w:t>
        </w:r>
        <w:r w:rsidR="00511D1A">
          <w:rPr>
            <w:rStyle w:val="af1"/>
            <w:szCs w:val="22"/>
          </w:rPr>
          <w:t>60</w:t>
        </w:r>
        <w:r w:rsidR="008C03A0" w:rsidRPr="00BB3E90">
          <w:rPr>
            <w:rStyle w:val="af1"/>
            <w:szCs w:val="22"/>
          </w:rPr>
          <w:t>r</w:t>
        </w:r>
      </w:hyperlink>
      <w:r w:rsidR="00511D1A">
        <w:rPr>
          <w:rStyle w:val="af1"/>
          <w:szCs w:val="22"/>
        </w:rPr>
        <w:t>1</w:t>
      </w:r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 w:rsidR="00303800" w:rsidRPr="00303800">
        <w:rPr>
          <w:szCs w:val="22"/>
        </w:rPr>
        <w:t>India TRAI’s consultation</w:t>
      </w:r>
      <w:r w:rsidR="009D5648" w:rsidRPr="00E9533E">
        <w:rPr>
          <w:szCs w:val="22"/>
        </w:rPr>
        <w:t xml:space="preserve"> “</w:t>
      </w:r>
      <w:r w:rsidR="00303800" w:rsidRPr="00303800">
        <w:rPr>
          <w:b/>
          <w:bCs/>
          <w:szCs w:val="22"/>
          <w:lang w:eastAsia="zh-CN"/>
        </w:rPr>
        <w:t>Consultation Paper on Assignment of the Microwave Spectrum in 6 GHz (lower), 7 GHz, 13 GHz, 15 GHz, 18 GHz, 21 GHz Bands, E-Band, and V-Band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 xml:space="preserve">.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0FD6ADBA" w:rsidR="00F24499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8F7772" w:rsidRPr="008F7772">
        <w:rPr>
          <w:szCs w:val="22"/>
        </w:rPr>
        <w:t xml:space="preserve"> The discussion was based mainly on the modification of some </w:t>
      </w:r>
      <w:r w:rsidR="001B6840">
        <w:rPr>
          <w:szCs w:val="22"/>
        </w:rPr>
        <w:t>t</w:t>
      </w:r>
      <w:r w:rsidR="001B6840" w:rsidRPr="001B6840">
        <w:rPr>
          <w:szCs w:val="22"/>
        </w:rPr>
        <w:t>extual representation of frequency units</w:t>
      </w:r>
      <w:r w:rsidR="001B6840">
        <w:rPr>
          <w:szCs w:val="22"/>
        </w:rPr>
        <w:t xml:space="preserve"> and</w:t>
      </w:r>
      <w:r w:rsidR="001B6840" w:rsidRPr="001B6840">
        <w:t xml:space="preserve"> </w:t>
      </w:r>
      <w:r w:rsidR="001B6840">
        <w:rPr>
          <w:szCs w:val="22"/>
        </w:rPr>
        <w:t>r</w:t>
      </w:r>
      <w:r w:rsidR="001B6840" w:rsidRPr="001B6840">
        <w:rPr>
          <w:szCs w:val="22"/>
        </w:rPr>
        <w:t>evised recommendations on indoor and outdoor emissions</w:t>
      </w:r>
      <w:r w:rsidR="00CE2206">
        <w:rPr>
          <w:rFonts w:hint="eastAsia"/>
          <w:szCs w:val="22"/>
          <w:lang w:eastAsia="zh-CN"/>
        </w:rPr>
        <w:t>.</w:t>
      </w:r>
    </w:p>
    <w:p w14:paraId="6E1DCCBA" w14:textId="03C4F7F7" w:rsidR="00B33AA8" w:rsidRDefault="00B33AA8" w:rsidP="002964D5">
      <w:pPr>
        <w:contextualSpacing/>
        <w:jc w:val="both"/>
        <w:rPr>
          <w:szCs w:val="22"/>
          <w:lang w:eastAsia="zh-CN"/>
        </w:rPr>
      </w:pPr>
    </w:p>
    <w:p w14:paraId="3669719C" w14:textId="06599A55" w:rsidR="00C01000" w:rsidRDefault="006C2094" w:rsidP="002964D5">
      <w:pPr>
        <w:contextualSpacing/>
        <w:jc w:val="both"/>
        <w:rPr>
          <w:szCs w:val="22"/>
          <w:lang w:eastAsia="zh-CN"/>
        </w:rPr>
      </w:pPr>
      <w:r>
        <w:rPr>
          <w:szCs w:val="22"/>
        </w:rPr>
        <w:t xml:space="preserve">Al Petrick, co-Vice Chair, passes the gavel back to </w:t>
      </w:r>
      <w:r w:rsidR="00C01000" w:rsidRPr="00C26282">
        <w:rPr>
          <w:szCs w:val="22"/>
        </w:rPr>
        <w:t>Gaurav Patwardhan</w:t>
      </w:r>
      <w:r>
        <w:rPr>
          <w:szCs w:val="22"/>
          <w:lang w:eastAsia="zh-CN"/>
        </w:rPr>
        <w:t>, to chair the meeting</w:t>
      </w:r>
      <w:r w:rsidR="00C01000">
        <w:rPr>
          <w:szCs w:val="22"/>
          <w:lang w:eastAsia="zh-CN"/>
        </w:rPr>
        <w:t>.</w:t>
      </w:r>
    </w:p>
    <w:p w14:paraId="0AE86E3D" w14:textId="77777777" w:rsidR="00C01000" w:rsidRPr="00C01000" w:rsidRDefault="00C01000" w:rsidP="002964D5">
      <w:pPr>
        <w:contextualSpacing/>
        <w:jc w:val="both"/>
        <w:rPr>
          <w:szCs w:val="22"/>
          <w:lang w:eastAsia="zh-CN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443CC296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3" w:history="1">
        <w:r w:rsidR="00B61135">
          <w:rPr>
            <w:rStyle w:val="af1"/>
            <w:b/>
            <w:szCs w:val="22"/>
          </w:rPr>
          <w:t>18-24/0001r44</w:t>
        </w:r>
      </w:hyperlink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046DF09D" w14:textId="77777777" w:rsidR="006F60DF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presents the status of ongoing consultations and upcoming deadlines to the group and reminds the group on the deadline of the outstanding consultations.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4D59034D" w14:textId="329C58A5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1B8C3A64" w14:textId="3C9F9A07" w:rsidR="00B21D3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 w:rsidR="001B6840">
        <w:rPr>
          <w:szCs w:val="22"/>
        </w:rPr>
        <w:t>3</w:t>
      </w:r>
      <w:r w:rsidRPr="00BB3E90">
        <w:rPr>
          <w:szCs w:val="22"/>
        </w:rPr>
        <w:t>).</w:t>
      </w:r>
    </w:p>
    <w:p w14:paraId="6DA8DE93" w14:textId="77777777" w:rsidR="00B21D30" w:rsidRPr="00BB3E90" w:rsidRDefault="00B21D30" w:rsidP="00B21D30">
      <w:pPr>
        <w:contextualSpacing/>
        <w:jc w:val="both"/>
        <w:rPr>
          <w:szCs w:val="22"/>
        </w:rPr>
      </w:pPr>
      <w:bookmarkStart w:id="0" w:name="_GoBack"/>
      <w:bookmarkEnd w:id="0"/>
    </w:p>
    <w:p w14:paraId="6D10C58D" w14:textId="25E400CD" w:rsidR="00B21D30" w:rsidRPr="00D320A7" w:rsidRDefault="00B21D30" w:rsidP="00B21D30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1B6840">
        <w:rPr>
          <w:szCs w:val="22"/>
        </w:rPr>
        <w:t>19</w:t>
      </w:r>
      <w:r w:rsidRPr="00D320A7">
        <w:rPr>
          <w:szCs w:val="22"/>
        </w:rPr>
        <w:t xml:space="preserve"> </w:t>
      </w:r>
      <w:r w:rsidR="001B6840">
        <w:rPr>
          <w:szCs w:val="22"/>
        </w:rPr>
        <w:t>June</w:t>
      </w:r>
      <w:r w:rsidRPr="00D320A7">
        <w:rPr>
          <w:szCs w:val="22"/>
        </w:rPr>
        <w:t xml:space="preserve"> 2025</w:t>
      </w:r>
      <w:r w:rsidR="00E40D7B">
        <w:rPr>
          <w:szCs w:val="22"/>
        </w:rPr>
        <w:t>,</w:t>
      </w:r>
      <w:r w:rsidR="00E40D7B" w:rsidRPr="00D320A7">
        <w:rPr>
          <w:szCs w:val="22"/>
        </w:rPr>
        <w:t xml:space="preserve"> </w:t>
      </w:r>
      <w:r w:rsidR="00E40D7B">
        <w:rPr>
          <w:szCs w:val="22"/>
        </w:rPr>
        <w:t>a</w:t>
      </w:r>
      <w:r w:rsidR="00E40D7B" w:rsidRPr="00D320A7">
        <w:rPr>
          <w:szCs w:val="22"/>
        </w:rPr>
        <w:t xml:space="preserve">nd </w:t>
      </w:r>
      <w:r w:rsidR="00FA51D1" w:rsidRPr="00842DD9">
        <w:rPr>
          <w:szCs w:val="22"/>
        </w:rPr>
        <w:t xml:space="preserve">the </w:t>
      </w:r>
      <w:r w:rsidR="001B6840">
        <w:rPr>
          <w:szCs w:val="22"/>
        </w:rPr>
        <w:t xml:space="preserve">standard </w:t>
      </w:r>
      <w:r w:rsidR="00FA51D1" w:rsidRPr="00842DD9">
        <w:rPr>
          <w:szCs w:val="22"/>
        </w:rPr>
        <w:t xml:space="preserve">registration and accommodation deadline of the </w:t>
      </w:r>
      <w:r w:rsidR="001B6840">
        <w:rPr>
          <w:szCs w:val="22"/>
        </w:rPr>
        <w:t>July</w:t>
      </w:r>
      <w:r w:rsidR="00FA51D1" w:rsidRPr="00842DD9">
        <w:rPr>
          <w:szCs w:val="22"/>
        </w:rPr>
        <w:t xml:space="preserve"> 2025 </w:t>
      </w:r>
      <w:r w:rsidR="001B6840">
        <w:rPr>
          <w:szCs w:val="22"/>
        </w:rPr>
        <w:t>Plenary</w:t>
      </w:r>
      <w:r w:rsidR="00FA51D1" w:rsidRPr="00842DD9">
        <w:rPr>
          <w:szCs w:val="22"/>
        </w:rPr>
        <w:t xml:space="preserve"> is </w:t>
      </w:r>
      <w:r w:rsidR="001B6840">
        <w:rPr>
          <w:szCs w:val="22"/>
        </w:rPr>
        <w:t>27</w:t>
      </w:r>
      <w:r w:rsidR="00FA51D1" w:rsidRPr="00842DD9">
        <w:rPr>
          <w:szCs w:val="22"/>
        </w:rPr>
        <w:t xml:space="preserve"> </w:t>
      </w:r>
      <w:r w:rsidR="001B6840">
        <w:rPr>
          <w:szCs w:val="22"/>
        </w:rPr>
        <w:t>June.</w:t>
      </w:r>
      <w:r w:rsidR="00FE27CF">
        <w:rPr>
          <w:szCs w:val="22"/>
        </w:rPr>
        <w:t xml:space="preserve">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5A5425A4" w14:textId="606CBA89" w:rsidR="00B97D8E" w:rsidRPr="00BB3E90" w:rsidRDefault="00B97D8E" w:rsidP="00DD011A">
      <w:pPr>
        <w:contextualSpacing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G</w:t>
      </w:r>
      <w:r>
        <w:rPr>
          <w:szCs w:val="22"/>
          <w:lang w:eastAsia="zh-CN"/>
        </w:rPr>
        <w:t xml:space="preserve">uido R. </w:t>
      </w:r>
      <w:proofErr w:type="spellStart"/>
      <w:r>
        <w:rPr>
          <w:szCs w:val="22"/>
          <w:lang w:eastAsia="zh-CN"/>
        </w:rPr>
        <w:t>Hiertz</w:t>
      </w:r>
      <w:proofErr w:type="spellEnd"/>
      <w:r>
        <w:rPr>
          <w:szCs w:val="22"/>
          <w:lang w:eastAsia="zh-CN"/>
        </w:rPr>
        <w:t xml:space="preserve"> </w:t>
      </w:r>
      <w:r w:rsidR="000D17A2">
        <w:rPr>
          <w:szCs w:val="22"/>
          <w:lang w:eastAsia="zh-CN"/>
        </w:rPr>
        <w:t xml:space="preserve">reported that </w:t>
      </w:r>
      <w:r w:rsidR="002E6CBB">
        <w:rPr>
          <w:szCs w:val="22"/>
          <w:lang w:eastAsia="zh-CN"/>
        </w:rPr>
        <w:t xml:space="preserve">BRAN working group was </w:t>
      </w:r>
      <w:r w:rsidR="00B61135">
        <w:rPr>
          <w:szCs w:val="22"/>
          <w:lang w:eastAsia="zh-CN"/>
        </w:rPr>
        <w:t>discussing a</w:t>
      </w:r>
      <w:r w:rsidR="008D4AA8">
        <w:rPr>
          <w:szCs w:val="22"/>
          <w:lang w:eastAsia="zh-CN"/>
        </w:rPr>
        <w:t xml:space="preserve"> technical report on </w:t>
      </w:r>
      <w:r w:rsidR="008D4AA8" w:rsidRPr="008D4AA8">
        <w:rPr>
          <w:szCs w:val="22"/>
          <w:lang w:eastAsia="zh-CN"/>
        </w:rPr>
        <w:t xml:space="preserve">coexistence challenges with </w:t>
      </w:r>
      <w:r w:rsidR="002E6CBB" w:rsidRPr="008D4AA8">
        <w:rPr>
          <w:szCs w:val="22"/>
          <w:lang w:eastAsia="zh-CN"/>
        </w:rPr>
        <w:t>emergent</w:t>
      </w:r>
      <w:r w:rsidR="008D4AA8" w:rsidRPr="008D4AA8">
        <w:rPr>
          <w:szCs w:val="22"/>
          <w:lang w:eastAsia="zh-CN"/>
        </w:rPr>
        <w:t xml:space="preserve"> </w:t>
      </w:r>
      <w:proofErr w:type="gramStart"/>
      <w:r w:rsidR="008D4AA8" w:rsidRPr="008D4AA8">
        <w:rPr>
          <w:szCs w:val="22"/>
          <w:lang w:eastAsia="zh-CN"/>
        </w:rPr>
        <w:t>solid state</w:t>
      </w:r>
      <w:proofErr w:type="gramEnd"/>
      <w:r w:rsidR="008D4AA8" w:rsidRPr="008D4AA8">
        <w:rPr>
          <w:szCs w:val="22"/>
          <w:lang w:eastAsia="zh-CN"/>
        </w:rPr>
        <w:t xml:space="preserve"> weather radars</w:t>
      </w:r>
      <w:r w:rsidR="008D4AA8">
        <w:rPr>
          <w:szCs w:val="22"/>
          <w:lang w:eastAsia="zh-CN"/>
        </w:rPr>
        <w:t>.</w:t>
      </w:r>
    </w:p>
    <w:p w14:paraId="5B03AE10" w14:textId="77777777" w:rsidR="00491D25" w:rsidRPr="00BB3E90" w:rsidRDefault="00491D25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2586CB00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</w:t>
      </w:r>
      <w:r w:rsidR="001B6840">
        <w:rPr>
          <w:szCs w:val="22"/>
        </w:rPr>
        <w:t>50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Default="00623BBA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Vijay</w:t>
            </w:r>
            <w:r w:rsidR="00E9533E">
              <w:rPr>
                <w:rFonts w:eastAsia="Times New Roman"/>
                <w:bCs/>
                <w:sz w:val="20"/>
              </w:rPr>
              <w:t xml:space="preserve"> Auluck</w:t>
            </w:r>
          </w:p>
        </w:tc>
        <w:tc>
          <w:tcPr>
            <w:tcW w:w="4284" w:type="dxa"/>
          </w:tcPr>
          <w:p w14:paraId="0EFEEFFE" w14:textId="30248523" w:rsidR="00623BBA" w:rsidRDefault="00623BBA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61135" w:rsidRPr="00D63B59" w14:paraId="3B888B05" w14:textId="77777777" w:rsidTr="00F668EE">
        <w:trPr>
          <w:trHeight w:val="246"/>
        </w:trPr>
        <w:tc>
          <w:tcPr>
            <w:tcW w:w="3047" w:type="dxa"/>
          </w:tcPr>
          <w:p w14:paraId="26742C74" w14:textId="77777777" w:rsidR="00B61135" w:rsidRPr="0057029D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T</w:t>
            </w:r>
            <w:r>
              <w:rPr>
                <w:bCs/>
                <w:sz w:val="20"/>
                <w:lang w:eastAsia="zh-CN"/>
              </w:rPr>
              <w:t>uncer</w:t>
            </w:r>
            <w:proofErr w:type="spellEnd"/>
            <w:r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0"/>
                <w:lang w:eastAsia="zh-CN"/>
              </w:rPr>
              <w:t>Baykas</w:t>
            </w:r>
            <w:proofErr w:type="spellEnd"/>
          </w:p>
        </w:tc>
        <w:tc>
          <w:tcPr>
            <w:tcW w:w="4284" w:type="dxa"/>
          </w:tcPr>
          <w:p w14:paraId="51DA374E" w14:textId="77777777" w:rsidR="00B61135" w:rsidRPr="0057029D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S</w:t>
            </w:r>
            <w:r>
              <w:rPr>
                <w:bCs/>
                <w:sz w:val="20"/>
                <w:lang w:eastAsia="zh-CN"/>
              </w:rPr>
              <w:t>elf</w:t>
            </w:r>
          </w:p>
        </w:tc>
      </w:tr>
      <w:tr w:rsidR="00B61135" w:rsidRPr="007B0587" w14:paraId="0A4724B3" w14:textId="77777777" w:rsidTr="00F668EE">
        <w:trPr>
          <w:trHeight w:val="246"/>
        </w:trPr>
        <w:tc>
          <w:tcPr>
            <w:tcW w:w="3047" w:type="dxa"/>
          </w:tcPr>
          <w:p w14:paraId="5CF8E8EE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540CCDFC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D5847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B61135" w:rsidRPr="00D63B59" w14:paraId="0FAFFB06" w14:textId="77777777" w:rsidTr="00F668EE">
        <w:trPr>
          <w:trHeight w:val="246"/>
        </w:trPr>
        <w:tc>
          <w:tcPr>
            <w:tcW w:w="3047" w:type="dxa"/>
          </w:tcPr>
          <w:p w14:paraId="7F4A8986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G</w:t>
            </w:r>
            <w:r>
              <w:rPr>
                <w:bCs/>
                <w:sz w:val="20"/>
                <w:lang w:eastAsia="zh-CN"/>
              </w:rPr>
              <w:t xml:space="preserve">uido R. </w:t>
            </w:r>
            <w:proofErr w:type="spellStart"/>
            <w:r>
              <w:rPr>
                <w:bCs/>
                <w:sz w:val="20"/>
                <w:lang w:eastAsia="zh-CN"/>
              </w:rPr>
              <w:t>Hiertz</w:t>
            </w:r>
            <w:proofErr w:type="spellEnd"/>
          </w:p>
        </w:tc>
        <w:tc>
          <w:tcPr>
            <w:tcW w:w="4284" w:type="dxa"/>
          </w:tcPr>
          <w:p w14:paraId="698ADF93" w14:textId="77777777" w:rsidR="00B61135" w:rsidRDefault="00B61135" w:rsidP="00F668EE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2E6CBB">
              <w:rPr>
                <w:rFonts w:eastAsia="Times New Roman"/>
                <w:bCs/>
                <w:sz w:val="20"/>
              </w:rPr>
              <w:t>Ericsson</w:t>
            </w:r>
          </w:p>
        </w:tc>
      </w:tr>
      <w:tr w:rsidR="00B61135" w:rsidRPr="007B0587" w14:paraId="29DF90B2" w14:textId="77777777" w:rsidTr="00F668EE">
        <w:trPr>
          <w:trHeight w:val="246"/>
        </w:trPr>
        <w:tc>
          <w:tcPr>
            <w:tcW w:w="3047" w:type="dxa"/>
          </w:tcPr>
          <w:p w14:paraId="217FD09B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Chenhe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3F729589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B61135" w:rsidRPr="00D63B59" w14:paraId="33DFA6DA" w14:textId="77777777" w:rsidTr="00F668EE">
        <w:trPr>
          <w:trHeight w:val="246"/>
        </w:trPr>
        <w:tc>
          <w:tcPr>
            <w:tcW w:w="3047" w:type="dxa"/>
          </w:tcPr>
          <w:p w14:paraId="09853770" w14:textId="77777777" w:rsidR="00B61135" w:rsidRPr="002E6CBB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C</w:t>
            </w:r>
            <w:r>
              <w:rPr>
                <w:bCs/>
                <w:sz w:val="20"/>
                <w:lang w:eastAsia="zh-CN"/>
              </w:rPr>
              <w:t>arl Kain</w:t>
            </w:r>
          </w:p>
        </w:tc>
        <w:tc>
          <w:tcPr>
            <w:tcW w:w="4284" w:type="dxa"/>
          </w:tcPr>
          <w:p w14:paraId="56AC87B9" w14:textId="77777777" w:rsidR="00B61135" w:rsidRPr="002E6CBB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2E6CBB">
              <w:rPr>
                <w:bCs/>
                <w:sz w:val="20"/>
                <w:lang w:eastAsia="zh-CN"/>
              </w:rPr>
              <w:t>Noblis, Inc.</w:t>
            </w:r>
          </w:p>
        </w:tc>
      </w:tr>
      <w:tr w:rsidR="002E6CBB" w:rsidRPr="00D63B59" w14:paraId="3FEE1FF5" w14:textId="77777777" w:rsidTr="00445927">
        <w:trPr>
          <w:trHeight w:val="246"/>
        </w:trPr>
        <w:tc>
          <w:tcPr>
            <w:tcW w:w="3047" w:type="dxa"/>
          </w:tcPr>
          <w:p w14:paraId="457AB937" w14:textId="25AB2FE7" w:rsidR="002E6CBB" w:rsidRPr="002E6CBB" w:rsidRDefault="002E6CBB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J</w:t>
            </w:r>
            <w:r>
              <w:rPr>
                <w:bCs/>
                <w:sz w:val="20"/>
                <w:lang w:eastAsia="zh-CN"/>
              </w:rPr>
              <w:t>ohn</w:t>
            </w:r>
            <w:r>
              <w:rPr>
                <w:rFonts w:hint="eastAsia"/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>Kenney</w:t>
            </w:r>
          </w:p>
        </w:tc>
        <w:tc>
          <w:tcPr>
            <w:tcW w:w="4284" w:type="dxa"/>
          </w:tcPr>
          <w:p w14:paraId="10203DC3" w14:textId="274C88BB" w:rsidR="002E6CBB" w:rsidRDefault="002E6CBB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2E6CBB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2E6CBB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2E6CBB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880488" w:rsidRPr="007B0587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2B931500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M</w:t>
            </w:r>
            <w:r>
              <w:rPr>
                <w:bCs/>
                <w:sz w:val="20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5D3A86C8" w14:textId="3DCD83E1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MJ Lynch &amp; Associates, LLC.</w:t>
            </w:r>
          </w:p>
        </w:tc>
      </w:tr>
      <w:tr w:rsidR="00880488" w:rsidRPr="007B0587" w14:paraId="6A0FDFE5" w14:textId="77777777" w:rsidTr="00FD48CB">
        <w:trPr>
          <w:trHeight w:val="246"/>
        </w:trPr>
        <w:tc>
          <w:tcPr>
            <w:tcW w:w="3047" w:type="dxa"/>
          </w:tcPr>
          <w:p w14:paraId="1CA166EE" w14:textId="43408B65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Gaurav</w:t>
            </w:r>
            <w:r>
              <w:rPr>
                <w:bCs/>
                <w:sz w:val="20"/>
                <w:lang w:eastAsia="zh-CN"/>
              </w:rPr>
              <w:t xml:space="preserve"> </w:t>
            </w:r>
            <w:r w:rsidRPr="00880488">
              <w:rPr>
                <w:bCs/>
                <w:sz w:val="20"/>
                <w:lang w:eastAsia="zh-CN"/>
              </w:rPr>
              <w:t>Patwardhan</w:t>
            </w:r>
          </w:p>
        </w:tc>
        <w:tc>
          <w:tcPr>
            <w:tcW w:w="4284" w:type="dxa"/>
          </w:tcPr>
          <w:p w14:paraId="76F68316" w14:textId="4D58BA6C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880488" w:rsidRPr="007B0587" w14:paraId="244EAD09" w14:textId="77777777" w:rsidTr="00FD48CB">
        <w:trPr>
          <w:trHeight w:val="246"/>
        </w:trPr>
        <w:tc>
          <w:tcPr>
            <w:tcW w:w="3047" w:type="dxa"/>
          </w:tcPr>
          <w:p w14:paraId="600A0A43" w14:textId="48C3475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7C38A63F" w14:textId="0695A27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880488" w:rsidRPr="007B0587" w14:paraId="417940FB" w14:textId="77777777" w:rsidTr="00FD48CB">
        <w:trPr>
          <w:trHeight w:val="246"/>
        </w:trPr>
        <w:tc>
          <w:tcPr>
            <w:tcW w:w="3047" w:type="dxa"/>
          </w:tcPr>
          <w:p w14:paraId="7B91E8F8" w14:textId="5B9BF3DC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Benjamin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0"/>
                <w:lang w:eastAsia="zh-CN"/>
              </w:rPr>
              <w:t>Rolfe</w:t>
            </w:r>
          </w:p>
        </w:tc>
        <w:tc>
          <w:tcPr>
            <w:tcW w:w="4284" w:type="dxa"/>
          </w:tcPr>
          <w:p w14:paraId="27A35ED1" w14:textId="1C8970FD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Blind Creek Associates</w:t>
            </w:r>
          </w:p>
        </w:tc>
      </w:tr>
      <w:tr w:rsidR="00880488" w:rsidRPr="007B0587" w14:paraId="10760C6B" w14:textId="77777777" w:rsidTr="00FD48CB">
        <w:trPr>
          <w:trHeight w:val="246"/>
        </w:trPr>
        <w:tc>
          <w:tcPr>
            <w:tcW w:w="3047" w:type="dxa"/>
          </w:tcPr>
          <w:p w14:paraId="1732C703" w14:textId="56401A00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Pelin</w:t>
            </w:r>
            <w:r w:rsidR="00B61135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284" w:type="dxa"/>
          </w:tcPr>
          <w:p w14:paraId="12097910" w14:textId="7C18E55E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B61135" w:rsidRPr="009A00D9" w14:paraId="71692A0D" w14:textId="77777777" w:rsidTr="00F668EE">
        <w:trPr>
          <w:trHeight w:val="246"/>
        </w:trPr>
        <w:tc>
          <w:tcPr>
            <w:tcW w:w="3047" w:type="dxa"/>
          </w:tcPr>
          <w:p w14:paraId="47DF4F3D" w14:textId="77777777" w:rsidR="00B61135" w:rsidRPr="009A00D9" w:rsidRDefault="00B61135" w:rsidP="00F668EE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Larry Zakaib</w:t>
            </w:r>
          </w:p>
        </w:tc>
        <w:tc>
          <w:tcPr>
            <w:tcW w:w="4284" w:type="dxa"/>
          </w:tcPr>
          <w:p w14:paraId="5CEFAA67" w14:textId="77777777" w:rsidR="00B61135" w:rsidRPr="009A00D9" w:rsidRDefault="00B61135" w:rsidP="00F668EE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A00D9">
              <w:rPr>
                <w:rFonts w:eastAsia="Times New Roman"/>
                <w:bCs/>
                <w:color w:val="000000" w:themeColor="text1"/>
                <w:sz w:val="20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C1DB" w14:textId="77777777" w:rsidR="00D84097" w:rsidRDefault="00D84097">
      <w:r>
        <w:separator/>
      </w:r>
    </w:p>
  </w:endnote>
  <w:endnote w:type="continuationSeparator" w:id="0">
    <w:p w14:paraId="0131DDCD" w14:textId="77777777" w:rsidR="00D84097" w:rsidRDefault="00D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D84097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5984" w14:textId="77777777" w:rsidR="00D84097" w:rsidRDefault="00D84097">
      <w:r>
        <w:separator/>
      </w:r>
    </w:p>
  </w:footnote>
  <w:footnote w:type="continuationSeparator" w:id="0">
    <w:p w14:paraId="43129C65" w14:textId="77777777" w:rsidR="00D84097" w:rsidRDefault="00D8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41D17AAE" w:rsidR="00BC2B32" w:rsidRDefault="00183BA3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Jun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6</w:t>
    </w:r>
    <w:r w:rsidR="00686D1C">
      <w:t>2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21"/>
  </w:num>
  <w:num w:numId="6">
    <w:abstractNumId w:val="2"/>
  </w:num>
  <w:num w:numId="7">
    <w:abstractNumId w:val="1"/>
  </w:num>
  <w:num w:numId="8">
    <w:abstractNumId w:val="3"/>
  </w:num>
  <w:num w:numId="9">
    <w:abstractNumId w:val="23"/>
  </w:num>
  <w:num w:numId="10">
    <w:abstractNumId w:val="9"/>
  </w:num>
  <w:num w:numId="11">
    <w:abstractNumId w:val="10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16"/>
  </w:num>
  <w:num w:numId="17">
    <w:abstractNumId w:val="0"/>
  </w:num>
  <w:num w:numId="18">
    <w:abstractNumId w:val="20"/>
  </w:num>
  <w:num w:numId="19">
    <w:abstractNumId w:val="24"/>
  </w:num>
  <w:num w:numId="20">
    <w:abstractNumId w:val="25"/>
  </w:num>
  <w:num w:numId="21">
    <w:abstractNumId w:val="4"/>
  </w:num>
  <w:num w:numId="22">
    <w:abstractNumId w:val="5"/>
  </w:num>
  <w:num w:numId="23">
    <w:abstractNumId w:val="28"/>
  </w:num>
  <w:num w:numId="24">
    <w:abstractNumId w:val="17"/>
  </w:num>
  <w:num w:numId="25">
    <w:abstractNumId w:val="14"/>
  </w:num>
  <w:num w:numId="26">
    <w:abstractNumId w:val="7"/>
  </w:num>
  <w:num w:numId="27">
    <w:abstractNumId w:val="19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51A3"/>
    <w:rsid w:val="001B6840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11D1A"/>
    <w:rsid w:val="005229BF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2094"/>
    <w:rsid w:val="006C4013"/>
    <w:rsid w:val="006C4FFE"/>
    <w:rsid w:val="006C629E"/>
    <w:rsid w:val="006D7B37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772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44-0000-status-of-ongoing-consultations-and-tag-documents-for-approv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60-01-0000-draft-response-to-india-trai-s-consultation-re-microwave-spectrum-assignment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58-00-0000-rr-tag-minutes-29-may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59-01-0000-rr-tag-agenda-12-june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7677-2ED1-4C3D-9A6E-F975D91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11</cp:revision>
  <cp:lastPrinted>2012-05-15T22:13:00Z</cp:lastPrinted>
  <dcterms:created xsi:type="dcterms:W3CDTF">2025-03-31T05:52:00Z</dcterms:created>
  <dcterms:modified xsi:type="dcterms:W3CDTF">2025-06-17T02:42:00Z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