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0FE9778" w:rsidR="002E16F1" w:rsidRDefault="00E640DE" w:rsidP="006A34B9">
            <w:pPr>
              <w:pStyle w:val="T2"/>
              <w:widowControl w:val="0"/>
              <w:rPr>
                <w:b w:val="0"/>
              </w:rPr>
            </w:pPr>
            <w:r w:rsidRPr="00E640DE">
              <w:rPr>
                <w:b w:val="0"/>
                <w:bCs/>
              </w:rPr>
              <w:t xml:space="preserve">Draft response to </w:t>
            </w:r>
            <w:r w:rsidR="008B3471">
              <w:rPr>
                <w:b w:val="0"/>
                <w:bCs/>
              </w:rPr>
              <w:t>FCC NOI Reply Comments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4280F58" w:rsidR="002E16F1" w:rsidRDefault="007C1BD0" w:rsidP="00DD531D">
            <w:pPr>
              <w:pStyle w:val="T2"/>
              <w:widowControl w:val="0"/>
              <w:ind w:left="0"/>
              <w:rPr>
                <w:b w:val="0"/>
                <w:sz w:val="20"/>
              </w:rPr>
            </w:pPr>
            <w:r>
              <w:rPr>
                <w:b w:val="0"/>
                <w:sz w:val="20"/>
              </w:rPr>
              <w:t>Date</w:t>
            </w:r>
            <w:proofErr w:type="gramStart"/>
            <w:r>
              <w:rPr>
                <w:b w:val="0"/>
                <w:sz w:val="20"/>
              </w:rPr>
              <w:t>:  202</w:t>
            </w:r>
            <w:r w:rsidR="008B3471">
              <w:rPr>
                <w:b w:val="0"/>
                <w:sz w:val="20"/>
              </w:rPr>
              <w:t>5</w:t>
            </w:r>
            <w:proofErr w:type="gramEnd"/>
            <w:r>
              <w:rPr>
                <w:b w:val="0"/>
                <w:sz w:val="20"/>
              </w:rPr>
              <w:t>-</w:t>
            </w:r>
            <w:r w:rsidR="002123AB">
              <w:rPr>
                <w:b w:val="0"/>
                <w:sz w:val="20"/>
              </w:rPr>
              <w:t>0</w:t>
            </w:r>
            <w:r w:rsidR="008B3471">
              <w:rPr>
                <w:b w:val="0"/>
                <w:sz w:val="20"/>
              </w:rPr>
              <w:t>4</w:t>
            </w:r>
            <w:r>
              <w:rPr>
                <w:b w:val="0"/>
                <w:sz w:val="20"/>
              </w:rPr>
              <w:t>-</w:t>
            </w:r>
            <w:r w:rsidR="00DD531D">
              <w:rPr>
                <w:b w:val="0"/>
                <w:sz w:val="20"/>
              </w:rPr>
              <w:t>2</w:t>
            </w:r>
            <w:r w:rsidR="008B3471">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FC594E0"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3A5E33F0"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7A0E1DDA" w:rsidR="00264D95" w:rsidRDefault="00264D95" w:rsidP="00703D7A">
            <w:pPr>
              <w:pStyle w:val="T2"/>
              <w:widowControl w:val="0"/>
              <w:spacing w:after="0"/>
              <w:ind w:left="0" w:right="0"/>
              <w:jc w:val="left"/>
              <w:rPr>
                <w:b w:val="0"/>
                <w:sz w:val="20"/>
              </w:rPr>
            </w:pP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115B659F" w:rsidR="0019019B" w:rsidRDefault="0019019B" w:rsidP="00AF5569">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5F85B560" w:rsidR="0019019B" w:rsidRDefault="0019019B" w:rsidP="00AF556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5E413FBC" w:rsidR="0019019B" w:rsidRDefault="0019019B" w:rsidP="00AF5569">
            <w:pPr>
              <w:pStyle w:val="T2"/>
              <w:widowControl w:val="0"/>
              <w:spacing w:after="0"/>
              <w:ind w:left="0" w:right="0"/>
              <w:jc w:val="left"/>
              <w:rPr>
                <w:b w:val="0"/>
                <w:sz w:val="20"/>
              </w:rPr>
            </w:pP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23E05551" w:rsidR="0019019B" w:rsidRDefault="0019019B" w:rsidP="0019019B">
            <w:pPr>
              <w:pStyle w:val="T2"/>
              <w:widowControl w:val="0"/>
              <w:spacing w:after="0"/>
              <w:ind w:left="0" w:right="0"/>
              <w:jc w:val="left"/>
              <w:rPr>
                <w:b w:val="0"/>
                <w:sz w:val="20"/>
              </w:rPr>
            </w:pP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3BDED172" w:rsidR="0019019B" w:rsidRPr="00FC678B" w:rsidRDefault="0019019B" w:rsidP="00A96D03">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2B1D08E4" w:rsidR="0019019B" w:rsidRDefault="0019019B" w:rsidP="00A96D03">
            <w:pPr>
              <w:pStyle w:val="T2"/>
              <w:widowControl w:val="0"/>
              <w:spacing w:after="0"/>
              <w:ind w:left="0" w:right="0"/>
              <w:jc w:val="left"/>
              <w:rPr>
                <w:rStyle w:val="Hyperlink"/>
                <w:b w:val="0"/>
                <w:sz w:val="20"/>
              </w:rPr>
            </w:pP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3920D5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w:t>
      </w:r>
      <w:r w:rsidR="008B3471">
        <w:rPr>
          <w:sz w:val="24"/>
          <w:szCs w:val="24"/>
        </w:rPr>
        <w:t>May</w:t>
      </w:r>
      <w:r w:rsidR="006A34B9">
        <w:rPr>
          <w:sz w:val="24"/>
          <w:szCs w:val="24"/>
        </w:rPr>
        <w:t xml:space="preserve"> </w:t>
      </w:r>
      <w:r w:rsidR="008B3471">
        <w:rPr>
          <w:sz w:val="24"/>
          <w:szCs w:val="24"/>
        </w:rPr>
        <w:t>1</w:t>
      </w:r>
      <w:r w:rsidRPr="008F605B">
        <w:rPr>
          <w:sz w:val="24"/>
          <w:szCs w:val="24"/>
        </w:rPr>
        <w:t>, 202</w:t>
      </w:r>
      <w:r w:rsidR="008B3471">
        <w:rPr>
          <w:sz w:val="24"/>
          <w:szCs w:val="24"/>
        </w:rPr>
        <w:t>5</w:t>
      </w:r>
    </w:p>
    <w:p w14:paraId="2E58D05D" w14:textId="77777777" w:rsidR="002E16F1" w:rsidRPr="00B902C8" w:rsidRDefault="002E16F1">
      <w:pPr>
        <w:rPr>
          <w:color w:val="000000"/>
          <w:sz w:val="24"/>
          <w:szCs w:val="24"/>
        </w:rPr>
      </w:pPr>
    </w:p>
    <w:p w14:paraId="0700CB36" w14:textId="2CE4DF9C"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w:t>
      </w:r>
      <w:r w:rsidR="008B3471">
        <w:rPr>
          <w:sz w:val="24"/>
          <w:szCs w:val="24"/>
        </w:rPr>
        <w:t>5</w:t>
      </w:r>
      <w:r w:rsidR="006A34B9" w:rsidRPr="006A34B9">
        <w:rPr>
          <w:sz w:val="24"/>
          <w:szCs w:val="24"/>
        </w:rPr>
        <w:t>-</w:t>
      </w:r>
      <w:r w:rsidR="008B3471">
        <w:rPr>
          <w:sz w:val="24"/>
          <w:szCs w:val="24"/>
        </w:rPr>
        <w:t>11</w:t>
      </w:r>
      <w:r w:rsidR="006A34B9" w:rsidRPr="006A34B9">
        <w:rPr>
          <w:sz w:val="24"/>
          <w:szCs w:val="24"/>
        </w:rPr>
        <w:t>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6552A875"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w:t>
      </w:r>
      <w:r w:rsidR="008B3471">
        <w:rPr>
          <w:rStyle w:val="None"/>
          <w:sz w:val="24"/>
          <w:szCs w:val="24"/>
        </w:rPr>
        <w:t>Notice of Inquiry</w:t>
      </w:r>
      <w:r w:rsidR="00DB1DC3">
        <w:rPr>
          <w:rStyle w:val="None"/>
          <w:sz w:val="24"/>
          <w:szCs w:val="24"/>
        </w:rPr>
        <w:t xml:space="preserve"> on </w:t>
      </w:r>
      <w:r w:rsidR="008B3471" w:rsidRPr="008B3471">
        <w:rPr>
          <w:rStyle w:val="None"/>
          <w:sz w:val="24"/>
          <w:szCs w:val="24"/>
        </w:rPr>
        <w:t>Promoting the Development of PNT Technologies and Solutions</w:t>
      </w:r>
      <w:r>
        <w:rPr>
          <w:rStyle w:val="None"/>
          <w:sz w:val="24"/>
          <w:szCs w:val="24"/>
        </w:rPr>
        <w:t xml:space="preserve"> 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77777777" w:rsidR="009A2E06" w:rsidRPr="002443B2" w:rsidRDefault="009A2E06" w:rsidP="00F82793">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6A8721FF" w14:textId="29CB5C85" w:rsidR="007C1BD0" w:rsidRPr="00B902C8" w:rsidRDefault="009A2E06" w:rsidP="00F82793">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F82793">
      <w:pPr>
        <w:jc w:val="both"/>
        <w:rPr>
          <w:sz w:val="24"/>
          <w:szCs w:val="24"/>
        </w:rPr>
      </w:pPr>
    </w:p>
    <w:p w14:paraId="18454A33" w14:textId="28B778C5" w:rsidR="007C1BD0" w:rsidRDefault="007C1BD0" w:rsidP="00F82793">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8B3471">
        <w:rPr>
          <w:sz w:val="24"/>
          <w:szCs w:val="24"/>
        </w:rPr>
        <w:t xml:space="preserve">reply </w:t>
      </w:r>
      <w:r w:rsidR="00A6165A" w:rsidRPr="00B902C8">
        <w:rPr>
          <w:sz w:val="24"/>
          <w:szCs w:val="24"/>
        </w:rPr>
        <w:t>comments on</w:t>
      </w:r>
      <w:r w:rsidRPr="00B902C8">
        <w:rPr>
          <w:sz w:val="24"/>
          <w:szCs w:val="24"/>
        </w:rPr>
        <w:t xml:space="preserve"> this </w:t>
      </w:r>
      <w:r w:rsidR="008B3471">
        <w:rPr>
          <w:sz w:val="24"/>
          <w:szCs w:val="24"/>
        </w:rPr>
        <w:t>NOI</w:t>
      </w:r>
      <w:r w:rsidRPr="00B902C8">
        <w:rPr>
          <w:sz w:val="24"/>
          <w:szCs w:val="24"/>
        </w:rPr>
        <w:t>.</w:t>
      </w:r>
    </w:p>
    <w:p w14:paraId="5271D258" w14:textId="77777777" w:rsidR="00A912C1" w:rsidRDefault="00A912C1" w:rsidP="00F82793">
      <w:pPr>
        <w:jc w:val="both"/>
        <w:rPr>
          <w:sz w:val="24"/>
          <w:szCs w:val="24"/>
        </w:rPr>
      </w:pPr>
    </w:p>
    <w:p w14:paraId="4CAF7682" w14:textId="090BA452" w:rsidR="00A912C1" w:rsidRDefault="00A912C1" w:rsidP="00F82793">
      <w:pPr>
        <w:jc w:val="both"/>
        <w:rPr>
          <w:sz w:val="24"/>
          <w:szCs w:val="24"/>
        </w:rPr>
      </w:pPr>
      <w:r>
        <w:rPr>
          <w:sz w:val="24"/>
          <w:szCs w:val="24"/>
        </w:rPr>
        <w:t xml:space="preserve">IEEE 802 </w:t>
      </w:r>
      <w:r w:rsidR="004328B5">
        <w:rPr>
          <w:sz w:val="24"/>
          <w:szCs w:val="24"/>
        </w:rPr>
        <w:t>is in</w:t>
      </w:r>
      <w:r>
        <w:rPr>
          <w:sz w:val="24"/>
          <w:szCs w:val="24"/>
        </w:rPr>
        <w:t xml:space="preserve"> favor of the development of complementary PNT technologies and solutions. </w:t>
      </w:r>
      <w:r w:rsidR="004328B5">
        <w:rPr>
          <w:sz w:val="24"/>
          <w:szCs w:val="24"/>
        </w:rPr>
        <w:t xml:space="preserve">The NOI also expressed interest in “exploring options that rely or incorporate solutions provided by </w:t>
      </w:r>
      <w:proofErr w:type="spellStart"/>
      <w:r w:rsidR="004328B5">
        <w:rPr>
          <w:sz w:val="24"/>
          <w:szCs w:val="24"/>
        </w:rPr>
        <w:t>NextNav</w:t>
      </w:r>
      <w:proofErr w:type="spellEnd"/>
      <w:r w:rsidR="004328B5">
        <w:rPr>
          <w:sz w:val="24"/>
          <w:szCs w:val="24"/>
        </w:rPr>
        <w:t xml:space="preserve"> Inc”. (Cite the NOI) The reply comments below are regarding the solution provided by </w:t>
      </w:r>
      <w:proofErr w:type="spellStart"/>
      <w:r w:rsidR="004328B5">
        <w:rPr>
          <w:sz w:val="24"/>
          <w:szCs w:val="24"/>
        </w:rPr>
        <w:t>NextNav</w:t>
      </w:r>
      <w:proofErr w:type="spellEnd"/>
      <w:r w:rsidR="004328B5">
        <w:rPr>
          <w:sz w:val="24"/>
          <w:szCs w:val="24"/>
        </w:rPr>
        <w:t>, Inc.</w:t>
      </w:r>
    </w:p>
    <w:p w14:paraId="39A93328" w14:textId="1B48B8A1" w:rsidR="00A912C1" w:rsidRPr="00B902C8" w:rsidRDefault="00A912C1" w:rsidP="00F82793">
      <w:pPr>
        <w:jc w:val="both"/>
        <w:rPr>
          <w:sz w:val="24"/>
          <w:szCs w:val="24"/>
        </w:rPr>
      </w:pPr>
    </w:p>
    <w:p w14:paraId="353C543B" w14:textId="005C60F9" w:rsidR="007C1BD0" w:rsidRPr="004328B5" w:rsidRDefault="004328B5" w:rsidP="00F82793">
      <w:pPr>
        <w:jc w:val="both"/>
        <w:rPr>
          <w:b/>
          <w:bCs/>
          <w:sz w:val="24"/>
          <w:szCs w:val="24"/>
        </w:rPr>
      </w:pPr>
      <w:r w:rsidRPr="004328B5">
        <w:rPr>
          <w:b/>
          <w:bCs/>
          <w:sz w:val="24"/>
          <w:szCs w:val="24"/>
        </w:rPr>
        <w:t xml:space="preserve">NOTE: This is from the comments on the </w:t>
      </w:r>
      <w:proofErr w:type="spellStart"/>
      <w:r w:rsidRPr="004328B5">
        <w:rPr>
          <w:b/>
          <w:bCs/>
          <w:sz w:val="24"/>
          <w:szCs w:val="24"/>
        </w:rPr>
        <w:t>NextNav</w:t>
      </w:r>
      <w:proofErr w:type="spellEnd"/>
      <w:r w:rsidRPr="004328B5">
        <w:rPr>
          <w:b/>
          <w:bCs/>
          <w:sz w:val="24"/>
          <w:szCs w:val="24"/>
        </w:rPr>
        <w:t xml:space="preserve"> petition.</w:t>
      </w:r>
    </w:p>
    <w:p w14:paraId="58898C53" w14:textId="77777777" w:rsidR="004328B5" w:rsidRPr="00B902C8" w:rsidRDefault="004328B5" w:rsidP="00F82793">
      <w:pPr>
        <w:jc w:val="both"/>
        <w:rPr>
          <w:sz w:val="24"/>
          <w:szCs w:val="24"/>
        </w:rPr>
      </w:pPr>
    </w:p>
    <w:p w14:paraId="15A4BF4E" w14:textId="064B6DBF" w:rsidR="00652C11" w:rsidRPr="0041473B" w:rsidRDefault="00652C11" w:rsidP="00F82793">
      <w:pPr>
        <w:jc w:val="both"/>
        <w:rPr>
          <w:b/>
          <w:bCs/>
          <w:sz w:val="24"/>
          <w:szCs w:val="24"/>
        </w:rPr>
      </w:pPr>
      <w:r w:rsidRPr="0041473B">
        <w:rPr>
          <w:b/>
          <w:bCs/>
          <w:sz w:val="24"/>
          <w:szCs w:val="24"/>
        </w:rPr>
        <w:t xml:space="preserve">Discussion: </w:t>
      </w:r>
      <w:r w:rsidR="00F82793">
        <w:rPr>
          <w:b/>
          <w:bCs/>
          <w:sz w:val="24"/>
          <w:szCs w:val="24"/>
        </w:rPr>
        <w:t xml:space="preserve">The </w:t>
      </w:r>
      <w:r w:rsidRPr="0041473B">
        <w:rPr>
          <w:b/>
          <w:bCs/>
          <w:sz w:val="24"/>
          <w:szCs w:val="24"/>
        </w:rPr>
        <w:t>902</w:t>
      </w:r>
      <w:r w:rsidR="00F82793">
        <w:rPr>
          <w:b/>
          <w:bCs/>
          <w:sz w:val="24"/>
          <w:szCs w:val="24"/>
        </w:rPr>
        <w:t xml:space="preserve"> MHz </w:t>
      </w:r>
      <w:r w:rsidRPr="0041473B">
        <w:rPr>
          <w:b/>
          <w:bCs/>
          <w:sz w:val="24"/>
          <w:szCs w:val="24"/>
        </w:rPr>
        <w:t>-</w:t>
      </w:r>
      <w:r w:rsidR="00F82793">
        <w:rPr>
          <w:b/>
          <w:bCs/>
          <w:sz w:val="24"/>
          <w:szCs w:val="24"/>
        </w:rPr>
        <w:t xml:space="preserve"> </w:t>
      </w:r>
      <w:r w:rsidRPr="0041473B">
        <w:rPr>
          <w:b/>
          <w:bCs/>
          <w:sz w:val="24"/>
          <w:szCs w:val="24"/>
        </w:rPr>
        <w:t xml:space="preserve">928 MHz </w:t>
      </w:r>
      <w:r w:rsidR="00F82793">
        <w:rPr>
          <w:b/>
          <w:bCs/>
          <w:sz w:val="24"/>
          <w:szCs w:val="24"/>
        </w:rPr>
        <w:t xml:space="preserve">frequency </w:t>
      </w:r>
      <w:r w:rsidRPr="0041473B">
        <w:rPr>
          <w:b/>
          <w:bCs/>
          <w:sz w:val="24"/>
          <w:szCs w:val="24"/>
        </w:rPr>
        <w:t xml:space="preserve">band is extensively used by </w:t>
      </w:r>
      <w:proofErr w:type="gramStart"/>
      <w:r w:rsidRPr="0041473B">
        <w:rPr>
          <w:b/>
          <w:bCs/>
          <w:sz w:val="24"/>
          <w:szCs w:val="24"/>
        </w:rPr>
        <w:t>the Part</w:t>
      </w:r>
      <w:proofErr w:type="gramEnd"/>
      <w:r w:rsidRPr="0041473B">
        <w:rPr>
          <w:b/>
          <w:bCs/>
          <w:sz w:val="24"/>
          <w:szCs w:val="24"/>
        </w:rPr>
        <w:t xml:space="preserve"> 15 </w:t>
      </w:r>
      <w:r w:rsidR="00F82793">
        <w:rPr>
          <w:b/>
          <w:bCs/>
          <w:sz w:val="24"/>
          <w:szCs w:val="24"/>
        </w:rPr>
        <w:t>devices,</w:t>
      </w:r>
      <w:r w:rsidRPr="0041473B">
        <w:rPr>
          <w:b/>
          <w:bCs/>
          <w:sz w:val="24"/>
          <w:szCs w:val="24"/>
        </w:rPr>
        <w:t xml:space="preserve"> including </w:t>
      </w:r>
      <w:r w:rsidR="009C3FEA">
        <w:rPr>
          <w:b/>
          <w:bCs/>
          <w:sz w:val="24"/>
          <w:szCs w:val="24"/>
        </w:rPr>
        <w:t>IEEE 802.11ah-b</w:t>
      </w:r>
      <w:r w:rsidR="007F13E0">
        <w:rPr>
          <w:b/>
          <w:bCs/>
          <w:sz w:val="24"/>
          <w:szCs w:val="24"/>
        </w:rPr>
        <w:t>a</w:t>
      </w:r>
      <w:r w:rsidR="009C3FEA">
        <w:rPr>
          <w:b/>
          <w:bCs/>
          <w:sz w:val="24"/>
          <w:szCs w:val="24"/>
        </w:rPr>
        <w:t xml:space="preserve">sed Wi-Fi </w:t>
      </w:r>
      <w:proofErr w:type="spellStart"/>
      <w:r w:rsidR="009C3FEA">
        <w:rPr>
          <w:b/>
          <w:bCs/>
          <w:sz w:val="24"/>
          <w:szCs w:val="24"/>
        </w:rPr>
        <w:t>HaLow</w:t>
      </w:r>
      <w:proofErr w:type="spellEnd"/>
      <w:r w:rsidR="009C3FEA">
        <w:rPr>
          <w:b/>
          <w:bCs/>
          <w:sz w:val="24"/>
          <w:szCs w:val="24"/>
        </w:rPr>
        <w:t xml:space="preserve"> and IEEE 802.15.4-based Wi-SUN FAN</w:t>
      </w:r>
      <w:r w:rsidR="00854214">
        <w:rPr>
          <w:b/>
          <w:bCs/>
          <w:sz w:val="24"/>
          <w:szCs w:val="24"/>
        </w:rPr>
        <w:t>, to enable a</w:t>
      </w:r>
      <w:r w:rsidRPr="0041473B">
        <w:rPr>
          <w:b/>
          <w:bCs/>
          <w:sz w:val="24"/>
          <w:szCs w:val="24"/>
        </w:rPr>
        <w:t xml:space="preserve"> thriving IoT ecosystem</w:t>
      </w:r>
    </w:p>
    <w:p w14:paraId="02097C3B" w14:textId="77777777" w:rsidR="00652C11" w:rsidRDefault="00652C11" w:rsidP="00F82793">
      <w:pPr>
        <w:jc w:val="both"/>
        <w:rPr>
          <w:sz w:val="24"/>
          <w:szCs w:val="24"/>
        </w:rPr>
      </w:pPr>
    </w:p>
    <w:p w14:paraId="2830CBAB" w14:textId="473FC30E" w:rsidR="009C3FEA" w:rsidRDefault="009C3FEA" w:rsidP="009C3FEA">
      <w:pPr>
        <w:jc w:val="both"/>
        <w:rPr>
          <w:sz w:val="24"/>
          <w:szCs w:val="24"/>
        </w:rPr>
      </w:pPr>
      <w:r>
        <w:rPr>
          <w:sz w:val="24"/>
          <w:szCs w:val="24"/>
        </w:rPr>
        <w:t>IEEE 802 standards-based devices</w:t>
      </w:r>
      <w:r w:rsidR="007D7887">
        <w:rPr>
          <w:sz w:val="24"/>
          <w:szCs w:val="24"/>
        </w:rPr>
        <w:t>, specifically</w:t>
      </w:r>
      <w:r w:rsidR="007D7887" w:rsidRPr="007D7887">
        <w:rPr>
          <w:bCs/>
          <w:sz w:val="24"/>
          <w:szCs w:val="24"/>
        </w:rPr>
        <w:t> IEEE 802.11ah-b</w:t>
      </w:r>
      <w:r w:rsidR="007F13E0">
        <w:rPr>
          <w:bCs/>
          <w:sz w:val="24"/>
          <w:szCs w:val="24"/>
        </w:rPr>
        <w:t>a</w:t>
      </w:r>
      <w:r w:rsidR="007D7887" w:rsidRPr="007D7887">
        <w:rPr>
          <w:bCs/>
          <w:sz w:val="24"/>
          <w:szCs w:val="24"/>
        </w:rPr>
        <w:t xml:space="preserve">sed Wi-Fi </w:t>
      </w:r>
      <w:proofErr w:type="spellStart"/>
      <w:r w:rsidR="007D7887" w:rsidRPr="007D7887">
        <w:rPr>
          <w:bCs/>
          <w:sz w:val="24"/>
          <w:szCs w:val="24"/>
        </w:rPr>
        <w:t>HaLow</w:t>
      </w:r>
      <w:proofErr w:type="spellEnd"/>
      <w:r w:rsidR="007D7887" w:rsidRPr="007D7887">
        <w:rPr>
          <w:bCs/>
          <w:sz w:val="24"/>
          <w:szCs w:val="24"/>
        </w:rPr>
        <w:t xml:space="preserve"> and IEEE 802.15.4-based Wi-SUN F</w:t>
      </w:r>
      <w:r w:rsidR="00D512D8">
        <w:rPr>
          <w:bCs/>
          <w:sz w:val="24"/>
          <w:szCs w:val="24"/>
        </w:rPr>
        <w:t>ield Area network (F</w:t>
      </w:r>
      <w:r w:rsidR="007D7887" w:rsidRPr="007D7887">
        <w:rPr>
          <w:bCs/>
          <w:sz w:val="24"/>
          <w:szCs w:val="24"/>
        </w:rPr>
        <w:t>AN</w:t>
      </w:r>
      <w:r w:rsidR="00D512D8">
        <w:rPr>
          <w:bCs/>
          <w:sz w:val="24"/>
          <w:szCs w:val="24"/>
        </w:rPr>
        <w:t>)</w:t>
      </w:r>
      <w:r w:rsidR="009D7F54" w:rsidRPr="009D7F54">
        <w:rPr>
          <w:bCs/>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w:t>
      </w:r>
      <w:r>
        <w:rPr>
          <w:sz w:val="24"/>
          <w:szCs w:val="24"/>
        </w:rPr>
        <w:lastRenderedPageBreak/>
        <w: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over </w:t>
      </w:r>
      <w:r w:rsidR="007D7887" w:rsidRPr="007D7887">
        <w:rPr>
          <w:sz w:val="24"/>
          <w:szCs w:val="24"/>
        </w:rPr>
        <w:t>120 million smart electric meters</w:t>
      </w:r>
      <w:r w:rsidR="00A937DC">
        <w:rPr>
          <w:rStyle w:val="FootnoteReference"/>
          <w:sz w:val="24"/>
          <w:szCs w:val="24"/>
        </w:rPr>
        <w:footnoteReference w:id="2"/>
      </w:r>
      <w:r>
        <w:rPr>
          <w:sz w:val="24"/>
          <w:szCs w:val="24"/>
        </w:rPr>
        <w:t xml:space="preserve"> </w:t>
      </w:r>
      <w:r w:rsidR="007D7887">
        <w:rPr>
          <w:sz w:val="24"/>
          <w:szCs w:val="24"/>
        </w:rPr>
        <w:t>de</w:t>
      </w:r>
      <w:r w:rsidR="00031B26">
        <w:rPr>
          <w:sz w:val="24"/>
          <w:szCs w:val="24"/>
        </w:rPr>
        <w:t>ployed across the North America.</w:t>
      </w:r>
    </w:p>
    <w:p w14:paraId="3CE6EF25" w14:textId="77777777" w:rsidR="009C3FEA" w:rsidRDefault="009C3FEA" w:rsidP="009C3FEA">
      <w:pPr>
        <w:jc w:val="both"/>
        <w:rPr>
          <w:sz w:val="24"/>
          <w:szCs w:val="24"/>
        </w:rPr>
      </w:pPr>
    </w:p>
    <w:p w14:paraId="140910CC" w14:textId="326D19DA" w:rsidR="009C3FEA" w:rsidRDefault="009C3FEA" w:rsidP="009C3FEA">
      <w:pPr>
        <w:jc w:val="both"/>
        <w:rPr>
          <w:sz w:val="24"/>
          <w:szCs w:val="24"/>
        </w:rPr>
      </w:pPr>
      <w:r>
        <w:rPr>
          <w:sz w:val="24"/>
          <w:szCs w:val="24"/>
        </w:rPr>
        <w:t>S</w:t>
      </w:r>
      <w:r w:rsidRPr="0041473B">
        <w:rPr>
          <w:sz w:val="24"/>
          <w:szCs w:val="24"/>
        </w:rPr>
        <w:t xml:space="preserve">ub-1 GHz </w:t>
      </w:r>
      <w:r>
        <w:rPr>
          <w:sz w:val="24"/>
          <w:szCs w:val="24"/>
        </w:rPr>
        <w:t xml:space="preserve">frequency has better penetration capabilities due to longer range </w:t>
      </w:r>
      <w:r w:rsidR="007D7887">
        <w:rPr>
          <w:sz w:val="24"/>
          <w:szCs w:val="24"/>
        </w:rPr>
        <w:t>and cleaner propagation spectrum,</w:t>
      </w:r>
      <w:r>
        <w:rPr>
          <w:sz w:val="24"/>
          <w:szCs w:val="24"/>
        </w:rPr>
        <w:t xml:space="preserve"> which allows </w:t>
      </w:r>
      <w:r w:rsidR="007D7887">
        <w:rPr>
          <w:sz w:val="24"/>
          <w:szCs w:val="24"/>
        </w:rPr>
        <w:t xml:space="preserve">IoT </w:t>
      </w:r>
      <w:r>
        <w:rPr>
          <w:sz w:val="24"/>
          <w:szCs w:val="24"/>
        </w:rPr>
        <w:t xml:space="preserve">sensors and low power devices to operate more efficiently. This band </w:t>
      </w:r>
      <w:r w:rsidRPr="0041473B">
        <w:rPr>
          <w:sz w:val="24"/>
          <w:szCs w:val="24"/>
        </w:rPr>
        <w:t xml:space="preserve">is </w:t>
      </w:r>
      <w:r>
        <w:rPr>
          <w:sz w:val="24"/>
          <w:szCs w:val="24"/>
        </w:rPr>
        <w:t>necessary</w:t>
      </w:r>
      <w:r w:rsidRPr="0041473B">
        <w:rPr>
          <w:sz w:val="24"/>
          <w:szCs w:val="24"/>
        </w:rPr>
        <w:t xml:space="preserve"> for </w:t>
      </w:r>
      <w:r>
        <w:rPr>
          <w:sz w:val="24"/>
          <w:szCs w:val="24"/>
        </w:rPr>
        <w:t xml:space="preserve">proper </w:t>
      </w:r>
      <w:r w:rsidRPr="0041473B">
        <w:rPr>
          <w:sz w:val="24"/>
          <w:szCs w:val="24"/>
        </w:rPr>
        <w:t>coverage</w:t>
      </w:r>
      <w:r>
        <w:rPr>
          <w:sz w:val="24"/>
          <w:szCs w:val="24"/>
        </w:rPr>
        <w:t xml:space="preserve"> since there is </w:t>
      </w:r>
      <w:r w:rsidRPr="0041473B">
        <w:rPr>
          <w:sz w:val="24"/>
          <w:szCs w:val="24"/>
        </w:rPr>
        <w:t xml:space="preserve">no alternative spectrum available for </w:t>
      </w:r>
      <w:r>
        <w:rPr>
          <w:sz w:val="24"/>
          <w:szCs w:val="24"/>
        </w:rPr>
        <w:t xml:space="preserve">the Wi-Fi </w:t>
      </w:r>
      <w:proofErr w:type="spellStart"/>
      <w:r>
        <w:rPr>
          <w:sz w:val="24"/>
          <w:szCs w:val="24"/>
        </w:rPr>
        <w:t>HaLow</w:t>
      </w:r>
      <w:proofErr w:type="spellEnd"/>
      <w:r>
        <w:rPr>
          <w:sz w:val="24"/>
          <w:szCs w:val="24"/>
        </w:rPr>
        <w:t xml:space="preserve"> and Wi-SUN FAN</w:t>
      </w:r>
      <w:r w:rsidRPr="0041473B">
        <w:rPr>
          <w:sz w:val="24"/>
          <w:szCs w:val="24"/>
        </w:rPr>
        <w:t xml:space="preserve"> devices</w:t>
      </w:r>
      <w:r>
        <w:rPr>
          <w:sz w:val="24"/>
          <w:szCs w:val="24"/>
        </w:rPr>
        <w:t xml:space="preserve"> currently occupying this band.</w:t>
      </w:r>
    </w:p>
    <w:p w14:paraId="0B1C6799" w14:textId="3820166D" w:rsidR="009C3FEA" w:rsidRDefault="009C3FEA" w:rsidP="009C3FEA">
      <w:pPr>
        <w:jc w:val="both"/>
        <w:rPr>
          <w:sz w:val="24"/>
          <w:szCs w:val="24"/>
        </w:rPr>
      </w:pPr>
    </w:p>
    <w:p w14:paraId="60A243EF" w14:textId="77777777" w:rsidR="009C3FEA" w:rsidRDefault="009C3FEA" w:rsidP="009C3FEA">
      <w:pPr>
        <w:jc w:val="both"/>
        <w:rPr>
          <w:sz w:val="24"/>
          <w:szCs w:val="24"/>
        </w:rPr>
      </w:pPr>
    </w:p>
    <w:p w14:paraId="1C0B3F9E" w14:textId="5BBF11B7" w:rsidR="009C3FEA" w:rsidRDefault="009C3FEA" w:rsidP="009C3FEA">
      <w:pPr>
        <w:jc w:val="both"/>
        <w:rPr>
          <w:sz w:val="24"/>
          <w:szCs w:val="24"/>
        </w:rPr>
      </w:pPr>
      <w:r>
        <w:rPr>
          <w:sz w:val="24"/>
          <w:szCs w:val="24"/>
        </w:rPr>
        <w:t>I</w:t>
      </w:r>
      <w:r w:rsidRPr="000D5DB4">
        <w:rPr>
          <w:sz w:val="24"/>
          <w:szCs w:val="24"/>
        </w:rPr>
        <w:t>n addition to</w:t>
      </w:r>
      <w:r>
        <w:rPr>
          <w:sz w:val="24"/>
          <w:szCs w:val="24"/>
        </w:rPr>
        <w:t xml:space="preserve"> the IEEE 802 standards-based technologies deployed as Wi-Fi</w:t>
      </w:r>
      <w:r w:rsidRPr="000D5DB4">
        <w:rPr>
          <w:sz w:val="24"/>
          <w:szCs w:val="24"/>
        </w:rPr>
        <w:t xml:space="preserve"> </w:t>
      </w:r>
      <w:proofErr w:type="spellStart"/>
      <w:r w:rsidRPr="000D5DB4">
        <w:rPr>
          <w:sz w:val="24"/>
          <w:szCs w:val="24"/>
        </w:rPr>
        <w:t>HaLow</w:t>
      </w:r>
      <w:proofErr w:type="spellEnd"/>
      <w:r>
        <w:rPr>
          <w:sz w:val="24"/>
          <w:szCs w:val="24"/>
        </w:rPr>
        <w:t xml:space="preserve"> and </w:t>
      </w:r>
      <w:r w:rsidRPr="000D5DB4">
        <w:rPr>
          <w:sz w:val="24"/>
          <w:szCs w:val="24"/>
        </w:rPr>
        <w:t>Wi-SUN</w:t>
      </w:r>
      <w:r>
        <w:rPr>
          <w:sz w:val="24"/>
          <w:szCs w:val="24"/>
        </w:rPr>
        <w:t xml:space="preserve"> FAN, as well as LPWAN technologies such as </w:t>
      </w:r>
      <w:proofErr w:type="spellStart"/>
      <w:r>
        <w:rPr>
          <w:sz w:val="24"/>
          <w:szCs w:val="24"/>
        </w:rPr>
        <w:t>SigFox</w:t>
      </w:r>
      <w:proofErr w:type="spellEnd"/>
      <w:r>
        <w:rPr>
          <w:sz w:val="24"/>
          <w:szCs w:val="24"/>
        </w:rPr>
        <w:t xml:space="preserve"> and LoRa </w:t>
      </w:r>
      <w:r w:rsidRPr="000D5DB4">
        <w:rPr>
          <w:sz w:val="24"/>
          <w:szCs w:val="24"/>
        </w:rPr>
        <w:t>deployments</w:t>
      </w:r>
      <w:r>
        <w:rPr>
          <w:sz w:val="24"/>
          <w:szCs w:val="24"/>
        </w:rPr>
        <w:t>,</w:t>
      </w:r>
      <w:r w:rsidRPr="000D5DB4">
        <w:rPr>
          <w:sz w:val="24"/>
          <w:szCs w:val="24"/>
        </w:rPr>
        <w:t xml:space="preserve"> there are millions of proprietary systems deployed </w:t>
      </w:r>
      <w:r>
        <w:rPr>
          <w:sz w:val="24"/>
          <w:szCs w:val="24"/>
        </w:rPr>
        <w:t xml:space="preserve">in large scale outdoor applications at the 900 MHz band, such as </w:t>
      </w:r>
      <w:r w:rsidRPr="000D5DB4">
        <w:rPr>
          <w:sz w:val="24"/>
          <w:szCs w:val="24"/>
        </w:rPr>
        <w:t>agriculture</w:t>
      </w:r>
      <w:r>
        <w:rPr>
          <w:sz w:val="24"/>
          <w:szCs w:val="24"/>
        </w:rPr>
        <w:t xml:space="preserve">, electric, gas and water </w:t>
      </w:r>
      <w:r w:rsidRPr="000D5DB4">
        <w:rPr>
          <w:sz w:val="24"/>
          <w:szCs w:val="24"/>
        </w:rPr>
        <w:t>meters (AMR)</w:t>
      </w:r>
      <w:r>
        <w:rPr>
          <w:sz w:val="24"/>
          <w:szCs w:val="24"/>
        </w:rPr>
        <w:t xml:space="preserve">, </w:t>
      </w:r>
      <w:r w:rsidRPr="000D5DB4">
        <w:rPr>
          <w:sz w:val="24"/>
          <w:szCs w:val="24"/>
        </w:rPr>
        <w:t>potable water towers</w:t>
      </w:r>
      <w:r>
        <w:rPr>
          <w:sz w:val="24"/>
          <w:szCs w:val="24"/>
        </w:rPr>
        <w:t xml:space="preserve">, </w:t>
      </w:r>
      <w:r w:rsidRPr="000D5DB4">
        <w:rPr>
          <w:sz w:val="24"/>
          <w:szCs w:val="24"/>
        </w:rPr>
        <w:t>streetlights,</w:t>
      </w:r>
      <w:r>
        <w:rPr>
          <w:sz w:val="24"/>
          <w:szCs w:val="24"/>
        </w:rPr>
        <w:t xml:space="preserve"> Utility SCADA systems,</w:t>
      </w:r>
      <w:r w:rsidRPr="000D5DB4">
        <w:rPr>
          <w:sz w:val="24"/>
          <w:szCs w:val="24"/>
        </w:rPr>
        <w:t xml:space="preserve"> oil and gas</w:t>
      </w:r>
      <w:r>
        <w:rPr>
          <w:sz w:val="24"/>
          <w:szCs w:val="24"/>
        </w:rPr>
        <w:t xml:space="preserve"> processing and distribution monitoring</w:t>
      </w:r>
      <w:r w:rsidRPr="000D5DB4">
        <w:rPr>
          <w:sz w:val="24"/>
          <w:szCs w:val="24"/>
        </w:rPr>
        <w:t>,</w:t>
      </w:r>
      <w:r>
        <w:rPr>
          <w:sz w:val="24"/>
          <w:szCs w:val="24"/>
        </w:rPr>
        <w:t xml:space="preserve"> and </w:t>
      </w:r>
      <w:r w:rsidRPr="000D5DB4">
        <w:rPr>
          <w:sz w:val="24"/>
          <w:szCs w:val="24"/>
        </w:rPr>
        <w:t>wastewater</w:t>
      </w:r>
      <w:r>
        <w:rPr>
          <w:sz w:val="24"/>
          <w:szCs w:val="24"/>
        </w:rPr>
        <w:t xml:space="preserve"> monitoring and processing stations</w:t>
      </w:r>
      <w:r w:rsidRPr="000D5DB4">
        <w:rPr>
          <w:sz w:val="24"/>
          <w:szCs w:val="24"/>
        </w:rPr>
        <w:t>.</w:t>
      </w:r>
    </w:p>
    <w:p w14:paraId="29B168FB" w14:textId="76944811" w:rsidR="009C3FEA" w:rsidRDefault="009C3FEA" w:rsidP="009C3FEA">
      <w:pPr>
        <w:jc w:val="both"/>
        <w:rPr>
          <w:sz w:val="24"/>
          <w:szCs w:val="24"/>
        </w:rPr>
      </w:pPr>
      <w:r w:rsidRPr="000D5DB4">
        <w:rPr>
          <w:sz w:val="24"/>
          <w:szCs w:val="24"/>
        </w:rPr>
        <w:t xml:space="preserve"> </w:t>
      </w:r>
    </w:p>
    <w:p w14:paraId="14061B6D" w14:textId="37EF589F" w:rsidR="009C3FEA" w:rsidRDefault="009C3FEA" w:rsidP="009C3FEA">
      <w:pPr>
        <w:jc w:val="both"/>
        <w:rPr>
          <w:sz w:val="24"/>
          <w:szCs w:val="24"/>
        </w:rPr>
      </w:pPr>
      <w:r w:rsidRPr="000D5DB4">
        <w:rPr>
          <w:sz w:val="24"/>
          <w:szCs w:val="24"/>
        </w:rPr>
        <w:t>Approval of the</w:t>
      </w:r>
      <w:r>
        <w:rPr>
          <w:sz w:val="24"/>
          <w:szCs w:val="24"/>
        </w:rPr>
        <w:t xml:space="preserve"> changes petitioned by </w:t>
      </w:r>
      <w:proofErr w:type="spellStart"/>
      <w:r>
        <w:rPr>
          <w:sz w:val="24"/>
          <w:szCs w:val="24"/>
        </w:rPr>
        <w:t>NextNav</w:t>
      </w:r>
      <w:proofErr w:type="spellEnd"/>
      <w:r>
        <w:rPr>
          <w:sz w:val="24"/>
          <w:szCs w:val="24"/>
        </w:rPr>
        <w:t xml:space="preserve"> will potentially disrupt the operation of the </w:t>
      </w:r>
      <w:r w:rsidRPr="0041473B">
        <w:rPr>
          <w:sz w:val="24"/>
          <w:szCs w:val="24"/>
        </w:rPr>
        <w:t>millions of currently deployed IoT devices</w:t>
      </w:r>
      <w:r>
        <w:rPr>
          <w:sz w:val="24"/>
          <w:szCs w:val="24"/>
        </w:rPr>
        <w:t xml:space="preserve"> and </w:t>
      </w:r>
      <w:r w:rsidRPr="000D5DB4">
        <w:rPr>
          <w:sz w:val="24"/>
          <w:szCs w:val="24"/>
        </w:rPr>
        <w:t>require cities</w:t>
      </w:r>
      <w:r>
        <w:rPr>
          <w:sz w:val="24"/>
          <w:szCs w:val="24"/>
        </w:rPr>
        <w:t xml:space="preserve"> and towns</w:t>
      </w:r>
      <w:r w:rsidRPr="000D5DB4">
        <w:rPr>
          <w:sz w:val="24"/>
          <w:szCs w:val="24"/>
        </w:rPr>
        <w:t xml:space="preserve"> to spend millions of dollars to migrate their existing systems to different technologies. </w:t>
      </w:r>
      <w:r>
        <w:rPr>
          <w:sz w:val="24"/>
          <w:szCs w:val="24"/>
        </w:rPr>
        <w:t xml:space="preserve"> </w:t>
      </w:r>
      <w:r w:rsidRPr="000D5DB4">
        <w:rPr>
          <w:sz w:val="24"/>
          <w:szCs w:val="24"/>
        </w:rPr>
        <w:t xml:space="preserve">This is a heavy </w:t>
      </w:r>
      <w:r>
        <w:rPr>
          <w:sz w:val="24"/>
          <w:szCs w:val="24"/>
        </w:rPr>
        <w:t xml:space="preserve">and seemingly unnecessary </w:t>
      </w:r>
      <w:r w:rsidRPr="000D5DB4">
        <w:rPr>
          <w:sz w:val="24"/>
          <w:szCs w:val="24"/>
        </w:rPr>
        <w:t xml:space="preserve">burden to </w:t>
      </w:r>
      <w:r>
        <w:rPr>
          <w:sz w:val="24"/>
          <w:szCs w:val="24"/>
        </w:rPr>
        <w:t xml:space="preserve">urban and </w:t>
      </w:r>
      <w:r w:rsidRPr="000D5DB4">
        <w:rPr>
          <w:sz w:val="24"/>
          <w:szCs w:val="24"/>
        </w:rPr>
        <w:t xml:space="preserve">rural communities </w:t>
      </w:r>
      <w:r>
        <w:rPr>
          <w:sz w:val="24"/>
          <w:szCs w:val="24"/>
        </w:rPr>
        <w:t xml:space="preserve">both financially and organizationally </w:t>
      </w:r>
      <w:r w:rsidRPr="000D5DB4">
        <w:rPr>
          <w:sz w:val="24"/>
          <w:szCs w:val="24"/>
        </w:rPr>
        <w:t>in replacing existing systems</w:t>
      </w:r>
      <w:r>
        <w:rPr>
          <w:sz w:val="24"/>
          <w:szCs w:val="24"/>
        </w:rPr>
        <w:t xml:space="preserve"> which are currently meeting application needs.  For some of these applications, there may not even be a </w:t>
      </w:r>
      <w:r w:rsidRPr="000D5DB4">
        <w:rPr>
          <w:sz w:val="24"/>
          <w:szCs w:val="24"/>
        </w:rPr>
        <w:t>viable alternative</w:t>
      </w:r>
      <w:r>
        <w:rPr>
          <w:sz w:val="24"/>
          <w:szCs w:val="24"/>
        </w:rPr>
        <w:t xml:space="preserve"> available</w:t>
      </w:r>
      <w:r w:rsidRPr="000D5DB4">
        <w:rPr>
          <w:sz w:val="24"/>
          <w:szCs w:val="24"/>
        </w:rPr>
        <w:t>.</w:t>
      </w:r>
    </w:p>
    <w:p w14:paraId="78CFF9D2" w14:textId="77777777" w:rsidR="00D512D8" w:rsidRDefault="00D512D8" w:rsidP="009C3FEA">
      <w:pPr>
        <w:jc w:val="both"/>
        <w:rPr>
          <w:sz w:val="24"/>
          <w:szCs w:val="24"/>
        </w:rPr>
      </w:pPr>
    </w:p>
    <w:p w14:paraId="524B072F" w14:textId="229E8C82" w:rsidR="00D512D8" w:rsidRDefault="00D512D8" w:rsidP="009C3FEA">
      <w:pPr>
        <w:jc w:val="both"/>
        <w:rPr>
          <w:sz w:val="24"/>
          <w:szCs w:val="24"/>
        </w:rPr>
      </w:pPr>
      <w:r w:rsidRPr="00D512D8">
        <w:rPr>
          <w:sz w:val="24"/>
          <w:szCs w:val="24"/>
        </w:rPr>
        <w:t>In addition to these outdoor networks, in a myriad of wireless consumer products such as cordless phones, intercoms, sensor</w:t>
      </w:r>
      <w:r>
        <w:rPr>
          <w:sz w:val="24"/>
          <w:szCs w:val="24"/>
        </w:rPr>
        <w:t>s, toys, garage door openers</w:t>
      </w:r>
      <w:r w:rsidRPr="00D512D8">
        <w:rPr>
          <w:sz w:val="24"/>
          <w:szCs w:val="24"/>
        </w:rPr>
        <w:t>, operate in the 90</w:t>
      </w:r>
      <w:r>
        <w:rPr>
          <w:sz w:val="24"/>
          <w:szCs w:val="24"/>
        </w:rPr>
        <w:t xml:space="preserve">0 </w:t>
      </w:r>
      <w:r w:rsidRPr="00D512D8">
        <w:rPr>
          <w:sz w:val="24"/>
          <w:szCs w:val="24"/>
        </w:rPr>
        <w:t xml:space="preserve">MHz band </w:t>
      </w:r>
      <w:r>
        <w:rPr>
          <w:sz w:val="24"/>
          <w:szCs w:val="24"/>
        </w:rPr>
        <w:t xml:space="preserve">under the Part 15 rules. </w:t>
      </w:r>
      <w:r w:rsidRPr="00D512D8">
        <w:rPr>
          <w:sz w:val="24"/>
          <w:szCs w:val="24"/>
        </w:rPr>
        <w:t xml:space="preserve">These products may not be able to coexist with the proposed </w:t>
      </w:r>
      <w:proofErr w:type="spellStart"/>
      <w:r w:rsidRPr="00D512D8">
        <w:rPr>
          <w:sz w:val="24"/>
          <w:szCs w:val="24"/>
        </w:rPr>
        <w:t>NextNav</w:t>
      </w:r>
      <w:proofErr w:type="spellEnd"/>
      <w:r w:rsidRPr="00D512D8">
        <w:rPr>
          <w:sz w:val="24"/>
          <w:szCs w:val="24"/>
        </w:rPr>
        <w:t xml:space="preserve"> deployments.</w:t>
      </w:r>
    </w:p>
    <w:p w14:paraId="3C12BAFF" w14:textId="77777777" w:rsidR="009C3FEA" w:rsidRDefault="009C3FEA" w:rsidP="00F82793">
      <w:pPr>
        <w:jc w:val="both"/>
        <w:rPr>
          <w:sz w:val="24"/>
          <w:szCs w:val="24"/>
        </w:rPr>
      </w:pPr>
    </w:p>
    <w:p w14:paraId="7FB31AA5" w14:textId="3A12780E" w:rsidR="00854214" w:rsidRDefault="00854214" w:rsidP="00F82793">
      <w:pPr>
        <w:jc w:val="both"/>
        <w:rPr>
          <w:b/>
          <w:bCs/>
          <w:sz w:val="24"/>
          <w:szCs w:val="24"/>
        </w:rPr>
      </w:pPr>
      <w:r>
        <w:rPr>
          <w:b/>
          <w:bCs/>
          <w:sz w:val="24"/>
          <w:szCs w:val="24"/>
        </w:rPr>
        <w:t xml:space="preserve">Discussion: </w:t>
      </w:r>
      <w:proofErr w:type="spellStart"/>
      <w:r>
        <w:rPr>
          <w:b/>
          <w:bCs/>
          <w:sz w:val="24"/>
          <w:szCs w:val="24"/>
        </w:rPr>
        <w:t>NextNav</w:t>
      </w:r>
      <w:r w:rsidR="004D2847">
        <w:rPr>
          <w:b/>
          <w:bCs/>
          <w:sz w:val="24"/>
          <w:szCs w:val="24"/>
        </w:rPr>
        <w:t>’s</w:t>
      </w:r>
      <w:proofErr w:type="spellEnd"/>
      <w:r w:rsidR="004D2847">
        <w:rPr>
          <w:b/>
          <w:bCs/>
          <w:sz w:val="24"/>
          <w:szCs w:val="24"/>
        </w:rPr>
        <w:t xml:space="preserve"> 5G Operation will cause excessive Interference to Part 15 Devices in the Lower 900 MHz Band.</w:t>
      </w:r>
    </w:p>
    <w:p w14:paraId="08C79192" w14:textId="77777777" w:rsidR="00854214" w:rsidRDefault="00854214" w:rsidP="00F82793">
      <w:pPr>
        <w:jc w:val="both"/>
        <w:rPr>
          <w:b/>
          <w:bCs/>
          <w:sz w:val="24"/>
          <w:szCs w:val="24"/>
        </w:rPr>
      </w:pPr>
    </w:p>
    <w:p w14:paraId="21966BD6" w14:textId="5D3DEC7A" w:rsidR="0019019B" w:rsidRDefault="0019019B" w:rsidP="0019019B">
      <w:pPr>
        <w:jc w:val="both"/>
        <w:rPr>
          <w:sz w:val="24"/>
          <w:szCs w:val="24"/>
        </w:rPr>
      </w:pPr>
      <w:proofErr w:type="spellStart"/>
      <w:r w:rsidRPr="0041473B">
        <w:rPr>
          <w:sz w:val="24"/>
          <w:szCs w:val="24"/>
        </w:rPr>
        <w:t>NextNav</w:t>
      </w:r>
      <w:proofErr w:type="spellEnd"/>
      <w:r w:rsidRPr="0041473B">
        <w:rPr>
          <w:sz w:val="24"/>
          <w:szCs w:val="24"/>
        </w:rPr>
        <w:t xml:space="preserve"> </w:t>
      </w:r>
      <w:r w:rsidR="004D2847">
        <w:rPr>
          <w:sz w:val="24"/>
          <w:szCs w:val="24"/>
        </w:rPr>
        <w:t xml:space="preserve">submitted a 5G NR and Unlicensed Part 15 Technologies in the Lower 900 MHz Band, Coexistence Analysis (Cite </w:t>
      </w:r>
      <w:hyperlink r:id="rId8" w:history="1">
        <w:r w:rsidR="004D2847" w:rsidRPr="00C80D8D">
          <w:rPr>
            <w:rStyle w:val="Hyperlink"/>
            <w:sz w:val="24"/>
            <w:szCs w:val="24"/>
          </w:rPr>
          <w:t>https://www.fcc.gov/ecfs/document/102280525327052/1</w:t>
        </w:r>
      </w:hyperlink>
      <w:r w:rsidR="004D2847">
        <w:rPr>
          <w:sz w:val="24"/>
          <w:szCs w:val="24"/>
        </w:rPr>
        <w:t xml:space="preserve">) which has many flaws. (Cite Comments on the NOI which refute the analysis) </w:t>
      </w:r>
    </w:p>
    <w:p w14:paraId="0C82B4EE" w14:textId="77777777" w:rsidR="0019019B" w:rsidRDefault="0019019B" w:rsidP="00F82793">
      <w:pPr>
        <w:jc w:val="both"/>
        <w:rPr>
          <w:b/>
          <w:bCs/>
          <w:sz w:val="24"/>
          <w:szCs w:val="24"/>
        </w:rPr>
      </w:pPr>
    </w:p>
    <w:p w14:paraId="6560C9EC" w14:textId="6B25EE1E" w:rsidR="00536C3F" w:rsidRDefault="004D1043" w:rsidP="00F82793">
      <w:pPr>
        <w:jc w:val="both"/>
        <w:rPr>
          <w:bCs/>
          <w:sz w:val="24"/>
          <w:szCs w:val="24"/>
        </w:rPr>
      </w:pPr>
      <w:r>
        <w:rPr>
          <w:bCs/>
          <w:sz w:val="24"/>
          <w:szCs w:val="24"/>
        </w:rPr>
        <w:t xml:space="preserve">A basic flaw is that </w:t>
      </w:r>
      <w:proofErr w:type="spellStart"/>
      <w:r>
        <w:rPr>
          <w:bCs/>
          <w:sz w:val="24"/>
          <w:szCs w:val="24"/>
        </w:rPr>
        <w:t>NextNav</w:t>
      </w:r>
      <w:proofErr w:type="spellEnd"/>
      <w:r>
        <w:rPr>
          <w:bCs/>
          <w:sz w:val="24"/>
          <w:szCs w:val="24"/>
        </w:rPr>
        <w:t xml:space="preserve"> did not take into spectrum sharing mechanisms in Unlicensed Part 15 Technologies such as Listen-Before-Talk.</w:t>
      </w:r>
      <w:r w:rsidR="00785231">
        <w:rPr>
          <w:bCs/>
          <w:sz w:val="24"/>
          <w:szCs w:val="24"/>
        </w:rPr>
        <w:t xml:space="preserve"> And </w:t>
      </w:r>
      <w:proofErr w:type="spellStart"/>
      <w:r w:rsidR="00785231">
        <w:rPr>
          <w:bCs/>
          <w:sz w:val="24"/>
          <w:szCs w:val="24"/>
        </w:rPr>
        <w:t>NextNav’s</w:t>
      </w:r>
      <w:proofErr w:type="spellEnd"/>
      <w:r w:rsidR="00785231">
        <w:rPr>
          <w:bCs/>
          <w:sz w:val="24"/>
          <w:szCs w:val="24"/>
        </w:rPr>
        <w:t xml:space="preserve"> 5G Operation lacks coexistence mechanisms such as Listen-Before-Talk. </w:t>
      </w:r>
    </w:p>
    <w:p w14:paraId="2117C980" w14:textId="77777777" w:rsidR="00785231" w:rsidRDefault="00785231" w:rsidP="00F82793">
      <w:pPr>
        <w:jc w:val="both"/>
        <w:rPr>
          <w:bCs/>
          <w:sz w:val="24"/>
          <w:szCs w:val="24"/>
        </w:rPr>
      </w:pPr>
    </w:p>
    <w:p w14:paraId="4BCF824D" w14:textId="69D1FC66" w:rsidR="00785231" w:rsidRPr="00785231" w:rsidRDefault="00785231" w:rsidP="00F82793">
      <w:pPr>
        <w:jc w:val="both"/>
        <w:rPr>
          <w:b/>
          <w:i/>
          <w:iCs/>
          <w:sz w:val="24"/>
          <w:szCs w:val="24"/>
        </w:rPr>
      </w:pPr>
      <w:r w:rsidRPr="00785231">
        <w:rPr>
          <w:b/>
          <w:i/>
          <w:iCs/>
          <w:sz w:val="24"/>
          <w:szCs w:val="24"/>
        </w:rPr>
        <w:t xml:space="preserve">Expand here on how Wi-Fi </w:t>
      </w:r>
      <w:proofErr w:type="spellStart"/>
      <w:r w:rsidRPr="00785231">
        <w:rPr>
          <w:b/>
          <w:i/>
          <w:iCs/>
          <w:sz w:val="24"/>
          <w:szCs w:val="24"/>
        </w:rPr>
        <w:t>HaLow</w:t>
      </w:r>
      <w:proofErr w:type="spellEnd"/>
      <w:r w:rsidRPr="00785231">
        <w:rPr>
          <w:b/>
          <w:i/>
          <w:iCs/>
          <w:sz w:val="24"/>
          <w:szCs w:val="24"/>
        </w:rPr>
        <w:t xml:space="preserve"> would be blocked by 5G Operation.</w:t>
      </w:r>
    </w:p>
    <w:p w14:paraId="5F7BDF33" w14:textId="77777777" w:rsidR="009B45DA" w:rsidRDefault="009B45DA" w:rsidP="00F82793">
      <w:pPr>
        <w:jc w:val="both"/>
        <w:rPr>
          <w:sz w:val="24"/>
          <w:szCs w:val="24"/>
        </w:rPr>
      </w:pP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9"/>
      <w:footerReference w:type="even" r:id="rId10"/>
      <w:footerReference w:type="default" r:id="rId11"/>
      <w:footerReference w:type="first" r:id="rId12"/>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703B" w14:textId="77777777" w:rsidR="00880B08" w:rsidRDefault="00880B08">
      <w:r>
        <w:separator/>
      </w:r>
    </w:p>
  </w:endnote>
  <w:endnote w:type="continuationSeparator" w:id="0">
    <w:p w14:paraId="7379CC4D" w14:textId="77777777" w:rsidR="00880B08" w:rsidRDefault="0088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fldSimple w:instr=" SUBJECT ">
      <w:r w:rsidR="002E0A7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D08E1" w14:textId="77777777" w:rsidR="00880B08" w:rsidRDefault="00880B08">
      <w:pPr>
        <w:rPr>
          <w:sz w:val="12"/>
        </w:rPr>
      </w:pPr>
      <w:r>
        <w:separator/>
      </w:r>
    </w:p>
  </w:footnote>
  <w:footnote w:type="continuationSeparator" w:id="0">
    <w:p w14:paraId="0BD56899" w14:textId="77777777" w:rsidR="00880B08" w:rsidRDefault="00880B08">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w:t>
      </w:r>
      <w:proofErr w:type="spellStart"/>
      <w:r w:rsidRPr="00A937DC">
        <w:rPr>
          <w:sz w:val="16"/>
          <w:szCs w:val="16"/>
        </w:rPr>
        <w:t>Guidehouse</w:t>
      </w:r>
      <w:proofErr w:type="spellEnd"/>
      <w:r w:rsidRPr="00A937DC">
        <w:rPr>
          <w:sz w:val="16"/>
          <w:szCs w:val="16"/>
        </w:rPr>
        <w:t xml:space="preserve"> Global AMI Tracker 4Q23 research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71E04106" w:rsidR="002E0A70" w:rsidRDefault="00457480">
    <w:pPr>
      <w:pStyle w:val="Header"/>
      <w:tabs>
        <w:tab w:val="clear" w:pos="6480"/>
        <w:tab w:val="center" w:pos="4680"/>
        <w:tab w:val="right" w:pos="9360"/>
      </w:tabs>
    </w:pPr>
    <w:r>
      <w:t>A</w:t>
    </w:r>
    <w:r w:rsidR="008B3471">
      <w:t>pril</w:t>
    </w:r>
    <w:r w:rsidR="002E0A70">
      <w:t xml:space="preserve"> 202</w:t>
    </w:r>
    <w:r w:rsidR="008B3471">
      <w:t>5</w:t>
    </w:r>
    <w:r w:rsidR="002E0A70">
      <w:t xml:space="preserve"> </w:t>
    </w:r>
    <w:r w:rsidR="002E0A70">
      <w:tab/>
    </w:r>
    <w:r w:rsidR="002E0A70">
      <w:tab/>
      <w:t>doc.: IEEE 802.18-2</w:t>
    </w:r>
    <w:r w:rsidR="008B3471">
      <w:t>5</w:t>
    </w:r>
    <w:r w:rsidR="002E0A70">
      <w:t>/00</w:t>
    </w:r>
    <w:r w:rsidR="00134FD7">
      <w:t>42</w:t>
    </w:r>
    <w:r w:rsidR="002E0A70">
      <w:t>r</w:t>
    </w:r>
    <w:r w:rsidR="008B34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12141">
    <w:abstractNumId w:val="8"/>
  </w:num>
  <w:num w:numId="2" w16cid:durableId="806243435">
    <w:abstractNumId w:val="20"/>
  </w:num>
  <w:num w:numId="3" w16cid:durableId="1386176864">
    <w:abstractNumId w:val="6"/>
  </w:num>
  <w:num w:numId="4" w16cid:durableId="1345355219">
    <w:abstractNumId w:val="4"/>
  </w:num>
  <w:num w:numId="5" w16cid:durableId="990141279">
    <w:abstractNumId w:val="3"/>
  </w:num>
  <w:num w:numId="6" w16cid:durableId="849291369">
    <w:abstractNumId w:val="17"/>
  </w:num>
  <w:num w:numId="7" w16cid:durableId="54668032">
    <w:abstractNumId w:val="11"/>
  </w:num>
  <w:num w:numId="8" w16cid:durableId="1833792632">
    <w:abstractNumId w:val="12"/>
  </w:num>
  <w:num w:numId="9" w16cid:durableId="207380776">
    <w:abstractNumId w:val="21"/>
  </w:num>
  <w:num w:numId="10" w16cid:durableId="1956206003">
    <w:abstractNumId w:val="19"/>
  </w:num>
  <w:num w:numId="11" w16cid:durableId="77099303">
    <w:abstractNumId w:val="18"/>
  </w:num>
  <w:num w:numId="12" w16cid:durableId="1628659514">
    <w:abstractNumId w:val="9"/>
  </w:num>
  <w:num w:numId="13" w16cid:durableId="33778415">
    <w:abstractNumId w:val="5"/>
  </w:num>
  <w:num w:numId="14" w16cid:durableId="2108647028">
    <w:abstractNumId w:val="0"/>
  </w:num>
  <w:num w:numId="15" w16cid:durableId="1146894986">
    <w:abstractNumId w:val="7"/>
  </w:num>
  <w:num w:numId="16" w16cid:durableId="1208295646">
    <w:abstractNumId w:val="10"/>
  </w:num>
  <w:num w:numId="17" w16cid:durableId="1161190551">
    <w:abstractNumId w:val="16"/>
  </w:num>
  <w:num w:numId="18" w16cid:durableId="1544826369">
    <w:abstractNumId w:val="13"/>
  </w:num>
  <w:num w:numId="19" w16cid:durableId="1596135839">
    <w:abstractNumId w:val="15"/>
  </w:num>
  <w:num w:numId="20" w16cid:durableId="790628301">
    <w:abstractNumId w:val="2"/>
  </w:num>
  <w:num w:numId="21" w16cid:durableId="1557202212">
    <w:abstractNumId w:val="1"/>
  </w:num>
  <w:num w:numId="22" w16cid:durableId="406151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4FD7"/>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3AE5"/>
    <w:rsid w:val="003B3DAB"/>
    <w:rsid w:val="003B3EC8"/>
    <w:rsid w:val="003B3F79"/>
    <w:rsid w:val="003B53C8"/>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8B5"/>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043"/>
    <w:rsid w:val="004D159B"/>
    <w:rsid w:val="004D2847"/>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615"/>
    <w:rsid w:val="004F7C91"/>
    <w:rsid w:val="0050041A"/>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195"/>
    <w:rsid w:val="005B29A0"/>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5231"/>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0B08"/>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471"/>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6CF2"/>
    <w:rsid w:val="009F74ED"/>
    <w:rsid w:val="009F799D"/>
    <w:rsid w:val="009F7BC6"/>
    <w:rsid w:val="00A00BDD"/>
    <w:rsid w:val="00A02421"/>
    <w:rsid w:val="00A04796"/>
    <w:rsid w:val="00A05135"/>
    <w:rsid w:val="00A05934"/>
    <w:rsid w:val="00A07AD4"/>
    <w:rsid w:val="00A10021"/>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2C1"/>
    <w:rsid w:val="00A9153E"/>
    <w:rsid w:val="00A923AF"/>
    <w:rsid w:val="00A9301D"/>
    <w:rsid w:val="00A9306B"/>
    <w:rsid w:val="00A937DC"/>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EFE"/>
    <w:rsid w:val="00D02704"/>
    <w:rsid w:val="00D02BE8"/>
    <w:rsid w:val="00D058A7"/>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3F4F"/>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64F3"/>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4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ecfs/document/10228052532705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128</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18-24/0082r5</vt:lpstr>
    </vt:vector>
  </TitlesOfParts>
  <Company>Some Company</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David Halasz</cp:lastModifiedBy>
  <cp:revision>22</cp:revision>
  <cp:lastPrinted>2024-03-15T14:29:00Z</cp:lastPrinted>
  <dcterms:created xsi:type="dcterms:W3CDTF">2024-08-20T11:22:00Z</dcterms:created>
  <dcterms:modified xsi:type="dcterms:W3CDTF">2025-04-22T20:14:00Z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