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824E6D"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UAE TDRA</w:t>
            </w:r>
            <w:r w:rsidR="007C5F7C">
              <w:rPr>
                <w:b w:val="0"/>
                <w:bCs/>
              </w:rPr>
              <w:t xml:space="preserve">’s consultation </w:t>
            </w:r>
            <w:r w:rsidR="005C5C3F">
              <w:rPr>
                <w:b w:val="0"/>
                <w:bCs/>
              </w:rPr>
              <w:t>“UAE Spectrum Outlook 2026 – 2031”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C401827"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485A12">
              <w:rPr>
                <w:b w:val="0"/>
                <w:sz w:val="20"/>
              </w:rPr>
              <w:t>3</w:t>
            </w:r>
            <w:r>
              <w:rPr>
                <w:b w:val="0"/>
                <w:sz w:val="20"/>
              </w:rPr>
              <w:t>-</w:t>
            </w:r>
            <w:r w:rsidR="00B97BFD">
              <w:rPr>
                <w:b w:val="0"/>
                <w:sz w:val="20"/>
              </w:rPr>
              <w:t>1</w:t>
            </w:r>
            <w:r w:rsidR="001A2AAE">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7C1AA7" w14:paraId="68275BF2"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47E6336" w14:textId="77777777" w:rsidR="007C1AA7" w:rsidRDefault="007C1AA7" w:rsidP="006929E7">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FB0F079" w14:textId="77777777" w:rsidR="007C1AA7" w:rsidRDefault="007C1AA7" w:rsidP="006929E7">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22064B58"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6852C55"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E02B004" w14:textId="3229F598" w:rsidR="007C1AA7" w:rsidRDefault="00AC7680" w:rsidP="006929E7">
            <w:pPr>
              <w:pStyle w:val="T2"/>
              <w:widowControl w:val="0"/>
              <w:spacing w:after="0"/>
              <w:ind w:left="0" w:right="0"/>
              <w:jc w:val="left"/>
              <w:rPr>
                <w:b w:val="0"/>
                <w:sz w:val="20"/>
              </w:rPr>
            </w:pPr>
            <w:hyperlink r:id="rId8" w:history="1">
              <w:r w:rsidRPr="002A4512">
                <w:rPr>
                  <w:rStyle w:val="Hyperlink"/>
                  <w:b w:val="0"/>
                  <w:sz w:val="20"/>
                </w:rPr>
                <w:t>dave.halasz@morsemicro.com</w:t>
              </w:r>
            </w:hyperlink>
            <w:r>
              <w:rPr>
                <w:b w:val="0"/>
                <w:sz w:val="20"/>
              </w:rPr>
              <w:t xml:space="preserve"> </w:t>
            </w:r>
          </w:p>
        </w:tc>
      </w:tr>
      <w:tr w:rsidR="00853778" w14:paraId="3F4DF43E" w14:textId="77777777" w:rsidTr="00533578">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14C22D01" w14:textId="77777777" w:rsidR="00853778" w:rsidRDefault="00853778" w:rsidP="00533578">
            <w:pPr>
              <w:pStyle w:val="T2"/>
              <w:widowControl w:val="0"/>
              <w:spacing w:after="0"/>
              <w:ind w:left="0" w:right="0"/>
              <w:jc w:val="left"/>
              <w:rPr>
                <w:b w:val="0"/>
                <w:sz w:val="20"/>
              </w:rPr>
            </w:pPr>
            <w:r w:rsidRPr="00967F9D">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78453BFA" w14:textId="77777777" w:rsidR="00853778" w:rsidRDefault="00853778" w:rsidP="00533578">
            <w:pPr>
              <w:pStyle w:val="T2"/>
              <w:widowControl w:val="0"/>
              <w:spacing w:after="0"/>
              <w:ind w:left="0" w:right="0"/>
              <w:jc w:val="left"/>
              <w:rPr>
                <w:b w:val="0"/>
                <w:sz w:val="20"/>
              </w:rPr>
            </w:pPr>
            <w:r>
              <w:rPr>
                <w:b w:val="0"/>
                <w:sz w:val="20"/>
              </w:rPr>
              <w:t>Ultra Radio</w:t>
            </w:r>
          </w:p>
        </w:tc>
        <w:tc>
          <w:tcPr>
            <w:tcW w:w="1170" w:type="dxa"/>
            <w:tcBorders>
              <w:top w:val="single" w:sz="4" w:space="0" w:color="000000"/>
              <w:left w:val="single" w:sz="4" w:space="0" w:color="000000"/>
              <w:bottom w:val="single" w:sz="4" w:space="0" w:color="000000"/>
              <w:right w:val="single" w:sz="4" w:space="0" w:color="000000"/>
            </w:tcBorders>
            <w:vAlign w:val="center"/>
          </w:tcPr>
          <w:p w14:paraId="131AE401" w14:textId="77777777" w:rsidR="00853778" w:rsidRDefault="00853778" w:rsidP="00533578">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9A9A959" w14:textId="77777777" w:rsidR="00853778" w:rsidRDefault="00853778" w:rsidP="00533578">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CD26A89" w14:textId="77777777" w:rsidR="00853778" w:rsidRDefault="00853778" w:rsidP="00533578">
            <w:pPr>
              <w:pStyle w:val="T2"/>
              <w:widowControl w:val="0"/>
              <w:spacing w:after="0"/>
              <w:ind w:left="0" w:right="0"/>
              <w:jc w:val="left"/>
              <w:rPr>
                <w:b w:val="0"/>
                <w:sz w:val="20"/>
              </w:rPr>
            </w:pPr>
            <w:hyperlink r:id="rId9" w:history="1">
              <w:r w:rsidRPr="002A4512">
                <w:rPr>
                  <w:rStyle w:val="Hyperlink"/>
                  <w:b w:val="0"/>
                  <w:sz w:val="20"/>
                </w:rPr>
                <w:t>dries.neirynck@ultra-radio.com</w:t>
              </w:r>
            </w:hyperlink>
            <w:r>
              <w:rPr>
                <w:b w:val="0"/>
                <w:sz w:val="20"/>
              </w:rPr>
              <w:t xml:space="preserve"> </w:t>
            </w:r>
          </w:p>
        </w:tc>
      </w:tr>
      <w:tr w:rsidR="007C1AA7" w14:paraId="3EAA8557"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2F3B3B8F" w14:textId="7B166FF5" w:rsidR="007C1AA7" w:rsidRDefault="00853778" w:rsidP="006929E7">
            <w:pPr>
              <w:pStyle w:val="T2"/>
              <w:widowControl w:val="0"/>
              <w:spacing w:after="0"/>
              <w:ind w:left="0" w:right="0"/>
              <w:jc w:val="left"/>
              <w:rPr>
                <w:b w:val="0"/>
                <w:sz w:val="20"/>
              </w:rPr>
            </w:pPr>
            <w:r>
              <w:rPr>
                <w:b w:val="0"/>
                <w:sz w:val="20"/>
              </w:rPr>
              <w:t>Dorothy Stanley</w:t>
            </w:r>
          </w:p>
        </w:tc>
        <w:tc>
          <w:tcPr>
            <w:tcW w:w="2430" w:type="dxa"/>
            <w:tcBorders>
              <w:top w:val="single" w:sz="4" w:space="0" w:color="000000"/>
              <w:left w:val="single" w:sz="4" w:space="0" w:color="000000"/>
              <w:bottom w:val="single" w:sz="4" w:space="0" w:color="000000"/>
              <w:right w:val="single" w:sz="4" w:space="0" w:color="000000"/>
            </w:tcBorders>
            <w:vAlign w:val="center"/>
          </w:tcPr>
          <w:p w14:paraId="0E68A136" w14:textId="6FF222F9" w:rsidR="007C1AA7" w:rsidRDefault="00853778" w:rsidP="006929E7">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5EFD5A4D"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7E12F7"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AA6326" w14:textId="65067651" w:rsidR="007C1AA7" w:rsidRDefault="00853778" w:rsidP="006929E7">
            <w:pPr>
              <w:pStyle w:val="T2"/>
              <w:widowControl w:val="0"/>
              <w:spacing w:after="0"/>
              <w:ind w:left="0" w:right="0"/>
              <w:jc w:val="left"/>
              <w:rPr>
                <w:b w:val="0"/>
                <w:sz w:val="20"/>
              </w:rPr>
            </w:pPr>
            <w:hyperlink r:id="rId10" w:tgtFrame="_blank" w:history="1">
              <w:r w:rsidRPr="00853778">
                <w:rPr>
                  <w:rStyle w:val="Hyperlink"/>
                  <w:b w:val="0"/>
                  <w:sz w:val="20"/>
                </w:rPr>
                <w:t>dorothy.stanley@hpe.com</w:t>
              </w:r>
            </w:hyperlink>
            <w:r>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0D1D5B"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F5259D">
        <w:rPr>
          <w:sz w:val="24"/>
          <w:szCs w:val="24"/>
        </w:rPr>
        <w:t>March 31</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6965E298"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F5259D">
        <w:rPr>
          <w:sz w:val="24"/>
          <w:szCs w:val="24"/>
        </w:rPr>
        <w:t>UAE Spectrum Outlook 2026 – 2031</w:t>
      </w:r>
      <w:r w:rsidR="00845251">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5AE7ECD6" w:rsidR="009A2E06" w:rsidRDefault="00FB5724" w:rsidP="00DB1DC3">
      <w:pPr>
        <w:pStyle w:val="BodyA"/>
        <w:jc w:val="both"/>
        <w:rPr>
          <w:rStyle w:val="None"/>
          <w:sz w:val="24"/>
          <w:szCs w:val="24"/>
        </w:rPr>
      </w:pPr>
      <w:r w:rsidRPr="00A9748D">
        <w:rPr>
          <w:rStyle w:val="None"/>
          <w:sz w:val="24"/>
          <w:szCs w:val="24"/>
        </w:rPr>
        <w:t xml:space="preserve">IEEE 802 LAN/MAN Standards Committee (LMSC) thanks </w:t>
      </w:r>
      <w:r w:rsidR="00B473C0">
        <w:rPr>
          <w:rStyle w:val="None"/>
          <w:sz w:val="24"/>
          <w:szCs w:val="24"/>
        </w:rPr>
        <w:t>T</w:t>
      </w:r>
      <w:r w:rsidR="00B473C0" w:rsidRPr="00B473C0">
        <w:rPr>
          <w:rStyle w:val="None"/>
          <w:sz w:val="24"/>
          <w:szCs w:val="24"/>
        </w:rPr>
        <w:t>elecommunications and Digital Government Regulatory Authority</w:t>
      </w:r>
      <w:r w:rsidR="00A9748D" w:rsidRPr="00A9748D">
        <w:rPr>
          <w:rStyle w:val="None"/>
          <w:sz w:val="24"/>
          <w:szCs w:val="24"/>
        </w:rPr>
        <w:t xml:space="preserve"> (</w:t>
      </w:r>
      <w:r w:rsidR="00B473C0">
        <w:rPr>
          <w:rStyle w:val="None"/>
          <w:sz w:val="24"/>
          <w:szCs w:val="24"/>
        </w:rPr>
        <w:t>TDRA</w:t>
      </w:r>
      <w:r w:rsidR="00CD4962" w:rsidRPr="00A9748D">
        <w:rPr>
          <w:rStyle w:val="None"/>
          <w:sz w:val="24"/>
          <w:szCs w:val="24"/>
        </w:rPr>
        <w:t>)</w:t>
      </w:r>
      <w:r w:rsidRPr="00A9748D">
        <w:rPr>
          <w:rStyle w:val="None"/>
          <w:sz w:val="24"/>
          <w:szCs w:val="24"/>
        </w:rPr>
        <w:t xml:space="preserve"> for providing an opportunity to comment on </w:t>
      </w:r>
      <w:r w:rsidR="00315419" w:rsidRPr="00A9748D">
        <w:rPr>
          <w:rStyle w:val="None"/>
          <w:sz w:val="24"/>
          <w:szCs w:val="24"/>
        </w:rPr>
        <w:t xml:space="preserve">the </w:t>
      </w:r>
      <w:r w:rsidR="00462319" w:rsidRPr="00A9748D">
        <w:rPr>
          <w:sz w:val="24"/>
          <w:szCs w:val="24"/>
        </w:rPr>
        <w:t>consultation “</w:t>
      </w:r>
      <w:r w:rsidR="00B473C0">
        <w:rPr>
          <w:sz w:val="24"/>
          <w:szCs w:val="24"/>
        </w:rPr>
        <w:t>UAE Spectrum Outlook 2026 – 2031</w:t>
      </w:r>
      <w:r w:rsidR="00462319" w:rsidRPr="00A9748D">
        <w:rPr>
          <w:sz w:val="24"/>
          <w:szCs w:val="24"/>
        </w:rPr>
        <w:t>”</w:t>
      </w:r>
      <w:r w:rsidRPr="00A9748D">
        <w:rPr>
          <w:rStyle w:val="None"/>
          <w:sz w:val="24"/>
          <w:szCs w:val="24"/>
        </w:rPr>
        <w:t>.</w:t>
      </w:r>
    </w:p>
    <w:p w14:paraId="577DDA85" w14:textId="77777777" w:rsidR="009A2E06"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65F5DE97" w14:textId="730FF9F9" w:rsidR="00FC20DA" w:rsidRDefault="006438BF" w:rsidP="007C1BD0">
      <w:pPr>
        <w:jc w:val="both"/>
        <w:rPr>
          <w:sz w:val="24"/>
          <w:szCs w:val="24"/>
        </w:rPr>
      </w:pPr>
      <w:r w:rsidRPr="006438BF">
        <w:rPr>
          <w:sz w:val="24"/>
          <w:szCs w:val="24"/>
        </w:rPr>
        <w:t xml:space="preserve">IEEE 802 LMSC follows the </w:t>
      </w:r>
      <w:r>
        <w:rPr>
          <w:sz w:val="24"/>
          <w:szCs w:val="24"/>
        </w:rPr>
        <w:t>UAE</w:t>
      </w:r>
      <w:r w:rsidRPr="006438BF">
        <w:rPr>
          <w:sz w:val="24"/>
          <w:szCs w:val="24"/>
        </w:rPr>
        <w:t xml:space="preserve">’s regulatory activities regarding license-exempt short-range devices closely and applauds </w:t>
      </w:r>
      <w:r>
        <w:rPr>
          <w:sz w:val="24"/>
          <w:szCs w:val="24"/>
        </w:rPr>
        <w:t>TDRA</w:t>
      </w:r>
      <w:r w:rsidRPr="006438BF">
        <w:rPr>
          <w:sz w:val="24"/>
          <w:szCs w:val="24"/>
        </w:rPr>
        <w:t xml:space="preserve"> for developing the latest version of the </w:t>
      </w:r>
      <w:r>
        <w:rPr>
          <w:sz w:val="24"/>
          <w:szCs w:val="24"/>
        </w:rPr>
        <w:t xml:space="preserve">spectrum outlook. </w:t>
      </w:r>
      <w:r w:rsidR="00397105" w:rsidRPr="00397105">
        <w:rPr>
          <w:sz w:val="24"/>
          <w:szCs w:val="24"/>
        </w:rPr>
        <w:t>Please find below the responses of IEEE 802 LMSC to this consultation.</w:t>
      </w:r>
    </w:p>
    <w:p w14:paraId="1428EE0E" w14:textId="77777777" w:rsidR="00397105" w:rsidRDefault="00397105" w:rsidP="007C1BD0">
      <w:pPr>
        <w:jc w:val="both"/>
        <w:rPr>
          <w:sz w:val="24"/>
          <w:szCs w:val="24"/>
        </w:rPr>
      </w:pPr>
    </w:p>
    <w:p w14:paraId="65D905FF" w14:textId="64257689" w:rsidR="00D64B57" w:rsidRPr="00D64B57" w:rsidRDefault="00D64B57" w:rsidP="00D64B57">
      <w:pPr>
        <w:jc w:val="both"/>
        <w:rPr>
          <w:b/>
          <w:sz w:val="24"/>
          <w:szCs w:val="24"/>
        </w:rPr>
      </w:pPr>
      <w:r w:rsidRPr="00D64B57">
        <w:rPr>
          <w:b/>
          <w:sz w:val="24"/>
          <w:szCs w:val="24"/>
        </w:rPr>
        <w:t>Question 11: How should the TDRA prioritize spectrum allocation and regulatory measures</w:t>
      </w:r>
    </w:p>
    <w:p w14:paraId="1ED3E5D8" w14:textId="3F564C7F" w:rsidR="00A9748D" w:rsidRPr="00A9748D" w:rsidRDefault="00D64B57" w:rsidP="00D64B57">
      <w:pPr>
        <w:jc w:val="both"/>
        <w:rPr>
          <w:b/>
          <w:sz w:val="24"/>
          <w:szCs w:val="24"/>
        </w:rPr>
      </w:pPr>
      <w:r w:rsidRPr="00D64B57">
        <w:rPr>
          <w:b/>
          <w:sz w:val="24"/>
          <w:szCs w:val="24"/>
        </w:rPr>
        <w:t>to support the growth of low-power wireless technologies (UWB, SRD) and Intelligent</w:t>
      </w:r>
      <w:r>
        <w:rPr>
          <w:b/>
          <w:sz w:val="24"/>
          <w:szCs w:val="24"/>
        </w:rPr>
        <w:t xml:space="preserve"> </w:t>
      </w:r>
      <w:r w:rsidRPr="00D64B57">
        <w:rPr>
          <w:b/>
          <w:sz w:val="24"/>
          <w:szCs w:val="24"/>
        </w:rPr>
        <w:t>Transport Systems (ITS) in the UAE, given emerging trends like smart cities, autonomous</w:t>
      </w:r>
      <w:r w:rsidR="00F8532C">
        <w:rPr>
          <w:b/>
          <w:sz w:val="24"/>
          <w:szCs w:val="24"/>
        </w:rPr>
        <w:t xml:space="preserve"> </w:t>
      </w:r>
      <w:r w:rsidRPr="00D64B57">
        <w:rPr>
          <w:b/>
          <w:sz w:val="24"/>
          <w:szCs w:val="24"/>
        </w:rPr>
        <w:t>vehicles, and sustainable transportation?</w:t>
      </w:r>
    </w:p>
    <w:p w14:paraId="427BCCB0" w14:textId="77777777" w:rsidR="00A9748D" w:rsidRDefault="00A9748D" w:rsidP="007C1BD0">
      <w:pPr>
        <w:jc w:val="both"/>
        <w:rPr>
          <w:sz w:val="24"/>
          <w:szCs w:val="24"/>
        </w:rPr>
      </w:pPr>
    </w:p>
    <w:p w14:paraId="1B161564" w14:textId="7ACA43C1" w:rsidR="00A202D5" w:rsidRPr="00F8532C" w:rsidRDefault="00A202D5" w:rsidP="00A202D5">
      <w:pPr>
        <w:jc w:val="both"/>
        <w:rPr>
          <w:b/>
          <w:bCs/>
          <w:sz w:val="24"/>
          <w:szCs w:val="24"/>
          <w:u w:val="single"/>
        </w:rPr>
      </w:pPr>
      <w:r>
        <w:rPr>
          <w:b/>
          <w:bCs/>
          <w:sz w:val="24"/>
          <w:szCs w:val="24"/>
          <w:u w:val="single"/>
        </w:rPr>
        <w:t>Wi-Fi</w:t>
      </w:r>
    </w:p>
    <w:p w14:paraId="393F52C1" w14:textId="77777777" w:rsidR="00A202D5" w:rsidRDefault="00A202D5" w:rsidP="00A202D5">
      <w:pPr>
        <w:jc w:val="both"/>
        <w:rPr>
          <w:sz w:val="24"/>
          <w:szCs w:val="24"/>
        </w:rPr>
      </w:pPr>
    </w:p>
    <w:p w14:paraId="549B4B13" w14:textId="12E18244" w:rsidR="0012588A" w:rsidRDefault="0012588A" w:rsidP="0012588A">
      <w:pPr>
        <w:jc w:val="both"/>
        <w:rPr>
          <w:sz w:val="24"/>
          <w:szCs w:val="24"/>
        </w:rPr>
      </w:pPr>
      <w:r w:rsidRPr="003538C2">
        <w:rPr>
          <w:sz w:val="24"/>
          <w:szCs w:val="24"/>
        </w:rPr>
        <w:t xml:space="preserve">IEEE 802 LMSC commends </w:t>
      </w:r>
      <w:r>
        <w:rPr>
          <w:sz w:val="24"/>
          <w:szCs w:val="24"/>
        </w:rPr>
        <w:t>TDRA’</w:t>
      </w:r>
      <w:r w:rsidRPr="003538C2">
        <w:rPr>
          <w:sz w:val="24"/>
          <w:szCs w:val="24"/>
        </w:rPr>
        <w:t>s effort in e</w:t>
      </w:r>
      <w:r>
        <w:rPr>
          <w:sz w:val="24"/>
          <w:szCs w:val="24"/>
        </w:rPr>
        <w:t>nhancing</w:t>
      </w:r>
      <w:r w:rsidRPr="003538C2">
        <w:rPr>
          <w:sz w:val="24"/>
          <w:szCs w:val="24"/>
        </w:rPr>
        <w:t xml:space="preserve"> the</w:t>
      </w:r>
      <w:r>
        <w:rPr>
          <w:sz w:val="24"/>
          <w:szCs w:val="24"/>
        </w:rPr>
        <w:t xml:space="preserve"> </w:t>
      </w:r>
      <w:r w:rsidRPr="003538C2">
        <w:rPr>
          <w:sz w:val="24"/>
          <w:szCs w:val="24"/>
        </w:rPr>
        <w:t xml:space="preserve">operation of </w:t>
      </w:r>
      <w:r>
        <w:rPr>
          <w:sz w:val="24"/>
          <w:szCs w:val="24"/>
        </w:rPr>
        <w:t xml:space="preserve">Wi-Fi </w:t>
      </w:r>
      <w:r w:rsidRPr="003538C2">
        <w:rPr>
          <w:sz w:val="24"/>
          <w:szCs w:val="24"/>
        </w:rPr>
        <w:t>devices</w:t>
      </w:r>
      <w:r>
        <w:rPr>
          <w:sz w:val="24"/>
          <w:szCs w:val="24"/>
        </w:rPr>
        <w:t xml:space="preserve">, based on IEEE 802.11 technologies, in the 5150 MHz to 5250 MHz and 5650 MHz to 5850 MHz. International spectrum harmonization </w:t>
      </w:r>
      <w:r w:rsidRPr="003538C2">
        <w:rPr>
          <w:sz w:val="24"/>
          <w:szCs w:val="24"/>
        </w:rPr>
        <w:t xml:space="preserve">will </w:t>
      </w:r>
      <w:r w:rsidR="00AD764C">
        <w:rPr>
          <w:sz w:val="24"/>
          <w:szCs w:val="24"/>
        </w:rPr>
        <w:t>leverage</w:t>
      </w:r>
      <w:r w:rsidRPr="003538C2">
        <w:rPr>
          <w:sz w:val="24"/>
          <w:szCs w:val="24"/>
        </w:rPr>
        <w:t xml:space="preserve"> economies of scale and produce a robust equipment market, benefiting </w:t>
      </w:r>
      <w:r w:rsidR="001D7F2C">
        <w:rPr>
          <w:sz w:val="24"/>
          <w:szCs w:val="24"/>
        </w:rPr>
        <w:t xml:space="preserve">the </w:t>
      </w:r>
      <w:r>
        <w:rPr>
          <w:sz w:val="24"/>
          <w:szCs w:val="24"/>
        </w:rPr>
        <w:t>UAE</w:t>
      </w:r>
      <w:r w:rsidRPr="003538C2">
        <w:rPr>
          <w:sz w:val="24"/>
          <w:szCs w:val="24"/>
        </w:rPr>
        <w:t>’</w:t>
      </w:r>
      <w:r>
        <w:rPr>
          <w:sz w:val="24"/>
          <w:szCs w:val="24"/>
        </w:rPr>
        <w:t>s</w:t>
      </w:r>
      <w:r w:rsidRPr="003538C2">
        <w:rPr>
          <w:sz w:val="24"/>
          <w:szCs w:val="24"/>
        </w:rPr>
        <w:t xml:space="preserve"> businesses</w:t>
      </w:r>
      <w:r w:rsidR="00F72B72">
        <w:rPr>
          <w:sz w:val="24"/>
          <w:szCs w:val="24"/>
        </w:rPr>
        <w:t xml:space="preserve"> and</w:t>
      </w:r>
      <w:r w:rsidRPr="003538C2">
        <w:rPr>
          <w:sz w:val="24"/>
          <w:szCs w:val="24"/>
        </w:rPr>
        <w:t xml:space="preserve"> consumers.</w:t>
      </w:r>
    </w:p>
    <w:p w14:paraId="48E3559C" w14:textId="77777777" w:rsidR="0012588A" w:rsidRDefault="0012588A" w:rsidP="00A202D5">
      <w:pPr>
        <w:jc w:val="both"/>
        <w:rPr>
          <w:sz w:val="24"/>
          <w:szCs w:val="24"/>
        </w:rPr>
      </w:pPr>
    </w:p>
    <w:p w14:paraId="6E02CDBD" w14:textId="6E03B13F" w:rsidR="00FD54FB" w:rsidRDefault="00FD54FB" w:rsidP="00FD54FB">
      <w:pPr>
        <w:jc w:val="both"/>
        <w:rPr>
          <w:sz w:val="24"/>
          <w:szCs w:val="24"/>
        </w:rPr>
      </w:pPr>
      <w:r w:rsidRPr="001D133B">
        <w:rPr>
          <w:sz w:val="24"/>
          <w:szCs w:val="24"/>
        </w:rPr>
        <w:t>In considering further</w:t>
      </w:r>
      <w:r>
        <w:rPr>
          <w:sz w:val="24"/>
          <w:szCs w:val="24"/>
        </w:rPr>
        <w:t xml:space="preserve"> spectrum</w:t>
      </w:r>
      <w:r w:rsidRPr="001D133B">
        <w:rPr>
          <w:sz w:val="24"/>
          <w:szCs w:val="24"/>
        </w:rPr>
        <w:t xml:space="preserve"> allocation in the 6425 MHz to 7125 MHz frequency band</w:t>
      </w:r>
      <w:r w:rsidR="00D54F1F">
        <w:rPr>
          <w:sz w:val="24"/>
          <w:szCs w:val="24"/>
        </w:rPr>
        <w:t xml:space="preserve"> </w:t>
      </w:r>
      <w:r w:rsidR="00D54F1F" w:rsidRPr="00D54F1F">
        <w:rPr>
          <w:sz w:val="24"/>
          <w:szCs w:val="24"/>
          <w:highlight w:val="yellow"/>
        </w:rPr>
        <w:t>(i.e., the upper 6 |GHz band)</w:t>
      </w:r>
      <w:r w:rsidRPr="001D133B">
        <w:rPr>
          <w:sz w:val="24"/>
          <w:szCs w:val="24"/>
        </w:rPr>
        <w:t xml:space="preserve">, IEEE 802 LMSC respectfully asks </w:t>
      </w:r>
      <w:r>
        <w:rPr>
          <w:sz w:val="24"/>
          <w:szCs w:val="24"/>
        </w:rPr>
        <w:t>TDRA</w:t>
      </w:r>
      <w:r w:rsidRPr="001D133B">
        <w:rPr>
          <w:sz w:val="24"/>
          <w:szCs w:val="24"/>
        </w:rPr>
        <w:t xml:space="preserve"> to consider the following points.</w:t>
      </w:r>
    </w:p>
    <w:p w14:paraId="7C9BB06F" w14:textId="77777777" w:rsidR="00FD54FB" w:rsidRDefault="00FD54FB" w:rsidP="00FD54FB">
      <w:pPr>
        <w:jc w:val="both"/>
        <w:rPr>
          <w:sz w:val="24"/>
          <w:szCs w:val="24"/>
        </w:rPr>
      </w:pPr>
    </w:p>
    <w:p w14:paraId="4E99A750" w14:textId="77777777" w:rsidR="00B2440D" w:rsidRDefault="00FD54FB" w:rsidP="00FD54FB">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lastRenderedPageBreak/>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licence exempt operation. </w:t>
      </w:r>
      <w:r w:rsidR="00120D90">
        <w:rPr>
          <w:rFonts w:eastAsia="Arial Unicode MS"/>
          <w:sz w:val="24"/>
          <w:szCs w:val="24"/>
          <w:bdr w:val="nil"/>
        </w:rPr>
        <w:t xml:space="preserve"> </w:t>
      </w:r>
    </w:p>
    <w:p w14:paraId="62475BB7" w14:textId="77777777" w:rsidR="00B2440D" w:rsidRDefault="00B2440D" w:rsidP="00FD54FB">
      <w:pPr>
        <w:pBdr>
          <w:top w:val="nil"/>
          <w:left w:val="nil"/>
          <w:bottom w:val="nil"/>
          <w:right w:val="nil"/>
          <w:between w:val="nil"/>
          <w:bar w:val="nil"/>
        </w:pBdr>
        <w:suppressAutoHyphens w:val="0"/>
        <w:jc w:val="both"/>
        <w:rPr>
          <w:rFonts w:eastAsia="Arial Unicode MS"/>
          <w:sz w:val="24"/>
          <w:szCs w:val="24"/>
          <w:bdr w:val="nil"/>
        </w:rPr>
      </w:pPr>
    </w:p>
    <w:p w14:paraId="203E061C" w14:textId="78625AF8" w:rsidR="00576A6D" w:rsidRDefault="00120D90" w:rsidP="00576A6D">
      <w:pPr>
        <w:pBdr>
          <w:top w:val="nil"/>
          <w:left w:val="nil"/>
          <w:bottom w:val="nil"/>
          <w:right w:val="nil"/>
          <w:between w:val="nil"/>
          <w:bar w:val="nil"/>
        </w:pBdr>
        <w:jc w:val="both"/>
        <w:rPr>
          <w:rFonts w:eastAsia="Arial Unicode MS"/>
          <w:sz w:val="24"/>
          <w:szCs w:val="24"/>
          <w:highlight w:val="yellow"/>
          <w:bdr w:val="nil"/>
          <w:lang w:val="en-CA"/>
        </w:rPr>
      </w:pPr>
      <w:r w:rsidRPr="00670F29">
        <w:rPr>
          <w:rFonts w:eastAsia="Arial Unicode MS"/>
          <w:sz w:val="24"/>
          <w:szCs w:val="24"/>
          <w:highlight w:val="yellow"/>
          <w:bdr w:val="nil"/>
        </w:rPr>
        <w:t xml:space="preserve">In </w:t>
      </w:r>
      <w:r w:rsidR="00B2440D" w:rsidRPr="00670F29">
        <w:rPr>
          <w:rFonts w:eastAsia="Arial Unicode MS"/>
          <w:sz w:val="24"/>
          <w:szCs w:val="24"/>
          <w:highlight w:val="yellow"/>
          <w:bdr w:val="nil"/>
        </w:rPr>
        <w:t>addition,</w:t>
      </w:r>
      <w:r w:rsidRPr="00670F29">
        <w:rPr>
          <w:rFonts w:eastAsia="Arial Unicode MS"/>
          <w:sz w:val="24"/>
          <w:szCs w:val="24"/>
          <w:highlight w:val="yellow"/>
          <w:bdr w:val="nil"/>
        </w:rPr>
        <w:t xml:space="preserve"> UK Ofcom </w:t>
      </w:r>
      <w:r w:rsidR="00B2440D" w:rsidRPr="00670F29">
        <w:rPr>
          <w:rFonts w:eastAsia="Arial Unicode MS"/>
          <w:sz w:val="24"/>
          <w:szCs w:val="24"/>
          <w:highlight w:val="yellow"/>
          <w:bdr w:val="nil"/>
        </w:rPr>
        <w:t xml:space="preserve">recently </w:t>
      </w:r>
      <w:r w:rsidRPr="00670F29">
        <w:rPr>
          <w:rFonts w:eastAsia="Arial Unicode MS"/>
          <w:sz w:val="24"/>
          <w:szCs w:val="24"/>
          <w:highlight w:val="yellow"/>
          <w:bdr w:val="nil"/>
        </w:rPr>
        <w:t>proposed</w:t>
      </w:r>
      <w:r w:rsidR="00232FF2" w:rsidRPr="00670F29">
        <w:rPr>
          <w:rStyle w:val="FootnoteReference"/>
          <w:rFonts w:eastAsia="Arial Unicode MS"/>
          <w:sz w:val="24"/>
          <w:szCs w:val="24"/>
          <w:highlight w:val="yellow"/>
          <w:bdr w:val="nil"/>
        </w:rPr>
        <w:footnoteReference w:id="2"/>
      </w:r>
      <w:r w:rsidRPr="00670F29">
        <w:rPr>
          <w:rFonts w:eastAsia="Arial Unicode MS"/>
          <w:sz w:val="24"/>
          <w:szCs w:val="24"/>
          <w:highlight w:val="yellow"/>
          <w:bdr w:val="nil"/>
        </w:rPr>
        <w:t xml:space="preserve"> a phased approach</w:t>
      </w:r>
      <w:r w:rsidR="00341AB4">
        <w:rPr>
          <w:rFonts w:eastAsia="Arial Unicode MS"/>
          <w:sz w:val="24"/>
          <w:szCs w:val="24"/>
          <w:highlight w:val="yellow"/>
          <w:bdr w:val="nil"/>
        </w:rPr>
        <w:t xml:space="preserve"> that balances low power indoor </w:t>
      </w:r>
      <w:r w:rsidRPr="00670F29">
        <w:rPr>
          <w:rFonts w:eastAsia="Arial Unicode MS"/>
          <w:sz w:val="24"/>
          <w:szCs w:val="24"/>
          <w:highlight w:val="yellow"/>
          <w:bdr w:val="nil"/>
        </w:rPr>
        <w:t xml:space="preserve">Wi-Fi access to the </w:t>
      </w:r>
      <w:r w:rsidR="00D54F1F">
        <w:rPr>
          <w:rFonts w:eastAsia="Arial Unicode MS"/>
          <w:sz w:val="24"/>
          <w:szCs w:val="24"/>
          <w:highlight w:val="yellow"/>
          <w:bdr w:val="nil"/>
        </w:rPr>
        <w:t>upper 6 GHz band</w:t>
      </w:r>
      <w:r w:rsidR="00341AB4">
        <w:rPr>
          <w:rFonts w:eastAsia="Arial Unicode MS"/>
          <w:sz w:val="24"/>
          <w:szCs w:val="24"/>
          <w:highlight w:val="yellow"/>
          <w:bdr w:val="nil"/>
        </w:rPr>
        <w:t xml:space="preserve"> </w:t>
      </w:r>
      <w:r w:rsidR="004D1734">
        <w:rPr>
          <w:rFonts w:eastAsia="Arial Unicode MS"/>
          <w:sz w:val="24"/>
          <w:szCs w:val="24"/>
          <w:highlight w:val="yellow"/>
          <w:bdr w:val="nil"/>
        </w:rPr>
        <w:t>(“</w:t>
      </w:r>
      <w:r w:rsidR="004D1734" w:rsidRPr="004D1734">
        <w:rPr>
          <w:rFonts w:eastAsia="Arial Unicode MS"/>
          <w:i/>
          <w:iCs/>
          <w:sz w:val="24"/>
          <w:szCs w:val="24"/>
          <w:highlight w:val="yellow"/>
          <w:bdr w:val="nil"/>
        </w:rPr>
        <w:t>We intend to do this as early as feasible, ideally before end 2025</w:t>
      </w:r>
      <w:r w:rsidR="004D1734">
        <w:rPr>
          <w:rFonts w:eastAsia="Arial Unicode MS"/>
          <w:sz w:val="24"/>
          <w:szCs w:val="24"/>
          <w:highlight w:val="yellow"/>
          <w:bdr w:val="nil"/>
        </w:rPr>
        <w:t>”)</w:t>
      </w:r>
      <w:r w:rsidR="00341AB4">
        <w:rPr>
          <w:rFonts w:eastAsia="Arial Unicode MS"/>
          <w:sz w:val="24"/>
          <w:szCs w:val="24"/>
          <w:highlight w:val="yellow"/>
          <w:bdr w:val="nil"/>
        </w:rPr>
        <w:t xml:space="preserve"> with future consideration of IMT operation in the upper 6</w:t>
      </w:r>
      <w:r w:rsidR="00D54F1F">
        <w:rPr>
          <w:rFonts w:eastAsia="Arial Unicode MS"/>
          <w:sz w:val="24"/>
          <w:szCs w:val="24"/>
          <w:highlight w:val="yellow"/>
          <w:bdr w:val="nil"/>
        </w:rPr>
        <w:t xml:space="preserve"> </w:t>
      </w:r>
      <w:r w:rsidR="00341AB4">
        <w:rPr>
          <w:rFonts w:eastAsia="Arial Unicode MS"/>
          <w:sz w:val="24"/>
          <w:szCs w:val="24"/>
          <w:highlight w:val="yellow"/>
          <w:bdr w:val="nil"/>
        </w:rPr>
        <w:t xml:space="preserve">GHz band based on the conclusion of ongoing coexistence studies. The benefit of this approach is that it </w:t>
      </w:r>
      <w:r w:rsidR="00AD764C">
        <w:rPr>
          <w:rFonts w:eastAsia="Arial Unicode MS"/>
          <w:sz w:val="24"/>
          <w:szCs w:val="24"/>
          <w:highlight w:val="yellow"/>
          <w:bdr w:val="nil"/>
        </w:rPr>
        <w:t>enabl</w:t>
      </w:r>
      <w:r w:rsidR="00341AB4">
        <w:rPr>
          <w:rFonts w:eastAsia="Arial Unicode MS"/>
          <w:sz w:val="24"/>
          <w:szCs w:val="24"/>
          <w:highlight w:val="yellow"/>
          <w:bdr w:val="nil"/>
        </w:rPr>
        <w:t>es</w:t>
      </w:r>
      <w:r w:rsidR="005A3607" w:rsidRPr="00670F29">
        <w:rPr>
          <w:rFonts w:eastAsia="Arial Unicode MS"/>
          <w:sz w:val="24"/>
          <w:szCs w:val="24"/>
          <w:highlight w:val="yellow"/>
          <w:bdr w:val="nil"/>
        </w:rPr>
        <w:t xml:space="preserve"> UK businesses and consumers </w:t>
      </w:r>
      <w:r w:rsidR="00341AB4">
        <w:rPr>
          <w:rFonts w:eastAsia="Arial Unicode MS"/>
          <w:sz w:val="24"/>
          <w:szCs w:val="24"/>
          <w:highlight w:val="yellow"/>
          <w:bdr w:val="nil"/>
        </w:rPr>
        <w:t xml:space="preserve">to </w:t>
      </w:r>
      <w:r w:rsidR="005A3607" w:rsidRPr="00670F29">
        <w:rPr>
          <w:rFonts w:eastAsia="Arial Unicode MS"/>
          <w:sz w:val="24"/>
          <w:szCs w:val="24"/>
          <w:highlight w:val="yellow"/>
          <w:bdr w:val="nil"/>
        </w:rPr>
        <w:t xml:space="preserve">benefit </w:t>
      </w:r>
      <w:r w:rsidR="004D1734">
        <w:rPr>
          <w:rFonts w:eastAsia="Arial Unicode MS"/>
          <w:sz w:val="24"/>
          <w:szCs w:val="24"/>
          <w:highlight w:val="yellow"/>
          <w:bdr w:val="nil"/>
        </w:rPr>
        <w:t xml:space="preserve">immediately </w:t>
      </w:r>
      <w:r w:rsidR="00341AB4">
        <w:rPr>
          <w:rFonts w:eastAsia="Arial Unicode MS"/>
          <w:sz w:val="24"/>
          <w:szCs w:val="24"/>
          <w:highlight w:val="yellow"/>
          <w:bdr w:val="nil"/>
        </w:rPr>
        <w:t>from</w:t>
      </w:r>
      <w:r w:rsidR="00341AB4" w:rsidRPr="00670F29">
        <w:rPr>
          <w:rFonts w:eastAsia="Arial Unicode MS"/>
          <w:sz w:val="24"/>
          <w:szCs w:val="24"/>
          <w:highlight w:val="yellow"/>
          <w:bdr w:val="nil"/>
        </w:rPr>
        <w:t xml:space="preserve"> </w:t>
      </w:r>
      <w:r w:rsidR="005A3607" w:rsidRPr="00670F29">
        <w:rPr>
          <w:rFonts w:eastAsia="Arial Unicode MS"/>
          <w:sz w:val="24"/>
          <w:szCs w:val="24"/>
          <w:highlight w:val="yellow"/>
          <w:bdr w:val="nil"/>
        </w:rPr>
        <w:t xml:space="preserve">the latest generation of IEEE 802.11-based Wi-Fi technologies, </w:t>
      </w:r>
      <w:r w:rsidR="00B2440D" w:rsidRPr="00670F29">
        <w:rPr>
          <w:rFonts w:eastAsia="Arial Unicode MS"/>
          <w:sz w:val="24"/>
          <w:szCs w:val="24"/>
          <w:highlight w:val="yellow"/>
          <w:bdr w:val="nil"/>
        </w:rPr>
        <w:t xml:space="preserve">specifically </w:t>
      </w:r>
      <w:r w:rsidR="00B2440D" w:rsidRPr="00670F29">
        <w:rPr>
          <w:sz w:val="24"/>
          <w:szCs w:val="24"/>
          <w:highlight w:val="yellow"/>
          <w:lang w:val="de-DE"/>
        </w:rPr>
        <w:t>Wi-Fi CERTIFIED 7</w:t>
      </w:r>
      <w:r w:rsidR="00B2440D" w:rsidRPr="00670F29">
        <w:rPr>
          <w:sz w:val="24"/>
          <w:szCs w:val="24"/>
          <w:highlight w:val="yellow"/>
        </w:rPr>
        <w:t>™ based on the IEEE Std 802.11be-2024</w:t>
      </w:r>
      <w:r w:rsidR="00B2440D" w:rsidRPr="00670F29">
        <w:rPr>
          <w:sz w:val="24"/>
          <w:szCs w:val="24"/>
          <w:highlight w:val="yellow"/>
          <w:vertAlign w:val="superscript"/>
        </w:rPr>
        <w:footnoteReference w:id="3"/>
      </w:r>
      <w:r w:rsidR="00341AB4">
        <w:rPr>
          <w:sz w:val="24"/>
          <w:szCs w:val="24"/>
          <w:highlight w:val="yellow"/>
        </w:rPr>
        <w:t xml:space="preserve">. </w:t>
      </w:r>
      <w:r w:rsidR="00B2440D" w:rsidRPr="00670F29">
        <w:rPr>
          <w:sz w:val="24"/>
          <w:szCs w:val="24"/>
          <w:highlight w:val="yellow"/>
        </w:rPr>
        <w:t xml:space="preserve"> </w:t>
      </w:r>
      <w:r w:rsidR="00341AB4">
        <w:rPr>
          <w:rFonts w:eastAsia="Arial Unicode MS"/>
          <w:sz w:val="24"/>
          <w:szCs w:val="24"/>
          <w:highlight w:val="yellow"/>
          <w:bdr w:val="nil"/>
          <w:lang w:val="en-CA"/>
        </w:rPr>
        <w:t>O</w:t>
      </w:r>
      <w:r w:rsidR="00341AB4" w:rsidRPr="00670F29">
        <w:rPr>
          <w:rFonts w:eastAsia="Arial Unicode MS"/>
          <w:sz w:val="24"/>
          <w:szCs w:val="24"/>
          <w:highlight w:val="yellow"/>
          <w:bdr w:val="nil"/>
          <w:lang w:val="en-CA"/>
        </w:rPr>
        <w:t xml:space="preserve">nce the European harmonisation </w:t>
      </w:r>
      <w:r w:rsidR="00341AB4">
        <w:rPr>
          <w:rFonts w:eastAsia="Arial Unicode MS"/>
          <w:sz w:val="24"/>
          <w:szCs w:val="24"/>
          <w:highlight w:val="yellow"/>
          <w:bdr w:val="nil"/>
          <w:lang w:val="en-CA"/>
        </w:rPr>
        <w:t>of</w:t>
      </w:r>
      <w:r w:rsidR="005A3607" w:rsidRPr="00670F29">
        <w:rPr>
          <w:rFonts w:eastAsia="Arial Unicode MS"/>
          <w:sz w:val="24"/>
          <w:szCs w:val="24"/>
          <w:highlight w:val="yellow"/>
          <w:bdr w:val="nil"/>
        </w:rPr>
        <w:t xml:space="preserve"> specific sharing mechanism between Wi-Fi and mobile in the same frequency band</w:t>
      </w:r>
      <w:r w:rsidR="00341AB4">
        <w:rPr>
          <w:rFonts w:eastAsia="Arial Unicode MS"/>
          <w:sz w:val="24"/>
          <w:szCs w:val="24"/>
          <w:highlight w:val="yellow"/>
          <w:bdr w:val="nil"/>
        </w:rPr>
        <w:t xml:space="preserve"> is available, then IMT operation </w:t>
      </w:r>
      <w:r w:rsidR="004D1734">
        <w:rPr>
          <w:rFonts w:eastAsia="Arial Unicode MS"/>
          <w:sz w:val="24"/>
          <w:szCs w:val="24"/>
          <w:highlight w:val="yellow"/>
          <w:bdr w:val="nil"/>
        </w:rPr>
        <w:t xml:space="preserve">using a proposed sharing mechanism </w:t>
      </w:r>
      <w:r w:rsidR="00341AB4">
        <w:rPr>
          <w:rFonts w:eastAsia="Arial Unicode MS"/>
          <w:sz w:val="24"/>
          <w:szCs w:val="24"/>
          <w:highlight w:val="yellow"/>
          <w:bdr w:val="nil"/>
        </w:rPr>
        <w:t xml:space="preserve">will be </w:t>
      </w:r>
      <w:r w:rsidR="004D1734">
        <w:rPr>
          <w:rFonts w:eastAsia="Arial Unicode MS"/>
          <w:sz w:val="24"/>
          <w:szCs w:val="24"/>
          <w:highlight w:val="yellow"/>
          <w:bdr w:val="nil"/>
        </w:rPr>
        <w:t>proposed</w:t>
      </w:r>
      <w:r w:rsidR="00341AB4" w:rsidRPr="00D54F1F">
        <w:rPr>
          <w:rFonts w:eastAsia="Arial Unicode MS"/>
          <w:sz w:val="24"/>
          <w:szCs w:val="24"/>
          <w:highlight w:val="yellow"/>
          <w:bdr w:val="nil"/>
          <w:lang w:val="en-CA"/>
        </w:rPr>
        <w:t xml:space="preserve">. </w:t>
      </w:r>
    </w:p>
    <w:p w14:paraId="440BF930" w14:textId="77777777" w:rsidR="00576A6D" w:rsidRDefault="00576A6D" w:rsidP="00576A6D">
      <w:pPr>
        <w:pBdr>
          <w:top w:val="nil"/>
          <w:left w:val="nil"/>
          <w:bottom w:val="nil"/>
          <w:right w:val="nil"/>
          <w:between w:val="nil"/>
          <w:bar w:val="nil"/>
        </w:pBdr>
        <w:jc w:val="both"/>
        <w:rPr>
          <w:rFonts w:eastAsia="Arial Unicode MS"/>
          <w:sz w:val="24"/>
          <w:szCs w:val="24"/>
          <w:highlight w:val="yellow"/>
          <w:bdr w:val="nil"/>
          <w:lang w:val="en-CA"/>
        </w:rPr>
      </w:pPr>
    </w:p>
    <w:p w14:paraId="74D9B100" w14:textId="53898B68" w:rsidR="00576A6D" w:rsidRPr="00576A6D" w:rsidRDefault="00341AB4" w:rsidP="00D54F1F">
      <w:pPr>
        <w:pBdr>
          <w:top w:val="nil"/>
          <w:left w:val="nil"/>
          <w:bottom w:val="nil"/>
          <w:right w:val="nil"/>
          <w:between w:val="nil"/>
          <w:bar w:val="nil"/>
        </w:pBdr>
        <w:jc w:val="both"/>
        <w:rPr>
          <w:rFonts w:eastAsia="Arial Unicode MS"/>
          <w:sz w:val="24"/>
          <w:szCs w:val="24"/>
          <w:highlight w:val="yellow"/>
          <w:bdr w:val="nil"/>
        </w:rPr>
      </w:pPr>
      <w:r w:rsidRPr="00D54F1F">
        <w:rPr>
          <w:rFonts w:eastAsia="Arial Unicode MS"/>
          <w:sz w:val="24"/>
          <w:szCs w:val="24"/>
          <w:highlight w:val="yellow"/>
          <w:bdr w:val="nil"/>
          <w:lang w:val="en-CA"/>
        </w:rPr>
        <w:t xml:space="preserve">Ofcom </w:t>
      </w:r>
      <w:r w:rsidR="004D1734">
        <w:rPr>
          <w:rFonts w:eastAsia="Arial Unicode MS"/>
          <w:sz w:val="24"/>
          <w:szCs w:val="24"/>
          <w:highlight w:val="yellow"/>
          <w:bdr w:val="nil"/>
          <w:lang w:val="en-CA"/>
        </w:rPr>
        <w:t xml:space="preserve">is also proposing use of </w:t>
      </w:r>
      <w:r w:rsidRPr="00D54F1F">
        <w:rPr>
          <w:rFonts w:eastAsia="Arial Unicode MS"/>
          <w:sz w:val="24"/>
          <w:szCs w:val="24"/>
          <w:highlight w:val="yellow"/>
          <w:bdr w:val="nil"/>
          <w:lang w:val="en-CA"/>
        </w:rPr>
        <w:t>Standard Power operation in 5925 to 64</w:t>
      </w:r>
      <w:r w:rsidR="004D1734">
        <w:rPr>
          <w:rFonts w:eastAsia="Arial Unicode MS"/>
          <w:sz w:val="24"/>
          <w:szCs w:val="24"/>
          <w:highlight w:val="yellow"/>
          <w:bdr w:val="nil"/>
          <w:lang w:val="en-CA"/>
        </w:rPr>
        <w:t>2</w:t>
      </w:r>
      <w:r w:rsidRPr="00D54F1F">
        <w:rPr>
          <w:rFonts w:eastAsia="Arial Unicode MS"/>
          <w:sz w:val="24"/>
          <w:szCs w:val="24"/>
          <w:highlight w:val="yellow"/>
          <w:bdr w:val="nil"/>
          <w:lang w:val="en-CA"/>
        </w:rPr>
        <w:t xml:space="preserve">5 MHz </w:t>
      </w:r>
      <w:r w:rsidR="004D1734" w:rsidRPr="004D1734">
        <w:rPr>
          <w:rFonts w:eastAsia="Arial Unicode MS"/>
          <w:sz w:val="24"/>
          <w:szCs w:val="24"/>
          <w:highlight w:val="yellow"/>
          <w:bdr w:val="nil"/>
        </w:rPr>
        <w:t>Wi-Fi (up to 36 dBm / 4W EIRP) both indoor and outdoor on a license exempt basis</w:t>
      </w:r>
      <w:r w:rsidR="004D1734">
        <w:rPr>
          <w:rFonts w:eastAsia="Arial Unicode MS"/>
          <w:sz w:val="24"/>
          <w:szCs w:val="24"/>
          <w:highlight w:val="yellow"/>
          <w:bdr w:val="nil"/>
        </w:rPr>
        <w:t>. Standard Power Operation requires use of and Automated Frequency Coordination</w:t>
      </w:r>
      <w:r w:rsidR="00576A6D">
        <w:rPr>
          <w:rFonts w:eastAsia="Arial Unicode MS"/>
          <w:sz w:val="24"/>
          <w:szCs w:val="24"/>
          <w:highlight w:val="yellow"/>
          <w:bdr w:val="nil"/>
        </w:rPr>
        <w:t xml:space="preserve"> System. Ofcom i</w:t>
      </w:r>
      <w:r w:rsidR="00576A6D" w:rsidRPr="00576A6D">
        <w:rPr>
          <w:rFonts w:eastAsia="Arial Unicode MS"/>
          <w:sz w:val="24"/>
          <w:szCs w:val="24"/>
          <w:highlight w:val="yellow"/>
          <w:bdr w:val="nil"/>
        </w:rPr>
        <w:t>ntend</w:t>
      </w:r>
      <w:r w:rsidR="00D54F1F">
        <w:rPr>
          <w:rFonts w:eastAsia="Arial Unicode MS"/>
          <w:sz w:val="24"/>
          <w:szCs w:val="24"/>
          <w:highlight w:val="yellow"/>
          <w:bdr w:val="nil"/>
        </w:rPr>
        <w:t>s</w:t>
      </w:r>
      <w:r w:rsidR="00576A6D" w:rsidRPr="00576A6D">
        <w:rPr>
          <w:rFonts w:eastAsia="Arial Unicode MS"/>
          <w:sz w:val="24"/>
          <w:szCs w:val="24"/>
          <w:highlight w:val="yellow"/>
          <w:bdr w:val="nil"/>
        </w:rPr>
        <w:t xml:space="preserve"> to harmonize </w:t>
      </w:r>
      <w:r w:rsidR="00576A6D">
        <w:rPr>
          <w:rFonts w:eastAsia="Arial Unicode MS"/>
          <w:sz w:val="24"/>
          <w:szCs w:val="24"/>
          <w:highlight w:val="yellow"/>
          <w:bdr w:val="nil"/>
        </w:rPr>
        <w:t xml:space="preserve">the </w:t>
      </w:r>
      <w:r w:rsidR="00576A6D" w:rsidRPr="00576A6D">
        <w:rPr>
          <w:rFonts w:eastAsia="Arial Unicode MS"/>
          <w:sz w:val="24"/>
          <w:szCs w:val="24"/>
          <w:highlight w:val="yellow"/>
          <w:bdr w:val="nil"/>
        </w:rPr>
        <w:t>AFC System approach</w:t>
      </w:r>
      <w:r w:rsidR="00576A6D">
        <w:rPr>
          <w:rFonts w:eastAsia="Arial Unicode MS"/>
          <w:sz w:val="24"/>
          <w:szCs w:val="24"/>
          <w:highlight w:val="yellow"/>
          <w:bdr w:val="nil"/>
        </w:rPr>
        <w:t xml:space="preserve"> and requirements</w:t>
      </w:r>
      <w:r w:rsidR="00576A6D" w:rsidRPr="00576A6D">
        <w:rPr>
          <w:rFonts w:eastAsia="Arial Unicode MS"/>
          <w:sz w:val="24"/>
          <w:szCs w:val="24"/>
          <w:highlight w:val="yellow"/>
          <w:bdr w:val="nil"/>
        </w:rPr>
        <w:t xml:space="preserve"> with the FCC and ISED to benefit from the existing ecosystem of AFC operators and to promote equipment compatibility</w:t>
      </w:r>
      <w:r w:rsidR="00576A6D">
        <w:rPr>
          <w:rFonts w:eastAsia="Arial Unicode MS"/>
          <w:sz w:val="24"/>
          <w:szCs w:val="24"/>
          <w:highlight w:val="yellow"/>
          <w:bdr w:val="nil"/>
        </w:rPr>
        <w:t>.</w:t>
      </w:r>
    </w:p>
    <w:p w14:paraId="7B0C9F0F" w14:textId="77777777" w:rsidR="00B2440D" w:rsidRDefault="00FD54FB" w:rsidP="00FD54FB">
      <w:pPr>
        <w:suppressAutoHyphens w:val="0"/>
        <w:spacing w:before="100" w:beforeAutospacing="1" w:after="100" w:afterAutospacing="1"/>
        <w:jc w:val="both"/>
        <w:rPr>
          <w:sz w:val="24"/>
          <w:szCs w:val="24"/>
        </w:rPr>
      </w:pP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7010A9">
        <w:rPr>
          <w:sz w:val="24"/>
          <w:szCs w:val="24"/>
        </w:rPr>
        <w:t>TDRA</w:t>
      </w:r>
      <w:r>
        <w:rPr>
          <w:sz w:val="24"/>
          <w:szCs w:val="24"/>
        </w:rPr>
        <w:t>’s</w:t>
      </w:r>
      <w:r w:rsidR="007010A9">
        <w:rPr>
          <w:sz w:val="24"/>
          <w:szCs w:val="24"/>
        </w:rPr>
        <w:t xml:space="preserve"> current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in </w:t>
      </w:r>
      <w:r w:rsidR="00DF14E1">
        <w:rPr>
          <w:sz w:val="24"/>
          <w:szCs w:val="24"/>
        </w:rPr>
        <w:t>the UAE</w:t>
      </w:r>
      <w:r w:rsidRPr="007D5C66">
        <w:rPr>
          <w:sz w:val="24"/>
          <w:szCs w:val="24"/>
        </w:rPr>
        <w:t>.</w:t>
      </w:r>
      <w:r w:rsidR="00B2440D">
        <w:rPr>
          <w:sz w:val="24"/>
          <w:szCs w:val="24"/>
        </w:rPr>
        <w:t xml:space="preserve"> </w:t>
      </w:r>
    </w:p>
    <w:p w14:paraId="0D4E0FF0" w14:textId="7F77316D" w:rsidR="00F8532C" w:rsidRPr="00F8532C" w:rsidRDefault="00F8532C" w:rsidP="0023243C">
      <w:pPr>
        <w:jc w:val="both"/>
        <w:rPr>
          <w:b/>
          <w:bCs/>
          <w:sz w:val="24"/>
          <w:szCs w:val="24"/>
          <w:u w:val="single"/>
        </w:rPr>
      </w:pPr>
      <w:r w:rsidRPr="00F8532C">
        <w:rPr>
          <w:b/>
          <w:bCs/>
          <w:sz w:val="24"/>
          <w:szCs w:val="24"/>
          <w:u w:val="single"/>
        </w:rPr>
        <w:t>UWB</w:t>
      </w:r>
    </w:p>
    <w:p w14:paraId="364BD49A" w14:textId="77777777" w:rsidR="00F8532C" w:rsidRDefault="00F8532C" w:rsidP="0023243C">
      <w:pPr>
        <w:jc w:val="both"/>
        <w:rPr>
          <w:sz w:val="24"/>
          <w:szCs w:val="24"/>
        </w:rPr>
      </w:pPr>
    </w:p>
    <w:p w14:paraId="3560D486" w14:textId="7B2D0664" w:rsidR="0023243C" w:rsidRPr="006604CA" w:rsidRDefault="0023243C" w:rsidP="0023243C">
      <w:pPr>
        <w:jc w:val="both"/>
        <w:rPr>
          <w:sz w:val="24"/>
          <w:szCs w:val="24"/>
        </w:rPr>
      </w:pPr>
      <w:r w:rsidRPr="006604CA">
        <w:rPr>
          <w:sz w:val="24"/>
          <w:szCs w:val="24"/>
        </w:rPr>
        <w:t>UWB devices, as specified in IEEE 802.15</w:t>
      </w:r>
      <w:r w:rsidR="00BF750D">
        <w:rPr>
          <w:sz w:val="24"/>
          <w:szCs w:val="24"/>
        </w:rPr>
        <w:t>.4</w:t>
      </w:r>
      <w:r w:rsidRPr="006604CA">
        <w:rPr>
          <w:sz w:val="24"/>
          <w:szCs w:val="24"/>
        </w:rPr>
        <w:t xml:space="preserve"> standards, are being used worldwide for a wide range of applications in communication, measurement, location, imaging, surveillance, and medical systems</w:t>
      </w:r>
      <w:r>
        <w:rPr>
          <w:rStyle w:val="FootnoteReference"/>
          <w:sz w:val="24"/>
          <w:szCs w:val="24"/>
        </w:rPr>
        <w:footnoteReference w:id="4"/>
      </w:r>
      <w:r w:rsidRPr="006604CA">
        <w:rPr>
          <w:sz w:val="24"/>
          <w:szCs w:val="24"/>
        </w:rPr>
        <w:t>, often in conjunction with other sh</w:t>
      </w:r>
      <w:r>
        <w:rPr>
          <w:sz w:val="24"/>
          <w:szCs w:val="24"/>
        </w:rPr>
        <w:t xml:space="preserve">ort range device technologies. </w:t>
      </w:r>
      <w:r w:rsidRPr="006604CA">
        <w:rPr>
          <w:sz w:val="24"/>
          <w:szCs w:val="24"/>
        </w:rPr>
        <w:t xml:space="preserve">UWB enhances the operation of such technologies and is an efficient means to share spectrum.  </w:t>
      </w:r>
    </w:p>
    <w:p w14:paraId="5EC5F271" w14:textId="77777777" w:rsidR="0023243C" w:rsidRPr="006604CA" w:rsidRDefault="0023243C" w:rsidP="0023243C">
      <w:pPr>
        <w:jc w:val="both"/>
        <w:rPr>
          <w:sz w:val="24"/>
          <w:szCs w:val="24"/>
        </w:rPr>
      </w:pPr>
    </w:p>
    <w:p w14:paraId="6AF2CA1E" w14:textId="61CEE908" w:rsidR="0023243C" w:rsidRPr="006604CA" w:rsidRDefault="0023243C" w:rsidP="0023243C">
      <w:pPr>
        <w:jc w:val="both"/>
        <w:rPr>
          <w:sz w:val="24"/>
          <w:szCs w:val="24"/>
        </w:rPr>
      </w:pPr>
      <w:r w:rsidRPr="006604CA">
        <w:rPr>
          <w:sz w:val="24"/>
          <w:szCs w:val="24"/>
        </w:rPr>
        <w:t>The next generation of UWB technology, being developed under IEEE P802.15.4ab</w:t>
      </w:r>
      <w:r>
        <w:rPr>
          <w:rStyle w:val="FootnoteReference"/>
          <w:sz w:val="24"/>
          <w:szCs w:val="24"/>
        </w:rPr>
        <w:footnoteReference w:id="5"/>
      </w:r>
      <w:r w:rsidRPr="006604CA">
        <w:rPr>
          <w:sz w:val="24"/>
          <w:szCs w:val="24"/>
        </w:rPr>
        <w:t>, builds on IEEE Std 802.15.4-202</w:t>
      </w:r>
      <w:r w:rsidR="001E4478">
        <w:rPr>
          <w:sz w:val="24"/>
          <w:szCs w:val="24"/>
        </w:rPr>
        <w:t>4</w:t>
      </w:r>
      <w:r>
        <w:rPr>
          <w:rStyle w:val="FootnoteReference"/>
          <w:sz w:val="24"/>
          <w:szCs w:val="24"/>
        </w:rPr>
        <w:footnoteReference w:id="6"/>
      </w:r>
      <w:r>
        <w:rPr>
          <w:sz w:val="24"/>
          <w:szCs w:val="24"/>
        </w:rPr>
        <w:t xml:space="preserve">. </w:t>
      </w:r>
      <w:r w:rsidRPr="006604CA">
        <w:rPr>
          <w:sz w:val="24"/>
          <w:szCs w:val="24"/>
        </w:rPr>
        <w:t>Future developments supported by this project include:</w:t>
      </w:r>
    </w:p>
    <w:p w14:paraId="7F40BE6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link budget and reduced air-time</w:t>
      </w:r>
    </w:p>
    <w:p w14:paraId="71D58FFE"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sensing capabilities for presence detection and environment mapping</w:t>
      </w:r>
    </w:p>
    <w:p w14:paraId="2901F8FD"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lastRenderedPageBreak/>
        <w:t>Improved accuracy, precision, and reliability for high-integrity ranging</w:t>
      </w:r>
    </w:p>
    <w:p w14:paraId="4BB9C32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The use of interference mitigation techniques to support greater device density and higher traffic use cases</w:t>
      </w:r>
    </w:p>
    <w:p w14:paraId="308150D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6C072A7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69F5C3D7"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support for ultra-low power, low latency streaming</w:t>
      </w:r>
    </w:p>
    <w:p w14:paraId="1467056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F47AC71" w14:textId="77777777" w:rsidR="0023243C" w:rsidRPr="006604CA" w:rsidRDefault="0023243C" w:rsidP="0023243C">
      <w:pPr>
        <w:jc w:val="both"/>
        <w:rPr>
          <w:sz w:val="24"/>
          <w:szCs w:val="24"/>
        </w:rPr>
      </w:pPr>
    </w:p>
    <w:p w14:paraId="0BAF4B56" w14:textId="5AD2128F" w:rsidR="0023243C" w:rsidRPr="006604CA" w:rsidRDefault="0023243C" w:rsidP="0023243C">
      <w:pPr>
        <w:jc w:val="both"/>
        <w:rPr>
          <w:sz w:val="24"/>
          <w:szCs w:val="24"/>
        </w:rPr>
      </w:pPr>
      <w:r w:rsidRPr="006604CA">
        <w:rPr>
          <w:sz w:val="24"/>
          <w:szCs w:val="24"/>
        </w:rPr>
        <w:t xml:space="preserve">IEEE 802 LMSC commends </w:t>
      </w:r>
      <w:r>
        <w:rPr>
          <w:sz w:val="24"/>
          <w:szCs w:val="24"/>
        </w:rPr>
        <w:t>TDRA</w:t>
      </w:r>
      <w:r w:rsidRPr="006604CA">
        <w:rPr>
          <w:sz w:val="24"/>
          <w:szCs w:val="24"/>
        </w:rPr>
        <w:t xml:space="preserve"> for recognizing the</w:t>
      </w:r>
      <w:r>
        <w:rPr>
          <w:sz w:val="24"/>
          <w:szCs w:val="24"/>
        </w:rPr>
        <w:t xml:space="preserve"> rapidly growing value of UWB. </w:t>
      </w:r>
      <w:r w:rsidRPr="006604CA">
        <w:rPr>
          <w:sz w:val="24"/>
          <w:szCs w:val="24"/>
        </w:rPr>
        <w:t>Use of extremely low power UWB devices in accor</w:t>
      </w:r>
      <w:r>
        <w:rPr>
          <w:sz w:val="24"/>
          <w:szCs w:val="24"/>
        </w:rPr>
        <w:t xml:space="preserve">dance with ECC Decision (06)04 </w:t>
      </w:r>
      <w:r w:rsidRPr="006604CA">
        <w:rPr>
          <w:sz w:val="24"/>
          <w:szCs w:val="24"/>
        </w:rPr>
        <w:t xml:space="preserve">and the ETSI EN 302 065 series of standards harmonizes with worldwide regions, creates further economies of scale, and supports a robust equipment market, </w:t>
      </w:r>
      <w:r w:rsidR="004D1734" w:rsidRPr="006604CA">
        <w:rPr>
          <w:sz w:val="24"/>
          <w:szCs w:val="24"/>
        </w:rPr>
        <w:t>benefiting</w:t>
      </w:r>
      <w:r w:rsidR="00F72B72">
        <w:rPr>
          <w:sz w:val="24"/>
          <w:szCs w:val="24"/>
        </w:rPr>
        <w:t xml:space="preserve"> </w:t>
      </w:r>
      <w:r w:rsidR="00A64759">
        <w:rPr>
          <w:sz w:val="24"/>
          <w:szCs w:val="24"/>
        </w:rPr>
        <w:t>UAE</w:t>
      </w:r>
      <w:r w:rsidRPr="006604CA">
        <w:rPr>
          <w:sz w:val="24"/>
          <w:szCs w:val="24"/>
        </w:rPr>
        <w:t xml:space="preserve"> businesses, consumers, as well as </w:t>
      </w:r>
      <w:r w:rsidRPr="00EB004C">
        <w:rPr>
          <w:sz w:val="24"/>
          <w:szCs w:val="24"/>
        </w:rPr>
        <w:t>providing significant</w:t>
      </w:r>
      <w:r w:rsidRPr="006604CA">
        <w:rPr>
          <w:sz w:val="24"/>
          <w:szCs w:val="24"/>
        </w:rPr>
        <w:t xml:space="preserve"> societal benefits</w:t>
      </w:r>
      <w:r>
        <w:rPr>
          <w:sz w:val="24"/>
          <w:szCs w:val="24"/>
        </w:rPr>
        <w:t xml:space="preserve"> </w:t>
      </w:r>
      <w:r w:rsidRPr="00E264E4">
        <w:rPr>
          <w:sz w:val="24"/>
          <w:szCs w:val="24"/>
        </w:rPr>
        <w:t>from the effective use of the radio spectrum</w:t>
      </w:r>
      <w:r w:rsidRPr="006604CA">
        <w:rPr>
          <w:sz w:val="24"/>
          <w:szCs w:val="24"/>
        </w:rPr>
        <w:t xml:space="preserve">. </w:t>
      </w:r>
    </w:p>
    <w:p w14:paraId="6B5E2894" w14:textId="77777777" w:rsidR="00D64B57" w:rsidRDefault="00D64B57" w:rsidP="004C48FB">
      <w:pPr>
        <w:jc w:val="both"/>
        <w:rPr>
          <w:sz w:val="24"/>
          <w:szCs w:val="24"/>
        </w:rPr>
      </w:pPr>
    </w:p>
    <w:p w14:paraId="54FF4710" w14:textId="393EE259" w:rsidR="00A25C84" w:rsidRPr="00F8532C" w:rsidRDefault="00A25C84" w:rsidP="00A25C84">
      <w:pPr>
        <w:jc w:val="both"/>
        <w:rPr>
          <w:b/>
          <w:bCs/>
          <w:sz w:val="24"/>
          <w:szCs w:val="24"/>
          <w:u w:val="single"/>
        </w:rPr>
      </w:pPr>
      <w:r>
        <w:rPr>
          <w:b/>
          <w:bCs/>
          <w:sz w:val="24"/>
          <w:szCs w:val="24"/>
          <w:u w:val="single"/>
        </w:rPr>
        <w:t xml:space="preserve">SRD for </w:t>
      </w:r>
      <w:r w:rsidR="00AF307C">
        <w:rPr>
          <w:b/>
          <w:bCs/>
          <w:sz w:val="24"/>
          <w:szCs w:val="24"/>
          <w:u w:val="single"/>
        </w:rPr>
        <w:t>IoT</w:t>
      </w:r>
    </w:p>
    <w:p w14:paraId="307E77BC" w14:textId="77777777" w:rsidR="00A25C84" w:rsidRDefault="00A25C84" w:rsidP="004C48FB">
      <w:pPr>
        <w:jc w:val="both"/>
        <w:rPr>
          <w:sz w:val="24"/>
          <w:szCs w:val="24"/>
        </w:rPr>
      </w:pPr>
    </w:p>
    <w:p w14:paraId="4F010D6D" w14:textId="3D82ADD8" w:rsidR="00F8532C" w:rsidRDefault="00F8532C" w:rsidP="00F8532C">
      <w:pPr>
        <w:jc w:val="both"/>
        <w:rPr>
          <w:sz w:val="24"/>
          <w:szCs w:val="24"/>
        </w:rPr>
      </w:pPr>
      <w:r w:rsidRPr="001A19CA">
        <w:rPr>
          <w:sz w:val="24"/>
          <w:szCs w:val="24"/>
        </w:rPr>
        <w:t xml:space="preserve">In addition to the IEEE 802.11-based Wi-Fi technologies operating in 2.4 GHz, 5 GHz, and 6 GHz frequency bands, other IEEE 802 standards-based technologies, specifically IEEE 802.11ah-based Wi-Fi HaLow and IEEE 802.15.4-based Wi-SUN (Smart Utility Network), should be considered as short-range technologies for various IoT and M2M applications.  </w:t>
      </w:r>
    </w:p>
    <w:p w14:paraId="766CEB0E" w14:textId="77777777" w:rsidR="00F8532C" w:rsidRDefault="00F8532C" w:rsidP="00F8532C">
      <w:pPr>
        <w:jc w:val="both"/>
        <w:rPr>
          <w:sz w:val="24"/>
          <w:szCs w:val="24"/>
        </w:rPr>
      </w:pPr>
    </w:p>
    <w:p w14:paraId="6822370F" w14:textId="3F2CCE27" w:rsidR="00F8532C" w:rsidRDefault="00F8532C" w:rsidP="00B47902">
      <w:pPr>
        <w:pStyle w:val="BodyText"/>
        <w:spacing w:after="0" w:line="240" w:lineRule="auto"/>
        <w:jc w:val="both"/>
        <w:rPr>
          <w:sz w:val="24"/>
          <w:szCs w:val="24"/>
        </w:rPr>
      </w:pPr>
      <w:r w:rsidRPr="001A19CA">
        <w:rPr>
          <w:sz w:val="24"/>
          <w:szCs w:val="24"/>
        </w:rPr>
        <w:t>IEEE Std 802.11ah-2016</w:t>
      </w:r>
      <w:r w:rsidRPr="001A19CA">
        <w:rPr>
          <w:rStyle w:val="FootnoteReference"/>
          <w:sz w:val="24"/>
          <w:szCs w:val="24"/>
        </w:rPr>
        <w:footnoteReference w:id="7"/>
      </w:r>
      <w:r w:rsidRPr="001A19CA">
        <w:rPr>
          <w:sz w:val="24"/>
          <w:szCs w:val="24"/>
        </w:rPr>
        <w:t>, known as Wi-Fi HaLow in the marketplace</w:t>
      </w:r>
      <w:r w:rsidRPr="001A19CA">
        <w:rPr>
          <w:rStyle w:val="FootnoteReference"/>
          <w:sz w:val="24"/>
          <w:szCs w:val="24"/>
        </w:rPr>
        <w:footnoteReference w:id="8"/>
      </w:r>
      <w:r w:rsidRPr="001A19CA">
        <w:rPr>
          <w:sz w:val="24"/>
          <w:szCs w:val="24"/>
        </w:rPr>
        <w:t xml:space="preserve"> and now incorporated into the draft IEEE 802.11-2024 standard,</w:t>
      </w:r>
      <w:r w:rsidRPr="001A19CA">
        <w:rPr>
          <w:rStyle w:val="FootnoteReference"/>
          <w:sz w:val="24"/>
          <w:szCs w:val="24"/>
        </w:rPr>
        <w:footnoteReference w:id="9"/>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particular relevance to </w:t>
      </w:r>
      <w:r w:rsidR="00A25C84">
        <w:rPr>
          <w:sz w:val="24"/>
          <w:szCs w:val="24"/>
          <w:bdr w:val="none" w:sz="0" w:space="0" w:color="auto" w:frame="1"/>
        </w:rPr>
        <w:t>UAE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10"/>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w:t>
      </w:r>
      <w:r w:rsidR="0036113D">
        <w:rPr>
          <w:sz w:val="24"/>
          <w:szCs w:val="24"/>
        </w:rPr>
        <w:t xml:space="preserve"> </w:t>
      </w:r>
      <w:r w:rsidR="0036113D" w:rsidRPr="0036113D">
        <w:rPr>
          <w:sz w:val="24"/>
          <w:szCs w:val="24"/>
        </w:rPr>
        <w:t>In the UAE, IEEE 802.11ah</w:t>
      </w:r>
      <w:r w:rsidR="0036113D">
        <w:rPr>
          <w:sz w:val="24"/>
          <w:szCs w:val="24"/>
        </w:rPr>
        <w:t xml:space="preserve">-based devices operate </w:t>
      </w:r>
      <w:r w:rsidR="0036113D" w:rsidRPr="0036113D">
        <w:rPr>
          <w:sz w:val="24"/>
          <w:szCs w:val="24"/>
        </w:rPr>
        <w:t xml:space="preserve">in the 863 </w:t>
      </w:r>
      <w:r w:rsidR="0036113D">
        <w:rPr>
          <w:sz w:val="24"/>
          <w:szCs w:val="24"/>
        </w:rPr>
        <w:t>to</w:t>
      </w:r>
      <w:r w:rsidR="0036113D" w:rsidRPr="0036113D">
        <w:rPr>
          <w:sz w:val="24"/>
          <w:szCs w:val="24"/>
        </w:rPr>
        <w:t xml:space="preserve"> 870 MHz band, which limits transmit power to 25 mW. In the U.S., IEEE 802.11ah</w:t>
      </w:r>
      <w:r w:rsidR="0036113D">
        <w:rPr>
          <w:sz w:val="24"/>
          <w:szCs w:val="24"/>
        </w:rPr>
        <w:t>-based devices</w:t>
      </w:r>
      <w:r w:rsidR="0036113D" w:rsidRPr="0036113D">
        <w:rPr>
          <w:sz w:val="24"/>
          <w:szCs w:val="24"/>
        </w:rPr>
        <w:t xml:space="preserve"> operates in the 902</w:t>
      </w:r>
      <w:r w:rsidR="0036113D">
        <w:rPr>
          <w:sz w:val="24"/>
          <w:szCs w:val="24"/>
        </w:rPr>
        <w:t xml:space="preserve"> MHz to </w:t>
      </w:r>
      <w:r w:rsidR="0036113D" w:rsidRPr="0036113D">
        <w:rPr>
          <w:sz w:val="24"/>
          <w:szCs w:val="24"/>
        </w:rPr>
        <w:t xml:space="preserve">928 MHz band and has a much higher transmit power limit of 1 W. To support a much wider range of current and future IoT applications, that may combine sensors with video for example, </w:t>
      </w:r>
      <w:r w:rsidR="0036113D">
        <w:rPr>
          <w:sz w:val="24"/>
          <w:szCs w:val="24"/>
        </w:rPr>
        <w:t>TDRA</w:t>
      </w:r>
      <w:r w:rsidR="0036113D" w:rsidRPr="0036113D">
        <w:rPr>
          <w:sz w:val="24"/>
          <w:szCs w:val="24"/>
        </w:rPr>
        <w:t xml:space="preserve"> could </w:t>
      </w:r>
      <w:r w:rsidR="0036113D">
        <w:rPr>
          <w:sz w:val="24"/>
          <w:szCs w:val="24"/>
        </w:rPr>
        <w:t xml:space="preserve">consider </w:t>
      </w:r>
      <w:r w:rsidR="0036113D" w:rsidRPr="0036113D">
        <w:rPr>
          <w:sz w:val="24"/>
          <w:szCs w:val="24"/>
        </w:rPr>
        <w:t>allow</w:t>
      </w:r>
      <w:r w:rsidR="0036113D">
        <w:rPr>
          <w:sz w:val="24"/>
          <w:szCs w:val="24"/>
        </w:rPr>
        <w:t xml:space="preserve">ing IEEE 802.11ah-based devices to operate in a frequency </w:t>
      </w:r>
      <w:r w:rsidR="0036113D" w:rsidRPr="0036113D">
        <w:rPr>
          <w:sz w:val="24"/>
          <w:szCs w:val="24"/>
        </w:rPr>
        <w:t xml:space="preserve">band which allows higher transmit power and Listen Before Talk </w:t>
      </w:r>
      <w:r w:rsidR="0036113D">
        <w:rPr>
          <w:sz w:val="24"/>
          <w:szCs w:val="24"/>
        </w:rPr>
        <w:t xml:space="preserve">(LBT) </w:t>
      </w:r>
      <w:r w:rsidR="0036113D" w:rsidRPr="0036113D">
        <w:rPr>
          <w:sz w:val="24"/>
          <w:szCs w:val="24"/>
        </w:rPr>
        <w:t>coexistence mechanisms. An example is to allow wideband SRDs to operate in 915</w:t>
      </w:r>
      <w:r w:rsidR="0036113D">
        <w:rPr>
          <w:sz w:val="24"/>
          <w:szCs w:val="24"/>
        </w:rPr>
        <w:t xml:space="preserve"> MHz to </w:t>
      </w:r>
      <w:r w:rsidR="0036113D" w:rsidRPr="0036113D">
        <w:rPr>
          <w:sz w:val="24"/>
          <w:szCs w:val="24"/>
        </w:rPr>
        <w:t>921 MHz, with higher power, wider operating channels</w:t>
      </w:r>
      <w:r w:rsidR="0036113D">
        <w:rPr>
          <w:sz w:val="24"/>
          <w:szCs w:val="24"/>
        </w:rPr>
        <w:t>,</w:t>
      </w:r>
      <w:r w:rsidR="0036113D" w:rsidRPr="0036113D">
        <w:rPr>
          <w:sz w:val="24"/>
          <w:szCs w:val="24"/>
        </w:rPr>
        <w:t xml:space="preserve"> and using </w:t>
      </w:r>
      <w:r w:rsidR="0036113D">
        <w:rPr>
          <w:sz w:val="24"/>
          <w:szCs w:val="24"/>
        </w:rPr>
        <w:t>LBT</w:t>
      </w:r>
      <w:r w:rsidR="0036113D" w:rsidRPr="0036113D">
        <w:rPr>
          <w:sz w:val="24"/>
          <w:szCs w:val="24"/>
        </w:rPr>
        <w:t xml:space="preserve"> to coexist with other wireless technologies such as RFID and LoRaWAN.</w:t>
      </w:r>
    </w:p>
    <w:p w14:paraId="6D190CFA" w14:textId="77777777" w:rsidR="00B47902" w:rsidRPr="00B47902" w:rsidRDefault="00B47902" w:rsidP="00B47902">
      <w:pPr>
        <w:pStyle w:val="BodyText"/>
        <w:spacing w:after="0" w:line="240" w:lineRule="auto"/>
        <w:jc w:val="both"/>
        <w:rPr>
          <w:sz w:val="24"/>
          <w:szCs w:val="24"/>
          <w:bdr w:val="none" w:sz="0" w:space="0" w:color="auto" w:frame="1"/>
        </w:rPr>
      </w:pPr>
    </w:p>
    <w:p w14:paraId="77F5DB83" w14:textId="10FA2E41" w:rsidR="00EF468A" w:rsidRDefault="00F8532C" w:rsidP="00EF468A">
      <w:pPr>
        <w:jc w:val="both"/>
        <w:rPr>
          <w:sz w:val="24"/>
          <w:szCs w:val="24"/>
        </w:rPr>
      </w:pPr>
      <w:r w:rsidRPr="001A19CA">
        <w:rPr>
          <w:sz w:val="24"/>
          <w:szCs w:val="24"/>
        </w:rPr>
        <w:lastRenderedPageBreak/>
        <w:t>IEEE Std 802.15.4-based Wi-SUN</w:t>
      </w:r>
      <w:r w:rsidRPr="001A19CA">
        <w:rPr>
          <w:rStyle w:val="FootnoteReference"/>
          <w:sz w:val="24"/>
          <w:szCs w:val="24"/>
        </w:rPr>
        <w:footnoteReference w:id="11"/>
      </w:r>
      <w:r w:rsidRPr="001A19CA">
        <w:rPr>
          <w:sz w:val="24"/>
          <w:szCs w:val="24"/>
        </w:rPr>
        <w:t xml:space="preserve"> specifies physical layer radio and medium access</w:t>
      </w:r>
      <w:r w:rsidRPr="005127AC">
        <w:rPr>
          <w:sz w:val="24"/>
          <w:szCs w:val="24"/>
        </w:rPr>
        <w:t xml:space="preserve"> control mechanisms for operation in sub</w:t>
      </w:r>
      <w:r>
        <w:rPr>
          <w:sz w:val="24"/>
          <w:szCs w:val="24"/>
        </w:rPr>
        <w:t>-</w:t>
      </w:r>
      <w:r w:rsidRPr="005127AC">
        <w:rPr>
          <w:sz w:val="24"/>
          <w:szCs w:val="24"/>
        </w:rPr>
        <w:t>1</w:t>
      </w:r>
      <w:r>
        <w:rPr>
          <w:sz w:val="24"/>
          <w:szCs w:val="24"/>
        </w:rPr>
        <w:t xml:space="preserve"> </w:t>
      </w:r>
      <w:r w:rsidRPr="005127AC">
        <w:rPr>
          <w:sz w:val="24"/>
          <w:szCs w:val="24"/>
        </w:rPr>
        <w:t>GHz license exempt frequency bands from 169 MHz to 928 MHz. The technology was initially developed for SUN and other large scale IoT networks</w:t>
      </w:r>
      <w:r>
        <w:rPr>
          <w:rStyle w:val="FootnoteReference"/>
          <w:sz w:val="24"/>
          <w:szCs w:val="24"/>
        </w:rPr>
        <w:footnoteReference w:id="12"/>
      </w:r>
      <w:r w:rsidRPr="005127AC">
        <w:rPr>
          <w:sz w:val="24"/>
          <w:szCs w:val="24"/>
        </w:rPr>
        <w:t>, such as smart city networks. Devices using IEEE Std 802.15.4-2020 SUN are ex</w:t>
      </w:r>
      <w:r>
        <w:rPr>
          <w:sz w:val="24"/>
          <w:szCs w:val="24"/>
        </w:rPr>
        <w:t>tensively deployed as Wi-SUN home area network (HAN)</w:t>
      </w:r>
      <w:r w:rsidRPr="005127AC">
        <w:rPr>
          <w:sz w:val="24"/>
          <w:szCs w:val="24"/>
        </w:rPr>
        <w:t xml:space="preserve"> and Wi-SUN </w:t>
      </w:r>
      <w:r>
        <w:rPr>
          <w:sz w:val="24"/>
          <w:szCs w:val="24"/>
        </w:rPr>
        <w:t xml:space="preserve">field area network (FAN) </w:t>
      </w:r>
      <w:r w:rsidRPr="005127AC">
        <w:rPr>
          <w:sz w:val="24"/>
          <w:szCs w:val="24"/>
        </w:rPr>
        <w:t>in a range of applications not only for smart utilities and smart cities</w:t>
      </w:r>
      <w:r>
        <w:rPr>
          <w:rStyle w:val="FootnoteReference"/>
          <w:sz w:val="24"/>
          <w:szCs w:val="24"/>
        </w:rPr>
        <w:footnoteReference w:id="13"/>
      </w:r>
      <w:r w:rsidRPr="005127AC">
        <w:rPr>
          <w:sz w:val="24"/>
          <w:szCs w:val="24"/>
        </w:rPr>
        <w:t xml:space="preserve"> but also for smart agriculture</w:t>
      </w:r>
      <w:r>
        <w:rPr>
          <w:sz w:val="24"/>
          <w:szCs w:val="24"/>
        </w:rPr>
        <w:t xml:space="preserve"> </w:t>
      </w:r>
      <w:r w:rsidRPr="005127AC">
        <w:rPr>
          <w:sz w:val="24"/>
          <w:szCs w:val="24"/>
        </w:rPr>
        <w:t>and healthcare</w:t>
      </w:r>
      <w:r w:rsidRPr="006011F5">
        <w:rPr>
          <w:rStyle w:val="FootnoteReference"/>
          <w:sz w:val="24"/>
          <w:szCs w:val="24"/>
          <w:highlight w:val="yellow"/>
        </w:rPr>
        <w:footnoteReference w:id="14"/>
      </w:r>
      <w:r w:rsidRPr="006011F5">
        <w:rPr>
          <w:sz w:val="24"/>
          <w:szCs w:val="24"/>
          <w:highlight w:val="yellow"/>
        </w:rPr>
        <w:t>.</w:t>
      </w:r>
      <w:r w:rsidR="00EF468A" w:rsidRPr="006011F5">
        <w:rPr>
          <w:sz w:val="24"/>
          <w:szCs w:val="24"/>
          <w:highlight w:val="yellow"/>
        </w:rPr>
        <w:t xml:space="preserve"> These technologies are widely used worldwide in applications that include door entry systems, environmental sensors, fire and security alarms, smart meters, smart-parking devices, smart signs, streetlights, and structural integrity sensors.  As an example, there are estimated over 120 million smart electric meters</w:t>
      </w:r>
      <w:r w:rsidR="00EF468A" w:rsidRPr="006011F5">
        <w:rPr>
          <w:rStyle w:val="FootnoteReference"/>
          <w:sz w:val="24"/>
          <w:szCs w:val="24"/>
          <w:highlight w:val="yellow"/>
        </w:rPr>
        <w:footnoteReference w:id="15"/>
      </w:r>
      <w:r w:rsidR="00EF468A" w:rsidRPr="006011F5">
        <w:rPr>
          <w:sz w:val="24"/>
          <w:szCs w:val="24"/>
          <w:highlight w:val="yellow"/>
        </w:rPr>
        <w:t xml:space="preserve"> deployed across the North America</w:t>
      </w:r>
      <w:r w:rsidR="006011F5" w:rsidRPr="006011F5">
        <w:rPr>
          <w:sz w:val="24"/>
          <w:szCs w:val="24"/>
          <w:highlight w:val="yellow"/>
        </w:rPr>
        <w:t>,</w:t>
      </w:r>
      <w:r w:rsidR="00C66165" w:rsidRPr="006011F5">
        <w:rPr>
          <w:sz w:val="24"/>
          <w:szCs w:val="24"/>
          <w:highlight w:val="yellow"/>
        </w:rPr>
        <w:t xml:space="preserve"> and approximately 1 million smart meters already deployed by Dubai Energy and Water Authority</w:t>
      </w:r>
      <w:r w:rsidR="004D0CFF" w:rsidRPr="006011F5">
        <w:rPr>
          <w:rStyle w:val="FootnoteReference"/>
          <w:sz w:val="24"/>
          <w:szCs w:val="24"/>
          <w:highlight w:val="yellow"/>
        </w:rPr>
        <w:footnoteReference w:id="16"/>
      </w:r>
      <w:r w:rsidR="00EF468A" w:rsidRPr="006011F5">
        <w:rPr>
          <w:sz w:val="24"/>
          <w:szCs w:val="24"/>
          <w:highlight w:val="yellow"/>
        </w:rPr>
        <w:t>.</w:t>
      </w:r>
    </w:p>
    <w:p w14:paraId="5048DA9F" w14:textId="2DF331C5" w:rsidR="00F8532C" w:rsidRDefault="00F8532C" w:rsidP="00F8532C">
      <w:pPr>
        <w:jc w:val="both"/>
        <w:rPr>
          <w:sz w:val="24"/>
          <w:szCs w:val="24"/>
        </w:rPr>
      </w:pPr>
    </w:p>
    <w:p w14:paraId="15F7D7F6" w14:textId="77777777" w:rsidR="00F8532C" w:rsidRDefault="00F8532C" w:rsidP="00F8532C">
      <w:pPr>
        <w:jc w:val="both"/>
        <w:rPr>
          <w:sz w:val="24"/>
          <w:szCs w:val="24"/>
        </w:rPr>
      </w:pPr>
    </w:p>
    <w:p w14:paraId="6024B5CF" w14:textId="68150258" w:rsidR="00F8532C" w:rsidRDefault="00F8532C" w:rsidP="00F8532C">
      <w:pPr>
        <w:jc w:val="both"/>
        <w:rPr>
          <w:sz w:val="24"/>
          <w:szCs w:val="24"/>
        </w:rPr>
      </w:pPr>
      <w:r>
        <w:rPr>
          <w:sz w:val="24"/>
          <w:szCs w:val="24"/>
        </w:rPr>
        <w:t>IEEE 802 LMSC respectfully requests</w:t>
      </w:r>
      <w:r w:rsidR="0037666D">
        <w:rPr>
          <w:sz w:val="24"/>
          <w:szCs w:val="24"/>
        </w:rPr>
        <w:t xml:space="preserve"> TDRA</w:t>
      </w:r>
      <w:r>
        <w:rPr>
          <w:sz w:val="24"/>
          <w:szCs w:val="24"/>
        </w:rPr>
        <w:t xml:space="preserve"> to update </w:t>
      </w:r>
      <w:r w:rsidR="00F53A5C">
        <w:rPr>
          <w:sz w:val="24"/>
          <w:szCs w:val="24"/>
        </w:rPr>
        <w:t>the spectrum outlook</w:t>
      </w:r>
      <w:r>
        <w:rPr>
          <w:sz w:val="24"/>
          <w:szCs w:val="24"/>
        </w:rPr>
        <w:t xml:space="preserve"> to</w:t>
      </w:r>
    </w:p>
    <w:p w14:paraId="7B5F9DF0" w14:textId="77044079" w:rsidR="00F8532C" w:rsidRPr="0036113D" w:rsidRDefault="00F53A5C" w:rsidP="00F8532C">
      <w:pPr>
        <w:pStyle w:val="ListParagraph"/>
        <w:numPr>
          <w:ilvl w:val="0"/>
          <w:numId w:val="22"/>
        </w:numPr>
        <w:jc w:val="both"/>
        <w:rPr>
          <w:rFonts w:ascii="Times New Roman" w:eastAsia="Times New Roman" w:hAnsi="Times New Roman"/>
          <w:b/>
          <w:sz w:val="24"/>
          <w:szCs w:val="24"/>
        </w:rPr>
      </w:pPr>
      <w:r w:rsidRPr="0036113D">
        <w:rPr>
          <w:rFonts w:ascii="Times New Roman" w:hAnsi="Times New Roman"/>
          <w:sz w:val="24"/>
          <w:szCs w:val="24"/>
        </w:rPr>
        <w:t>i</w:t>
      </w:r>
      <w:r w:rsidR="00F8532C" w:rsidRPr="0036113D">
        <w:rPr>
          <w:rFonts w:ascii="Times New Roman" w:hAnsi="Times New Roman"/>
          <w:sz w:val="24"/>
          <w:szCs w:val="24"/>
        </w:rPr>
        <w:t>nclude the fact that Wi-Fi operates not only in 2.4 GHz, 5 GHz, and 6 GHz frequency band, but also in the sub-1 GHz band</w:t>
      </w:r>
      <w:r w:rsidR="0036113D" w:rsidRPr="0036113D">
        <w:rPr>
          <w:rFonts w:ascii="Times New Roman" w:hAnsi="Times New Roman"/>
          <w:sz w:val="24"/>
          <w:szCs w:val="24"/>
        </w:rPr>
        <w:t>;</w:t>
      </w:r>
    </w:p>
    <w:p w14:paraId="1E3AF4EE" w14:textId="3CC84093" w:rsidR="00F8532C" w:rsidRPr="0036113D" w:rsidRDefault="00F53A5C" w:rsidP="00F8532C">
      <w:pPr>
        <w:pStyle w:val="ListParagraph"/>
        <w:numPr>
          <w:ilvl w:val="0"/>
          <w:numId w:val="22"/>
        </w:numPr>
        <w:jc w:val="both"/>
        <w:rPr>
          <w:rFonts w:ascii="Times New Roman" w:eastAsia="Times New Roman" w:hAnsi="Times New Roman"/>
          <w:sz w:val="24"/>
          <w:szCs w:val="24"/>
        </w:rPr>
      </w:pPr>
      <w:r w:rsidRPr="0036113D">
        <w:rPr>
          <w:rFonts w:ascii="Times New Roman" w:eastAsia="Times New Roman" w:hAnsi="Times New Roman"/>
          <w:sz w:val="24"/>
          <w:szCs w:val="24"/>
        </w:rPr>
        <w:t>i</w:t>
      </w:r>
      <w:r w:rsidR="00F8532C" w:rsidRPr="0036113D">
        <w:rPr>
          <w:rFonts w:ascii="Times New Roman" w:eastAsia="Times New Roman" w:hAnsi="Times New Roman"/>
          <w:sz w:val="24"/>
          <w:szCs w:val="24"/>
        </w:rPr>
        <w:t xml:space="preserve">ntroduce IEEE 802.15.4-based </w:t>
      </w:r>
      <w:r w:rsidRPr="0036113D">
        <w:rPr>
          <w:rFonts w:ascii="Times New Roman" w:eastAsia="Times New Roman" w:hAnsi="Times New Roman"/>
          <w:sz w:val="24"/>
          <w:szCs w:val="24"/>
        </w:rPr>
        <w:t>Wi-</w:t>
      </w:r>
      <w:r w:rsidR="00F8532C" w:rsidRPr="0036113D">
        <w:rPr>
          <w:rFonts w:ascii="Times New Roman" w:eastAsia="Times New Roman" w:hAnsi="Times New Roman"/>
          <w:sz w:val="24"/>
          <w:szCs w:val="24"/>
        </w:rPr>
        <w:t xml:space="preserve">SUN as additional radio-based technologies that provide low-power and short-range communications for various </w:t>
      </w:r>
      <w:r w:rsidRPr="0036113D">
        <w:rPr>
          <w:rFonts w:ascii="Times New Roman" w:eastAsia="Times New Roman" w:hAnsi="Times New Roman"/>
          <w:sz w:val="24"/>
          <w:szCs w:val="24"/>
        </w:rPr>
        <w:t>smart sensors</w:t>
      </w:r>
      <w:r w:rsidR="00F8532C" w:rsidRPr="0036113D">
        <w:rPr>
          <w:rFonts w:ascii="Times New Roman" w:eastAsia="Times New Roman" w:hAnsi="Times New Roman"/>
          <w:sz w:val="24"/>
          <w:szCs w:val="24"/>
        </w:rPr>
        <w:t xml:space="preserve"> applications that are of particular relevance to </w:t>
      </w:r>
      <w:r w:rsidRPr="0036113D">
        <w:rPr>
          <w:rFonts w:ascii="Times New Roman" w:eastAsia="Times New Roman" w:hAnsi="Times New Roman"/>
          <w:sz w:val="24"/>
          <w:szCs w:val="24"/>
        </w:rPr>
        <w:t>UAE</w:t>
      </w:r>
      <w:r w:rsidR="00F8532C" w:rsidRPr="0036113D">
        <w:rPr>
          <w:rFonts w:ascii="Times New Roman" w:eastAsia="Times New Roman" w:hAnsi="Times New Roman"/>
          <w:sz w:val="24"/>
          <w:szCs w:val="24"/>
        </w:rPr>
        <w:t>.</w:t>
      </w:r>
    </w:p>
    <w:p w14:paraId="56D301F0" w14:textId="77777777" w:rsidR="00F8532C" w:rsidRDefault="00F8532C" w:rsidP="00F8532C">
      <w:pPr>
        <w:jc w:val="both"/>
        <w:rPr>
          <w:b/>
          <w:sz w:val="24"/>
          <w:szCs w:val="24"/>
        </w:rPr>
      </w:pPr>
    </w:p>
    <w:p w14:paraId="3BD5FB90" w14:textId="09943393" w:rsidR="00C57B22" w:rsidRPr="00F8532C" w:rsidRDefault="00C57B22" w:rsidP="00C57B22">
      <w:pPr>
        <w:jc w:val="both"/>
        <w:rPr>
          <w:b/>
          <w:bCs/>
          <w:sz w:val="24"/>
          <w:szCs w:val="24"/>
          <w:u w:val="single"/>
        </w:rPr>
      </w:pPr>
      <w:r>
        <w:rPr>
          <w:b/>
          <w:bCs/>
          <w:sz w:val="24"/>
          <w:szCs w:val="24"/>
          <w:u w:val="single"/>
        </w:rPr>
        <w:t>Terahertz</w:t>
      </w:r>
      <w:r w:rsidR="00666BA0">
        <w:rPr>
          <w:b/>
          <w:bCs/>
          <w:sz w:val="24"/>
          <w:szCs w:val="24"/>
          <w:u w:val="single"/>
        </w:rPr>
        <w:t xml:space="preserve"> spectrum</w:t>
      </w:r>
      <w:r w:rsidR="00D56B33">
        <w:rPr>
          <w:b/>
          <w:bCs/>
          <w:sz w:val="24"/>
          <w:szCs w:val="24"/>
          <w:u w:val="single"/>
        </w:rPr>
        <w:t xml:space="preserve"> for SRDs</w:t>
      </w:r>
    </w:p>
    <w:p w14:paraId="1B208853" w14:textId="77777777" w:rsidR="00C57B22" w:rsidRDefault="00C57B22" w:rsidP="00C57B22">
      <w:pPr>
        <w:jc w:val="both"/>
        <w:rPr>
          <w:sz w:val="24"/>
          <w:szCs w:val="24"/>
        </w:rPr>
      </w:pPr>
    </w:p>
    <w:p w14:paraId="20175969" w14:textId="0754184E" w:rsidR="00D56B33" w:rsidRPr="002C1E14" w:rsidRDefault="00D56B33" w:rsidP="00D56B33">
      <w:pPr>
        <w:jc w:val="both"/>
        <w:rPr>
          <w:sz w:val="24"/>
          <w:szCs w:val="24"/>
          <w:lang w:eastAsia="ja-JP"/>
        </w:rPr>
      </w:pPr>
      <w:r w:rsidRPr="002C1E14">
        <w:rPr>
          <w:sz w:val="24"/>
          <w:szCs w:val="24"/>
          <w:lang w:eastAsia="ja-JP"/>
        </w:rPr>
        <w:t xml:space="preserve">IEEE 802 LMSC recommends </w:t>
      </w:r>
      <w:r w:rsidR="002828B4">
        <w:rPr>
          <w:sz w:val="24"/>
          <w:szCs w:val="24"/>
          <w:lang w:eastAsia="ja-JP"/>
        </w:rPr>
        <w:t>TDRA</w:t>
      </w:r>
      <w:r w:rsidRPr="002C1E14">
        <w:rPr>
          <w:sz w:val="24"/>
          <w:szCs w:val="24"/>
          <w:lang w:eastAsia="ja-JP"/>
        </w:rPr>
        <w:t xml:space="preserve"> to allow license exempt operations between 252 GHz and 450 </w:t>
      </w:r>
      <w:r>
        <w:rPr>
          <w:sz w:val="24"/>
          <w:szCs w:val="24"/>
          <w:lang w:eastAsia="ja-JP"/>
        </w:rPr>
        <w:t xml:space="preserve">GHz, which includes spectrum </w:t>
      </w:r>
      <w:r w:rsidRPr="002C1E14">
        <w:rPr>
          <w:sz w:val="24"/>
          <w:szCs w:val="24"/>
        </w:rPr>
        <w:t>identified for the use of T</w:t>
      </w:r>
      <w:r>
        <w:rPr>
          <w:sz w:val="24"/>
          <w:szCs w:val="24"/>
        </w:rPr>
        <w:t>era</w:t>
      </w:r>
      <w:r w:rsidR="002828B4">
        <w:rPr>
          <w:sz w:val="24"/>
          <w:szCs w:val="24"/>
        </w:rPr>
        <w:t>h</w:t>
      </w:r>
      <w:r>
        <w:rPr>
          <w:sz w:val="24"/>
          <w:szCs w:val="24"/>
        </w:rPr>
        <w:t>ert</w:t>
      </w:r>
      <w:r w:rsidRPr="002C1E14">
        <w:rPr>
          <w:sz w:val="24"/>
          <w:szCs w:val="24"/>
        </w:rPr>
        <w:t>z communications by the World Radiocommunications Conference (WRC) 2019 per Radio Regulation (RR) No. 5.564A</w:t>
      </w:r>
      <w:r>
        <w:rPr>
          <w:rStyle w:val="FootnoteReference"/>
          <w:sz w:val="24"/>
          <w:szCs w:val="24"/>
        </w:rPr>
        <w:footnoteReference w:id="17"/>
      </w:r>
      <w:r>
        <w:rPr>
          <w:sz w:val="24"/>
          <w:szCs w:val="24"/>
        </w:rPr>
        <w:t>.</w:t>
      </w:r>
    </w:p>
    <w:p w14:paraId="3ACDCF09" w14:textId="77777777" w:rsidR="00D56B33" w:rsidRDefault="00D56B33" w:rsidP="00D56B33">
      <w:pPr>
        <w:snapToGrid w:val="0"/>
        <w:jc w:val="both"/>
        <w:rPr>
          <w:sz w:val="24"/>
          <w:szCs w:val="24"/>
          <w:lang w:eastAsia="ja-JP"/>
        </w:rPr>
      </w:pPr>
    </w:p>
    <w:p w14:paraId="048C6776" w14:textId="27DA1479" w:rsidR="00D56B33" w:rsidRDefault="00D56B33" w:rsidP="00D56B33">
      <w:pPr>
        <w:jc w:val="both"/>
        <w:rPr>
          <w:sz w:val="24"/>
          <w:szCs w:val="24"/>
          <w:lang w:eastAsia="ja-JP"/>
        </w:rPr>
      </w:pPr>
      <w:r>
        <w:rPr>
          <w:sz w:val="24"/>
          <w:szCs w:val="24"/>
          <w:lang w:eastAsia="ja-JP"/>
        </w:rPr>
        <w:t>IEEE 802 LMSC has been leading the standards development of Tera</w:t>
      </w:r>
      <w:r w:rsidR="002828B4">
        <w:rPr>
          <w:sz w:val="24"/>
          <w:szCs w:val="24"/>
          <w:lang w:eastAsia="ja-JP"/>
        </w:rPr>
        <w:t>h</w:t>
      </w:r>
      <w:r>
        <w:rPr>
          <w:sz w:val="24"/>
          <w:szCs w:val="24"/>
          <w:lang w:eastAsia="ja-JP"/>
        </w:rPr>
        <w:t>ertz communications since 2008. Of particular note is IEEE Std 802.15.3</w:t>
      </w:r>
      <w:r w:rsidRPr="00330C3B">
        <w:rPr>
          <w:sz w:val="24"/>
          <w:szCs w:val="24"/>
          <w:lang w:eastAsia="ja-JP"/>
        </w:rPr>
        <w:t>-20</w:t>
      </w:r>
      <w:r>
        <w:rPr>
          <w:sz w:val="24"/>
          <w:szCs w:val="24"/>
          <w:lang w:eastAsia="ja-JP"/>
        </w:rPr>
        <w:t>23</w:t>
      </w:r>
      <w:r w:rsidR="002828B4">
        <w:rPr>
          <w:rStyle w:val="FootnoteReference"/>
          <w:sz w:val="24"/>
          <w:szCs w:val="24"/>
          <w:lang w:eastAsia="ja-JP"/>
        </w:rPr>
        <w:footnoteReference w:id="18"/>
      </w:r>
      <w:r>
        <w:rPr>
          <w:sz w:val="24"/>
          <w:szCs w:val="24"/>
          <w:lang w:eastAsia="ja-JP"/>
        </w:rPr>
        <w:t>, which</w:t>
      </w:r>
      <w:r w:rsidRPr="00330C3B">
        <w:rPr>
          <w:sz w:val="24"/>
          <w:szCs w:val="24"/>
          <w:lang w:eastAsia="ja-JP"/>
        </w:rPr>
        <w:t xml:space="preserve"> </w:t>
      </w:r>
      <w:r w:rsidRPr="00BC2245">
        <w:rPr>
          <w:sz w:val="24"/>
          <w:szCs w:val="24"/>
          <w:lang w:eastAsia="ja-JP"/>
        </w:rPr>
        <w:t xml:space="preserve">defines </w:t>
      </w:r>
      <w:r w:rsidRPr="00330C3B">
        <w:rPr>
          <w:sz w:val="24"/>
          <w:szCs w:val="24"/>
          <w:lang w:eastAsia="ja-JP"/>
        </w:rPr>
        <w:t>physical layer (PHY)</w:t>
      </w:r>
      <w:r w:rsidRPr="00BC2245">
        <w:rPr>
          <w:sz w:val="24"/>
          <w:szCs w:val="24"/>
          <w:lang w:eastAsia="ja-JP"/>
        </w:rPr>
        <w:t xml:space="preserve"> and </w:t>
      </w:r>
      <w:r>
        <w:rPr>
          <w:sz w:val="24"/>
          <w:szCs w:val="24"/>
          <w:lang w:eastAsia="ja-JP"/>
        </w:rPr>
        <w:t>medium access control (</w:t>
      </w:r>
      <w:r w:rsidRPr="00BC2245">
        <w:rPr>
          <w:sz w:val="24"/>
          <w:szCs w:val="24"/>
          <w:lang w:eastAsia="ja-JP"/>
        </w:rPr>
        <w:t>MAC</w:t>
      </w:r>
      <w:r>
        <w:rPr>
          <w:sz w:val="24"/>
          <w:szCs w:val="24"/>
          <w:lang w:eastAsia="ja-JP"/>
        </w:rPr>
        <w:t>)</w:t>
      </w:r>
      <w:r w:rsidRPr="00BC2245">
        <w:rPr>
          <w:sz w:val="24"/>
          <w:szCs w:val="24"/>
          <w:lang w:eastAsia="ja-JP"/>
        </w:rPr>
        <w:t xml:space="preserve"> </w:t>
      </w:r>
      <w:r>
        <w:rPr>
          <w:sz w:val="24"/>
          <w:szCs w:val="24"/>
          <w:lang w:eastAsia="ja-JP"/>
        </w:rPr>
        <w:t>operation</w:t>
      </w:r>
      <w:r w:rsidRPr="00BC2245">
        <w:rPr>
          <w:sz w:val="24"/>
          <w:szCs w:val="24"/>
          <w:lang w:eastAsia="ja-JP"/>
        </w:rPr>
        <w:t xml:space="preserve"> for high data rate wireless connectivity (typically over 200 Mb/s) with fixed</w:t>
      </w:r>
      <w:r>
        <w:rPr>
          <w:sz w:val="24"/>
          <w:szCs w:val="24"/>
          <w:lang w:eastAsia="ja-JP"/>
        </w:rPr>
        <w:t xml:space="preserve">, portable, and moving devices via </w:t>
      </w:r>
      <w:r w:rsidRPr="007B4B7A">
        <w:rPr>
          <w:sz w:val="24"/>
          <w:szCs w:val="24"/>
          <w:lang w:eastAsia="ja-JP"/>
        </w:rPr>
        <w:t xml:space="preserve">2.4 GHz, 60 GHz, and 300 </w:t>
      </w:r>
      <w:r>
        <w:rPr>
          <w:sz w:val="24"/>
          <w:szCs w:val="24"/>
          <w:lang w:eastAsia="ja-JP"/>
        </w:rPr>
        <w:t xml:space="preserve">GHz radio transmissions </w:t>
      </w:r>
      <w:r w:rsidRPr="007B4B7A">
        <w:rPr>
          <w:sz w:val="24"/>
          <w:szCs w:val="24"/>
          <w:lang w:eastAsia="ja-JP"/>
        </w:rPr>
        <w:t>using low</w:t>
      </w:r>
      <w:r>
        <w:rPr>
          <w:sz w:val="24"/>
          <w:szCs w:val="24"/>
          <w:lang w:eastAsia="ja-JP"/>
        </w:rPr>
        <w:t xml:space="preserve"> </w:t>
      </w:r>
      <w:r w:rsidRPr="007B4B7A">
        <w:rPr>
          <w:sz w:val="24"/>
          <w:szCs w:val="24"/>
          <w:lang w:eastAsia="ja-JP"/>
        </w:rPr>
        <w:t>power and multiple modulation formats.</w:t>
      </w:r>
      <w:r>
        <w:rPr>
          <w:sz w:val="24"/>
          <w:szCs w:val="24"/>
          <w:lang w:eastAsia="ja-JP"/>
        </w:rPr>
        <w:t xml:space="preserve">  Of note, the standard defines</w:t>
      </w:r>
      <w:r w:rsidRPr="00330C3B">
        <w:rPr>
          <w:sz w:val="24"/>
          <w:szCs w:val="24"/>
          <w:lang w:eastAsia="ja-JP"/>
        </w:rPr>
        <w:t xml:space="preserve"> </w:t>
      </w:r>
      <w:r>
        <w:rPr>
          <w:sz w:val="24"/>
          <w:szCs w:val="24"/>
          <w:lang w:eastAsia="ja-JP"/>
        </w:rPr>
        <w:t xml:space="preserve">two </w:t>
      </w:r>
      <w:r w:rsidRPr="00330C3B">
        <w:rPr>
          <w:sz w:val="24"/>
          <w:szCs w:val="24"/>
          <w:lang w:eastAsia="ja-JP"/>
        </w:rPr>
        <w:t xml:space="preserve">PHY </w:t>
      </w:r>
      <w:r>
        <w:rPr>
          <w:sz w:val="24"/>
          <w:szCs w:val="24"/>
          <w:lang w:eastAsia="ja-JP"/>
        </w:rPr>
        <w:t>modes</w:t>
      </w:r>
      <w:r w:rsidRPr="00330C3B">
        <w:rPr>
          <w:sz w:val="24"/>
          <w:szCs w:val="24"/>
          <w:lang w:eastAsia="ja-JP"/>
        </w:rPr>
        <w:t xml:space="preserve"> in the frequen</w:t>
      </w:r>
      <w:r>
        <w:rPr>
          <w:sz w:val="24"/>
          <w:szCs w:val="24"/>
          <w:lang w:eastAsia="ja-JP"/>
        </w:rPr>
        <w:t>cy range between 252 GHz and 450</w:t>
      </w:r>
      <w:r w:rsidRPr="00330C3B">
        <w:rPr>
          <w:sz w:val="24"/>
          <w:szCs w:val="24"/>
          <w:lang w:eastAsia="ja-JP"/>
        </w:rPr>
        <w:t xml:space="preserve"> GHz for switched point</w:t>
      </w:r>
      <w:r>
        <w:rPr>
          <w:sz w:val="24"/>
          <w:szCs w:val="24"/>
          <w:lang w:eastAsia="ja-JP"/>
        </w:rPr>
        <w:t>-to-point links, enabling</w:t>
      </w:r>
      <w:r w:rsidRPr="00330C3B">
        <w:rPr>
          <w:sz w:val="24"/>
          <w:szCs w:val="24"/>
          <w:lang w:eastAsia="ja-JP"/>
        </w:rPr>
        <w:t xml:space="preserve"> data rates of up to 100 Gb/s using eight different bandwidths between 2.16 GHz and 69.12 GHz. Targeted applications </w:t>
      </w:r>
      <w:r>
        <w:rPr>
          <w:sz w:val="24"/>
          <w:szCs w:val="24"/>
          <w:lang w:eastAsia="ja-JP"/>
        </w:rPr>
        <w:t xml:space="preserve">supported by this standard </w:t>
      </w:r>
      <w:r w:rsidRPr="00330C3B">
        <w:rPr>
          <w:sz w:val="24"/>
          <w:szCs w:val="24"/>
          <w:lang w:eastAsia="ja-JP"/>
        </w:rPr>
        <w:t>include wireless backhaul/fronthaul links, wireless links in data centers as well as short</w:t>
      </w:r>
      <w:r>
        <w:rPr>
          <w:sz w:val="24"/>
          <w:szCs w:val="24"/>
          <w:lang w:eastAsia="ja-JP"/>
        </w:rPr>
        <w:t xml:space="preserve"> </w:t>
      </w:r>
      <w:r w:rsidRPr="00330C3B">
        <w:rPr>
          <w:sz w:val="24"/>
          <w:szCs w:val="24"/>
          <w:lang w:eastAsia="ja-JP"/>
        </w:rPr>
        <w:t>range applications such as kiosk downloading, intra-device and close</w:t>
      </w:r>
      <w:r>
        <w:rPr>
          <w:sz w:val="24"/>
          <w:szCs w:val="24"/>
          <w:lang w:eastAsia="ja-JP"/>
        </w:rPr>
        <w:t xml:space="preserve"> </w:t>
      </w:r>
      <w:r w:rsidRPr="00330C3B">
        <w:rPr>
          <w:sz w:val="24"/>
          <w:szCs w:val="24"/>
          <w:lang w:eastAsia="ja-JP"/>
        </w:rPr>
        <w:t xml:space="preserve">proximity communication. </w:t>
      </w:r>
      <w:r>
        <w:rPr>
          <w:sz w:val="24"/>
          <w:szCs w:val="24"/>
          <w:lang w:eastAsia="ja-JP"/>
        </w:rPr>
        <w:t xml:space="preserve"> </w:t>
      </w:r>
    </w:p>
    <w:p w14:paraId="10F79E6F" w14:textId="77777777" w:rsidR="00F8532C" w:rsidRDefault="00F8532C"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58E8D4AC" w:rsidR="004D19C4" w:rsidRPr="00662551" w:rsidRDefault="004D19C4" w:rsidP="004D19C4">
      <w:pPr>
        <w:jc w:val="both"/>
        <w:rPr>
          <w:sz w:val="24"/>
          <w:szCs w:val="24"/>
        </w:rPr>
      </w:pPr>
      <w:r w:rsidRPr="00435292">
        <w:rPr>
          <w:sz w:val="24"/>
          <w:szCs w:val="24"/>
        </w:rPr>
        <w:t xml:space="preserve">IEEE 802 LMSC thanks </w:t>
      </w:r>
      <w:r>
        <w:rPr>
          <w:sz w:val="24"/>
          <w:szCs w:val="24"/>
        </w:rPr>
        <w:t>TDRA</w:t>
      </w:r>
      <w:r w:rsidRPr="00435292">
        <w:rPr>
          <w:sz w:val="24"/>
          <w:szCs w:val="24"/>
        </w:rPr>
        <w:t xml:space="preserve"> for the opportunit</w:t>
      </w:r>
      <w:r>
        <w:rPr>
          <w:sz w:val="24"/>
          <w:szCs w:val="24"/>
        </w:rPr>
        <w:t xml:space="preserve">y to provide this submission and respectfully asks TDRA to consider our input on Wi-Fi operating in the sub 1 GHz and 6 GHz bands, </w:t>
      </w:r>
      <w:r w:rsidRPr="0036113D">
        <w:rPr>
          <w:sz w:val="24"/>
          <w:szCs w:val="24"/>
        </w:rPr>
        <w:t>IEEE 802.15.4-based Wi-SUN</w:t>
      </w:r>
      <w:r>
        <w:rPr>
          <w:sz w:val="24"/>
          <w:szCs w:val="24"/>
        </w:rPr>
        <w:t xml:space="preserve"> devices for IoT applications, and spectrum allocation for </w:t>
      </w:r>
      <w:r w:rsidRPr="002C1E14">
        <w:rPr>
          <w:sz w:val="24"/>
          <w:szCs w:val="24"/>
          <w:lang w:eastAsia="ja-JP"/>
        </w:rPr>
        <w:t xml:space="preserve">license exempt operations between 252 GHz and 450 </w:t>
      </w:r>
      <w:r>
        <w:rPr>
          <w:sz w:val="24"/>
          <w:szCs w:val="24"/>
          <w:lang w:eastAsia="ja-JP"/>
        </w:rPr>
        <w:t>GHz</w:t>
      </w:r>
      <w:r>
        <w:rPr>
          <w:sz w:val="24"/>
          <w:szCs w:val="24"/>
        </w:rPr>
        <w:t xml:space="preserve">. </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BFEB" w14:textId="77777777" w:rsidR="00C259E3" w:rsidRDefault="00C259E3">
      <w:r>
        <w:separator/>
      </w:r>
    </w:p>
  </w:endnote>
  <w:endnote w:type="continuationSeparator" w:id="0">
    <w:p w14:paraId="3473B127" w14:textId="77777777" w:rsidR="00C259E3" w:rsidRDefault="00C2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99CC" w14:textId="77777777" w:rsidR="00C259E3" w:rsidRDefault="00C259E3">
      <w:pPr>
        <w:rPr>
          <w:sz w:val="12"/>
        </w:rPr>
      </w:pPr>
      <w:r>
        <w:separator/>
      </w:r>
    </w:p>
  </w:footnote>
  <w:footnote w:type="continuationSeparator" w:id="0">
    <w:p w14:paraId="59EBDE8D" w14:textId="77777777" w:rsidR="00C259E3" w:rsidRDefault="00C259E3">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3AFAF8B" w14:textId="47E09A99" w:rsidR="00232FF2" w:rsidRPr="002D6E5A" w:rsidRDefault="00232FF2" w:rsidP="002D6E5A">
      <w:pPr>
        <w:pStyle w:val="FootnoteText"/>
        <w:jc w:val="both"/>
        <w:rPr>
          <w:sz w:val="16"/>
          <w:szCs w:val="16"/>
        </w:rPr>
      </w:pPr>
      <w:r w:rsidRPr="00670F29">
        <w:rPr>
          <w:rStyle w:val="FootnoteReference"/>
          <w:sz w:val="16"/>
          <w:szCs w:val="16"/>
          <w:highlight w:val="yellow"/>
        </w:rPr>
        <w:footnoteRef/>
      </w:r>
      <w:r w:rsidRPr="00670F29">
        <w:rPr>
          <w:sz w:val="16"/>
          <w:szCs w:val="16"/>
          <w:highlight w:val="yellow"/>
        </w:rPr>
        <w:t xml:space="preserve"> See UK Ofcom consultation “Proposals for AFC in Lower 6 GHz and mobile / Wi-Fi sharing in Upper 6 GHz,” February 2025.</w:t>
      </w:r>
    </w:p>
  </w:footnote>
  <w:footnote w:id="3">
    <w:p w14:paraId="5403DDAB" w14:textId="0EA2ADED" w:rsidR="00B2440D" w:rsidRPr="009F4295" w:rsidRDefault="00B2440D" w:rsidP="00B2440D">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1"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w:t>
      </w:r>
      <w:r>
        <w:rPr>
          <w:rStyle w:val="None"/>
          <w:sz w:val="16"/>
          <w:szCs w:val="16"/>
        </w:rPr>
        <w:t>11 March 2025</w:t>
      </w:r>
      <w:r w:rsidRPr="0021672C">
        <w:rPr>
          <w:rStyle w:val="None"/>
          <w:sz w:val="16"/>
          <w:szCs w:val="16"/>
        </w:rPr>
        <w:t xml:space="preserve">].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w:t>
      </w:r>
      <w:r w:rsidRPr="00B2440D">
        <w:rPr>
          <w:rStyle w:val="None"/>
          <w:sz w:val="16"/>
          <w:szCs w:val="16"/>
        </w:rPr>
        <w:t xml:space="preserve">the band.  </w:t>
      </w:r>
      <w:r w:rsidRPr="00B2440D">
        <w:rPr>
          <w:sz w:val="16"/>
          <w:szCs w:val="16"/>
        </w:rPr>
        <w:t>Of particular relevance is the multi-link operation feature which when used in the 6 GHz band, achieves and exceeds the performance expectations of Wi-Fi 7.</w:t>
      </w:r>
    </w:p>
  </w:footnote>
  <w:footnote w:id="4">
    <w:p w14:paraId="5EE9E560" w14:textId="3C13FAB6" w:rsidR="0023243C" w:rsidRPr="002F0F9B" w:rsidRDefault="0023243C" w:rsidP="0023243C">
      <w:pPr>
        <w:pStyle w:val="FootnoteText"/>
        <w:jc w:val="both"/>
        <w:rPr>
          <w:sz w:val="16"/>
          <w:szCs w:val="16"/>
        </w:rPr>
      </w:pPr>
      <w:r w:rsidRPr="002F0F9B">
        <w:rPr>
          <w:rStyle w:val="FootnoteReference"/>
          <w:sz w:val="16"/>
          <w:szCs w:val="16"/>
        </w:rPr>
        <w:footnoteRef/>
      </w:r>
      <w:r w:rsidRPr="002F0F9B">
        <w:rPr>
          <w:sz w:val="16"/>
          <w:szCs w:val="16"/>
        </w:rPr>
        <w:t xml:space="preserve"> See FiRa Consortium: Unleashing the Potential of UWB: Regulatory considerations, August 2022, </w:t>
      </w:r>
      <w:hyperlink r:id="rId2"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sidR="00B47902">
        <w:rPr>
          <w:sz w:val="16"/>
          <w:szCs w:val="16"/>
        </w:rPr>
        <w:t>11</w:t>
      </w:r>
      <w:r w:rsidR="005A1652">
        <w:rPr>
          <w:sz w:val="16"/>
          <w:szCs w:val="16"/>
        </w:rPr>
        <w:t xml:space="preserve"> March</w:t>
      </w:r>
      <w:r>
        <w:rPr>
          <w:sz w:val="16"/>
          <w:szCs w:val="16"/>
        </w:rPr>
        <w:t xml:space="preserve"> 2025</w:t>
      </w:r>
      <w:r w:rsidRPr="002F0F9B">
        <w:rPr>
          <w:sz w:val="16"/>
          <w:szCs w:val="16"/>
        </w:rPr>
        <w:t>].  The introduction of IEEE 802.15 UWB-enabled devices in smartphones and laptops puts forecasts at more than 1 billion devices shipped annually worldwide by 2025.</w:t>
      </w:r>
    </w:p>
  </w:footnote>
  <w:footnote w:id="5">
    <w:p w14:paraId="4E118A7C" w14:textId="14C81A67" w:rsidR="0023243C" w:rsidRPr="0053314D" w:rsidRDefault="0023243C" w:rsidP="0023243C">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3" w:history="1">
        <w:r w:rsidRPr="0053314D">
          <w:rPr>
            <w:rStyle w:val="Hyperlink"/>
            <w:sz w:val="16"/>
            <w:szCs w:val="16"/>
          </w:rPr>
          <w:t>https://www.ieee802.org/15/pub/TG4ab.html</w:t>
        </w:r>
      </w:hyperlink>
      <w:r w:rsidRPr="0053314D">
        <w:rPr>
          <w:sz w:val="16"/>
          <w:szCs w:val="16"/>
        </w:rPr>
        <w:t xml:space="preserve"> [accessed: </w:t>
      </w:r>
      <w:r w:rsidR="00B47902">
        <w:rPr>
          <w:sz w:val="16"/>
          <w:szCs w:val="16"/>
        </w:rPr>
        <w:t>11</w:t>
      </w:r>
      <w:r w:rsidR="008D24E7">
        <w:rPr>
          <w:sz w:val="16"/>
          <w:szCs w:val="16"/>
        </w:rPr>
        <w:t xml:space="preserve"> March</w:t>
      </w:r>
      <w:r>
        <w:rPr>
          <w:sz w:val="16"/>
          <w:szCs w:val="16"/>
        </w:rPr>
        <w:t xml:space="preserve"> 2025</w:t>
      </w:r>
      <w:r w:rsidRPr="0053314D">
        <w:rPr>
          <w:sz w:val="16"/>
          <w:szCs w:val="16"/>
        </w:rPr>
        <w:t>].</w:t>
      </w:r>
    </w:p>
  </w:footnote>
  <w:footnote w:id="6">
    <w:p w14:paraId="11FAA57F" w14:textId="45CA98F5" w:rsidR="0023243C" w:rsidRPr="00E54058" w:rsidRDefault="0023243C" w:rsidP="0023243C">
      <w:pPr>
        <w:pStyle w:val="FootnoteText"/>
        <w:jc w:val="both"/>
        <w:rPr>
          <w:sz w:val="16"/>
          <w:szCs w:val="16"/>
        </w:rPr>
      </w:pPr>
      <w:r w:rsidRPr="00E54058">
        <w:rPr>
          <w:rStyle w:val="FootnoteReference"/>
          <w:sz w:val="16"/>
          <w:szCs w:val="16"/>
        </w:rPr>
        <w:footnoteRef/>
      </w:r>
      <w:r w:rsidRPr="00E54058">
        <w:rPr>
          <w:sz w:val="16"/>
          <w:szCs w:val="16"/>
        </w:rPr>
        <w:t xml:space="preserve"> </w:t>
      </w:r>
      <w:r w:rsidR="008A2FC8" w:rsidRPr="008A2FC8">
        <w:rPr>
          <w:sz w:val="16"/>
          <w:szCs w:val="16"/>
        </w:rPr>
        <w:t>"IEEE Standard for Low‐Rate Wireless Networks," in </w:t>
      </w:r>
      <w:r w:rsidR="008A2FC8" w:rsidRPr="008A2FC8">
        <w:rPr>
          <w:i/>
          <w:iCs/>
          <w:sz w:val="16"/>
          <w:szCs w:val="16"/>
        </w:rPr>
        <w:t>IEEE Std 802.15.4-2024 (Revision of IEEE Std 802.15.4-2020)</w:t>
      </w:r>
      <w:r w:rsidR="008A2FC8" w:rsidRPr="008A2FC8">
        <w:rPr>
          <w:sz w:val="16"/>
          <w:szCs w:val="16"/>
        </w:rPr>
        <w:t> , vol., no., pp.1-967, 12 Dec. 2024, doi: 10.1109/IEEESTD.2024.10794632.</w:t>
      </w:r>
    </w:p>
  </w:footnote>
  <w:footnote w:id="7">
    <w:p w14:paraId="6BFF424F" w14:textId="77777777"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doi: 10.1109/IEEESTD.2017.7920364.</w:t>
      </w:r>
    </w:p>
  </w:footnote>
  <w:footnote w:id="8">
    <w:p w14:paraId="3A9FC55D" w14:textId="18464AF0"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Wi-Fi Alliance: Wi-Fi CERTIFIED HaLow</w:t>
      </w:r>
      <w:r>
        <w:rPr>
          <w:sz w:val="16"/>
          <w:szCs w:val="16"/>
        </w:rPr>
        <w:t xml:space="preserve">, </w:t>
      </w:r>
      <w:hyperlink r:id="rId4" w:history="1">
        <w:r w:rsidRPr="00FE1A88">
          <w:rPr>
            <w:rStyle w:val="Hyperlink"/>
            <w:sz w:val="16"/>
            <w:szCs w:val="16"/>
          </w:rPr>
          <w:t>https://www.wi-fi.org/discover-wi-fi/wi-fi-certified-halow</w:t>
        </w:r>
      </w:hyperlink>
      <w:r>
        <w:rPr>
          <w:sz w:val="16"/>
          <w:szCs w:val="16"/>
        </w:rPr>
        <w:t xml:space="preserve"> </w:t>
      </w:r>
      <w:r w:rsidRPr="00AB1B3A">
        <w:rPr>
          <w:sz w:val="16"/>
          <w:szCs w:val="16"/>
        </w:rPr>
        <w:t xml:space="preserve">[accessed: </w:t>
      </w:r>
      <w:r w:rsidR="00B47902">
        <w:rPr>
          <w:sz w:val="16"/>
          <w:szCs w:val="16"/>
        </w:rPr>
        <w:t>11</w:t>
      </w:r>
      <w:r w:rsidR="00581569">
        <w:rPr>
          <w:sz w:val="16"/>
          <w:szCs w:val="16"/>
        </w:rPr>
        <w:t xml:space="preserve"> March 2025</w:t>
      </w:r>
      <w:r w:rsidRPr="00AB1B3A">
        <w:rPr>
          <w:sz w:val="16"/>
          <w:szCs w:val="16"/>
        </w:rPr>
        <w:t>]</w:t>
      </w:r>
    </w:p>
  </w:footnote>
  <w:footnote w:id="9">
    <w:p w14:paraId="1E635395" w14:textId="77777777" w:rsidR="00F8532C" w:rsidRDefault="00F8532C" w:rsidP="00F8532C">
      <w:pPr>
        <w:pStyle w:val="FootnoteText"/>
        <w:jc w:val="both"/>
      </w:pPr>
      <w:r w:rsidRPr="00AB1B3A">
        <w:rPr>
          <w:rStyle w:val="FootnoteReference"/>
          <w:sz w:val="16"/>
          <w:szCs w:val="16"/>
        </w:rPr>
        <w:footnoteRef/>
      </w:r>
      <w:r w:rsidRPr="00AB1B3A">
        <w:rPr>
          <w:sz w:val="16"/>
          <w:szCs w:val="16"/>
        </w:rPr>
        <w:t xml:space="preserve"> </w:t>
      </w:r>
      <w:r w:rsidRPr="00ED4F66">
        <w:rPr>
          <w:sz w:val="16"/>
          <w:szCs w:val="16"/>
        </w:rPr>
        <w:t xml:space="preserve">See </w:t>
      </w:r>
      <w:r w:rsidRPr="00AB1B3A">
        <w:rPr>
          <w:sz w:val="16"/>
          <w:szCs w:val="16"/>
        </w:rPr>
        <w:t>clauses 10.45 to 10.62, clause 23, and Annex L</w:t>
      </w:r>
      <w:r w:rsidRPr="00ED4F66">
        <w:rPr>
          <w:sz w:val="16"/>
          <w:szCs w:val="16"/>
        </w:rPr>
        <w:t xml:space="preserve"> of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P802.11-REVme/D7.0, August 2024 , vol., no., pp.1-6213, 30 July 2024.</w:t>
      </w:r>
    </w:p>
  </w:footnote>
  <w:footnote w:id="10">
    <w:p w14:paraId="638A49F4" w14:textId="6B585510" w:rsidR="00F8532C" w:rsidRPr="00382F5B" w:rsidRDefault="00F8532C" w:rsidP="00F8532C">
      <w:pPr>
        <w:pStyle w:val="FootnoteText"/>
        <w:jc w:val="both"/>
        <w:rPr>
          <w:sz w:val="16"/>
          <w:szCs w:val="16"/>
        </w:rPr>
      </w:pPr>
      <w:r w:rsidRPr="00382F5B">
        <w:rPr>
          <w:rStyle w:val="FootnoteReference"/>
          <w:sz w:val="16"/>
          <w:szCs w:val="16"/>
        </w:rPr>
        <w:footnoteRef/>
      </w:r>
      <w:r w:rsidRPr="00382F5B">
        <w:rPr>
          <w:sz w:val="16"/>
          <w:szCs w:val="16"/>
        </w:rPr>
        <w:t xml:space="preserve"> See Morse Micro: Pushing the limits: Wi-Fi HaLow Testing in Joshua Tree National Park, </w:t>
      </w:r>
      <w:hyperlink r:id="rId5" w:history="1">
        <w:r w:rsidRPr="00382F5B">
          <w:rPr>
            <w:rStyle w:val="Hyperlink"/>
            <w:sz w:val="16"/>
            <w:szCs w:val="16"/>
          </w:rPr>
          <w:t>https://www.morsemicro.com/2024/09/09/pushing-the-limits-wi-fi-halow-testing-in-joshua-tree-national-park/</w:t>
        </w:r>
      </w:hyperlink>
      <w:r w:rsidRPr="00382F5B">
        <w:rPr>
          <w:sz w:val="16"/>
          <w:szCs w:val="16"/>
        </w:rPr>
        <w:t xml:space="preserve"> [accessed: </w:t>
      </w:r>
      <w:r w:rsidR="00B47902">
        <w:rPr>
          <w:sz w:val="16"/>
          <w:szCs w:val="16"/>
        </w:rPr>
        <w:t>11</w:t>
      </w:r>
      <w:r w:rsidR="00D410B8">
        <w:rPr>
          <w:sz w:val="16"/>
          <w:szCs w:val="16"/>
        </w:rPr>
        <w:t xml:space="preserve"> March 2025</w:t>
      </w:r>
      <w:r w:rsidRPr="00382F5B">
        <w:rPr>
          <w:sz w:val="16"/>
          <w:szCs w:val="16"/>
        </w:rPr>
        <w:t>].</w:t>
      </w:r>
    </w:p>
  </w:footnote>
  <w:footnote w:id="11">
    <w:p w14:paraId="1917C9ED" w14:textId="77777777"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doi: 10.1109/IEEESTD.2020.9144691.</w:t>
      </w:r>
    </w:p>
  </w:footnote>
  <w:footnote w:id="12">
    <w:p w14:paraId="40AA535A" w14:textId="6DA3F53B"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6"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[accessed </w:t>
      </w:r>
      <w:r w:rsidR="00B47902">
        <w:rPr>
          <w:sz w:val="16"/>
          <w:szCs w:val="16"/>
        </w:rPr>
        <w:t>11</w:t>
      </w:r>
      <w:r w:rsidR="007360A5">
        <w:rPr>
          <w:sz w:val="16"/>
          <w:szCs w:val="16"/>
        </w:rPr>
        <w:t xml:space="preserve"> March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3">
    <w:p w14:paraId="614C7DC2" w14:textId="35D6A0E3" w:rsidR="00F8532C" w:rsidRPr="00AD7147"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7" w:history="1">
        <w:r w:rsidRPr="001A19CA">
          <w:rPr>
            <w:rStyle w:val="Hyperlink"/>
            <w:sz w:val="16"/>
            <w:szCs w:val="16"/>
          </w:rPr>
          <w:t>https://www.nict.go.jp/en/press/2015/12/25-1.html</w:t>
        </w:r>
      </w:hyperlink>
      <w:r w:rsidRPr="001A19CA">
        <w:rPr>
          <w:sz w:val="16"/>
          <w:szCs w:val="16"/>
        </w:rPr>
        <w:t xml:space="preserve"> [accessed: </w:t>
      </w:r>
      <w:r w:rsidR="00B47902">
        <w:rPr>
          <w:sz w:val="16"/>
          <w:szCs w:val="16"/>
        </w:rPr>
        <w:t>11</w:t>
      </w:r>
      <w:r w:rsidR="005F4E81">
        <w:rPr>
          <w:sz w:val="16"/>
          <w:szCs w:val="16"/>
        </w:rPr>
        <w:t xml:space="preserve"> March 2025</w:t>
      </w:r>
      <w:r w:rsidRPr="001A19CA">
        <w:rPr>
          <w:sz w:val="16"/>
          <w:szCs w:val="16"/>
        </w:rPr>
        <w:t>]</w:t>
      </w:r>
    </w:p>
  </w:footnote>
  <w:footnote w:id="14">
    <w:p w14:paraId="4E81620E" w14:textId="73F93B92" w:rsidR="00F8532C" w:rsidRDefault="00F8532C" w:rsidP="00F8532C">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8" w:history="1">
        <w:r w:rsidRPr="00FE1A88">
          <w:rPr>
            <w:rStyle w:val="Hyperlink"/>
            <w:sz w:val="16"/>
            <w:szCs w:val="16"/>
          </w:rPr>
          <w:t>https://sj.jst.go.jp/news/202107/n0726-03k.html</w:t>
        </w:r>
      </w:hyperlink>
      <w:r>
        <w:rPr>
          <w:sz w:val="16"/>
          <w:szCs w:val="16"/>
        </w:rPr>
        <w:t xml:space="preserve"> </w:t>
      </w:r>
      <w:r w:rsidRPr="00AD7147">
        <w:rPr>
          <w:sz w:val="16"/>
          <w:szCs w:val="16"/>
        </w:rPr>
        <w:t xml:space="preserve">[accessed: </w:t>
      </w:r>
      <w:r w:rsidR="00B47902">
        <w:rPr>
          <w:sz w:val="16"/>
          <w:szCs w:val="16"/>
        </w:rPr>
        <w:t>11</w:t>
      </w:r>
      <w:r w:rsidR="000E7E27">
        <w:rPr>
          <w:sz w:val="16"/>
          <w:szCs w:val="16"/>
        </w:rPr>
        <w:t xml:space="preserve"> March 2025</w:t>
      </w:r>
      <w:r w:rsidRPr="00AD7147">
        <w:rPr>
          <w:sz w:val="16"/>
          <w:szCs w:val="16"/>
        </w:rPr>
        <w:t xml:space="preserve">] </w:t>
      </w:r>
    </w:p>
  </w:footnote>
  <w:footnote w:id="15">
    <w:p w14:paraId="65C90BBC" w14:textId="77777777" w:rsidR="00EF468A" w:rsidRPr="000C26A5" w:rsidRDefault="00EF468A" w:rsidP="00EF468A">
      <w:pPr>
        <w:pStyle w:val="FootnoteText"/>
        <w:rPr>
          <w:sz w:val="16"/>
          <w:szCs w:val="16"/>
        </w:rPr>
      </w:pPr>
      <w:r w:rsidRPr="001A19CA">
        <w:rPr>
          <w:rStyle w:val="FootnoteReference"/>
          <w:sz w:val="16"/>
          <w:szCs w:val="16"/>
        </w:rPr>
        <w:footnoteRef/>
      </w:r>
      <w:r w:rsidRPr="001A19CA">
        <w:rPr>
          <w:sz w:val="16"/>
          <w:szCs w:val="16"/>
        </w:rPr>
        <w:t xml:space="preserve"> Information derived from Guidehouse Global AMI Tracker 4Q23 research data.</w:t>
      </w:r>
    </w:p>
  </w:footnote>
  <w:footnote w:id="16">
    <w:p w14:paraId="205385FD" w14:textId="6A720266" w:rsidR="004D0CFF" w:rsidRPr="006B14F7" w:rsidRDefault="004D0CFF" w:rsidP="006011F5">
      <w:pPr>
        <w:pStyle w:val="FootnoteText"/>
        <w:jc w:val="both"/>
        <w:rPr>
          <w:sz w:val="16"/>
          <w:szCs w:val="16"/>
          <w:lang w:val="en-CA"/>
        </w:rPr>
      </w:pPr>
      <w:r w:rsidRPr="006011F5">
        <w:rPr>
          <w:rStyle w:val="FootnoteReference"/>
          <w:sz w:val="16"/>
          <w:szCs w:val="16"/>
          <w:highlight w:val="yellow"/>
        </w:rPr>
        <w:footnoteRef/>
      </w:r>
      <w:r w:rsidRPr="006011F5">
        <w:rPr>
          <w:sz w:val="16"/>
          <w:szCs w:val="16"/>
          <w:highlight w:val="yellow"/>
        </w:rPr>
        <w:t xml:space="preserve"> </w:t>
      </w:r>
      <w:r w:rsidR="00552E16" w:rsidRPr="006011F5">
        <w:rPr>
          <w:sz w:val="16"/>
          <w:szCs w:val="16"/>
          <w:highlight w:val="yellow"/>
        </w:rPr>
        <w:t xml:space="preserve">Wi-SUN Alliance: </w:t>
      </w:r>
      <w:r w:rsidR="00552E16" w:rsidRPr="006011F5">
        <w:rPr>
          <w:sz w:val="16"/>
          <w:szCs w:val="16"/>
          <w:highlight w:val="yellow"/>
          <w:lang w:val="en-CA"/>
        </w:rPr>
        <w:t>DEWA Develops Integrated Smart Energy Grid Using Wi-SUN Technology,</w:t>
      </w:r>
      <w:r w:rsidR="006B14F7" w:rsidRPr="006011F5">
        <w:rPr>
          <w:sz w:val="16"/>
          <w:szCs w:val="16"/>
          <w:highlight w:val="yellow"/>
          <w:lang w:val="en-CA"/>
        </w:rPr>
        <w:t xml:space="preserve"> </w:t>
      </w:r>
      <w:hyperlink r:id="rId9" w:history="1">
        <w:r w:rsidR="006011F5" w:rsidRPr="006011F5">
          <w:rPr>
            <w:rStyle w:val="Hyperlink"/>
            <w:sz w:val="16"/>
            <w:szCs w:val="16"/>
            <w:highlight w:val="yellow"/>
          </w:rPr>
          <w:t>https://wi-sun.org/blog/dubai-smart-energy-grid/</w:t>
        </w:r>
      </w:hyperlink>
      <w:r w:rsidRPr="006011F5">
        <w:rPr>
          <w:sz w:val="16"/>
          <w:szCs w:val="16"/>
          <w:highlight w:val="yellow"/>
        </w:rPr>
        <w:t xml:space="preserve"> [accessed:  11 March 2025]</w:t>
      </w:r>
    </w:p>
  </w:footnote>
  <w:footnote w:id="17">
    <w:p w14:paraId="1969CF85" w14:textId="77777777" w:rsidR="00D56B33" w:rsidRPr="00561EE9" w:rsidRDefault="00D56B33" w:rsidP="00D56B33">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 w:id="18">
    <w:p w14:paraId="6222C064" w14:textId="013D6E84" w:rsidR="002828B4" w:rsidRPr="002828B4" w:rsidRDefault="002828B4" w:rsidP="002828B4">
      <w:pPr>
        <w:pStyle w:val="FootnoteText"/>
        <w:jc w:val="both"/>
        <w:rPr>
          <w:sz w:val="16"/>
          <w:szCs w:val="16"/>
        </w:rPr>
      </w:pPr>
      <w:r w:rsidRPr="002828B4">
        <w:rPr>
          <w:rStyle w:val="FootnoteReference"/>
          <w:sz w:val="16"/>
          <w:szCs w:val="16"/>
        </w:rPr>
        <w:footnoteRef/>
      </w:r>
      <w:r w:rsidRPr="002828B4">
        <w:rPr>
          <w:sz w:val="16"/>
          <w:szCs w:val="16"/>
        </w:rPr>
        <w:t xml:space="preserve"> “IEEE Standard for Wireless Multimedia Networks,” in IEEE Std 802.15.3-2023 (Revision of IEEE Std 802.15.3-2016), vol., no., pp.1-684, 22 Feb. 2024, doi: 10.1109/IEEESTD.2024.10443750</w:t>
      </w:r>
      <w:r>
        <w:rPr>
          <w:sz w:val="16"/>
          <w:szCs w:val="16"/>
        </w:rPr>
        <w:t>.</w:t>
      </w:r>
    </w:p>
    <w:p w14:paraId="74502019" w14:textId="6A3BAA65" w:rsidR="002828B4" w:rsidRDefault="002828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CA458FF"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017</w:t>
    </w:r>
    <w:r w:rsidR="002E0A70">
      <w:t>r</w:t>
    </w:r>
    <w:r w:rsidR="001A2AA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5"/>
  </w:num>
  <w:num w:numId="3" w16cid:durableId="1491367085">
    <w:abstractNumId w:val="7"/>
  </w:num>
  <w:num w:numId="4" w16cid:durableId="2141915280">
    <w:abstractNumId w:val="4"/>
  </w:num>
  <w:num w:numId="5" w16cid:durableId="1736050178">
    <w:abstractNumId w:val="3"/>
  </w:num>
  <w:num w:numId="6" w16cid:durableId="1230311043">
    <w:abstractNumId w:val="20"/>
  </w:num>
  <w:num w:numId="7" w16cid:durableId="887300823">
    <w:abstractNumId w:val="13"/>
  </w:num>
  <w:num w:numId="8" w16cid:durableId="314573522">
    <w:abstractNumId w:val="14"/>
  </w:num>
  <w:num w:numId="9" w16cid:durableId="1395859498">
    <w:abstractNumId w:val="26"/>
  </w:num>
  <w:num w:numId="10" w16cid:durableId="1174149331">
    <w:abstractNumId w:val="24"/>
  </w:num>
  <w:num w:numId="11" w16cid:durableId="1696224390">
    <w:abstractNumId w:val="22"/>
  </w:num>
  <w:num w:numId="12" w16cid:durableId="1744990238">
    <w:abstractNumId w:val="10"/>
  </w:num>
  <w:num w:numId="13" w16cid:durableId="1376928474">
    <w:abstractNumId w:val="6"/>
  </w:num>
  <w:num w:numId="14" w16cid:durableId="1013414611">
    <w:abstractNumId w:val="0"/>
  </w:num>
  <w:num w:numId="15" w16cid:durableId="1819613419">
    <w:abstractNumId w:val="8"/>
  </w:num>
  <w:num w:numId="16" w16cid:durableId="1335843853">
    <w:abstractNumId w:val="11"/>
  </w:num>
  <w:num w:numId="17" w16cid:durableId="155003107">
    <w:abstractNumId w:val="17"/>
  </w:num>
  <w:num w:numId="18" w16cid:durableId="261649647">
    <w:abstractNumId w:val="15"/>
  </w:num>
  <w:num w:numId="19" w16cid:durableId="522786062">
    <w:abstractNumId w:val="16"/>
  </w:num>
  <w:num w:numId="20" w16cid:durableId="94984394">
    <w:abstractNumId w:val="2"/>
  </w:num>
  <w:num w:numId="21" w16cid:durableId="833840086">
    <w:abstractNumId w:val="1"/>
  </w:num>
  <w:num w:numId="22" w16cid:durableId="981614240">
    <w:abstractNumId w:val="12"/>
  </w:num>
  <w:num w:numId="23" w16cid:durableId="1728917110">
    <w:abstractNumId w:val="18"/>
  </w:num>
  <w:num w:numId="24" w16cid:durableId="2067289830">
    <w:abstractNumId w:val="5"/>
  </w:num>
  <w:num w:numId="25" w16cid:durableId="1346178286">
    <w:abstractNumId w:val="23"/>
  </w:num>
  <w:num w:numId="26" w16cid:durableId="27723555">
    <w:abstractNumId w:val="19"/>
  </w:num>
  <w:num w:numId="27" w16cid:durableId="1457528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52"/>
    <w:rsid w:val="005A1667"/>
    <w:rsid w:val="005A360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4F7"/>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31AB"/>
    <w:rsid w:val="007A38FB"/>
    <w:rsid w:val="007A457E"/>
    <w:rsid w:val="007A6748"/>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1171"/>
    <w:rsid w:val="008A1D20"/>
    <w:rsid w:val="008A2FC8"/>
    <w:rsid w:val="008A3376"/>
    <w:rsid w:val="008A4605"/>
    <w:rsid w:val="008A6EA1"/>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526"/>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42D1"/>
    <w:rsid w:val="00A243D6"/>
    <w:rsid w:val="00A25C84"/>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49D0"/>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97BFD"/>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5FCC"/>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5B48"/>
    <w:rsid w:val="00F65C55"/>
    <w:rsid w:val="00F70376"/>
    <w:rsid w:val="00F70B66"/>
    <w:rsid w:val="00F72A96"/>
    <w:rsid w:val="00F72B27"/>
    <w:rsid w:val="00F72B72"/>
    <w:rsid w:val="00F73F85"/>
    <w:rsid w:val="00F80135"/>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alasz@morsemicr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tanley@arubanetworks.com" TargetMode="External"/><Relationship Id="rId4" Type="http://schemas.openxmlformats.org/officeDocument/2006/relationships/settings" Target="settings.xml"/><Relationship Id="rId9" Type="http://schemas.openxmlformats.org/officeDocument/2006/relationships/hyperlink" Target="mailto:dries.neirynck@ultra-radi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j.jst.go.jp/news/202107/n0726-03k.html" TargetMode="External"/><Relationship Id="rId3" Type="http://schemas.openxmlformats.org/officeDocument/2006/relationships/hyperlink" Target="https://www.ieee802.org/15/pub/TG4ab.html" TargetMode="External"/><Relationship Id="rId7" Type="http://schemas.openxmlformats.org/officeDocument/2006/relationships/hyperlink" Target="https://www.nict.go.jp/en/press/2015/12/25-1.html"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standards.ieee.org/ieee/802.11be/7516" TargetMode="External"/><Relationship Id="rId6" Type="http://schemas.openxmlformats.org/officeDocument/2006/relationships/hyperlink" Target="https://wi-sun.org/news/wi-sun-alliance-marks-a-year-of-strong-growth-in-membership-and-91-million-devices-awarded-globally-2/" TargetMode="External"/><Relationship Id="rId5" Type="http://schemas.openxmlformats.org/officeDocument/2006/relationships/hyperlink" Target="https://www.morsemicro.com/2024/09/09/pushing-the-limits-wi-fi-halow-testing-in-joshua-tree-national-park/" TargetMode="External"/><Relationship Id="rId4" Type="http://schemas.openxmlformats.org/officeDocument/2006/relationships/hyperlink" Target="https://www.wi-fi.org/discover-wi-fi/wi-fi-certified-halow" TargetMode="External"/><Relationship Id="rId9" Type="http://schemas.openxmlformats.org/officeDocument/2006/relationships/hyperlink" Target="https://wi-sun.org/blog/dubai-smart-energy-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18-25/0017r2</vt:lpstr>
    </vt:vector>
  </TitlesOfParts>
  <Company>Some Company</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18-25/0017r2</dc:title>
  <dc:subject>Submission</dc:subject>
  <dc:creator>Editor</dc:creator>
  <dc:description>Draft response to UAE TDRA's consultation "UAE Spectrum Outlook 2026 - 2031"</dc:description>
  <cp:lastModifiedBy>Edward Au</cp:lastModifiedBy>
  <cp:revision>6</cp:revision>
  <cp:lastPrinted>2024-11-12T20:39:00Z</cp:lastPrinted>
  <dcterms:created xsi:type="dcterms:W3CDTF">2025-03-12T15:08:00Z</dcterms:created>
  <dcterms:modified xsi:type="dcterms:W3CDTF">2025-03-13T11:02:00Z</dcterms:modified>
  <dc:language>sv-SE</dc:language>
</cp:coreProperties>
</file>