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C4E9" w14:textId="26A7F657" w:rsidR="00761011" w:rsidRPr="00761011" w:rsidRDefault="0095191D" w:rsidP="00761011">
      <w:pPr>
        <w:pStyle w:val="Heading8"/>
        <w:jc w:val="center"/>
        <w:rPr>
          <w:lang w:eastAsia="ja-JP"/>
        </w:rPr>
      </w:pPr>
      <w:r w:rsidRPr="0095191D">
        <w:rPr>
          <w:rFonts w:ascii="Times New Roman" w:hAnsi="Times New Roman" w:cs="Times New Roman"/>
          <w:b/>
          <w:i w:val="0"/>
          <w:iCs w:val="0"/>
          <w:kern w:val="2"/>
          <w:sz w:val="28"/>
          <w:szCs w:val="28"/>
        </w:rPr>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53635914" w:rsidR="00761011" w:rsidRDefault="00761011" w:rsidP="00761011">
      <w:pPr>
        <w:snapToGrid w:val="0"/>
        <w:spacing w:beforeLines="50" w:before="120"/>
        <w:jc w:val="center"/>
        <w:rPr>
          <w:caps/>
          <w:lang w:eastAsia="ja-JP"/>
        </w:rPr>
      </w:pPr>
      <w:r w:rsidRPr="00761011">
        <w:rPr>
          <w:rFonts w:hint="eastAsia"/>
          <w:caps/>
          <w:sz w:val="28"/>
          <w:szCs w:val="28"/>
          <w:lang w:eastAsia="ja-JP"/>
        </w:rPr>
        <w:t xml:space="preserve">Liaison statement to </w:t>
      </w:r>
      <w:r w:rsidR="00B01242">
        <w:rPr>
          <w:rFonts w:hint="eastAsia"/>
          <w:caps/>
          <w:sz w:val="28"/>
          <w:szCs w:val="28"/>
          <w:lang w:eastAsia="ja-JP"/>
        </w:rPr>
        <w:t xml:space="preserve">itu-r </w:t>
      </w:r>
      <w:r w:rsidRPr="00761011">
        <w:rPr>
          <w:rFonts w:hint="eastAsia"/>
          <w:caps/>
          <w:sz w:val="28"/>
          <w:szCs w:val="28"/>
          <w:lang w:eastAsia="ja-JP"/>
        </w:rPr>
        <w:t>working part</w:t>
      </w:r>
      <w:r w:rsidR="00573446">
        <w:rPr>
          <w:rFonts w:hint="eastAsia"/>
          <w:caps/>
          <w:sz w:val="28"/>
          <w:szCs w:val="28"/>
          <w:lang w:eastAsia="ja-JP"/>
        </w:rPr>
        <w:t>ies 5A and</w:t>
      </w:r>
      <w:r w:rsidRPr="00761011">
        <w:rPr>
          <w:rFonts w:hint="eastAsia"/>
          <w:caps/>
          <w:sz w:val="28"/>
          <w:szCs w:val="28"/>
          <w:lang w:eastAsia="ja-JP"/>
        </w:rPr>
        <w:t xml:space="preserve"> 5C</w:t>
      </w:r>
      <w:r>
        <w:rPr>
          <w:caps/>
          <w:sz w:val="28"/>
          <w:szCs w:val="28"/>
          <w:lang w:eastAsia="ja-JP"/>
        </w:rPr>
        <w:br/>
      </w:r>
    </w:p>
    <w:p w14:paraId="1B3C0832" w14:textId="2CCF1D61"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00A345E1">
        <w:rPr>
          <w:b/>
          <w:bCs/>
          <w:sz w:val="28"/>
          <w:szCs w:val="28"/>
          <w:lang w:eastAsia="ja-JP"/>
        </w:rPr>
        <w:t xml:space="preserve"> GHz to </w:t>
      </w:r>
      <w:r w:rsidRPr="00761011">
        <w:rPr>
          <w:b/>
          <w:bCs/>
          <w:sz w:val="28"/>
          <w:szCs w:val="28"/>
          <w:lang w:eastAsia="ja-JP"/>
        </w:rPr>
        <w:t>450 GHz</w:t>
      </w:r>
    </w:p>
    <w:p w14:paraId="6FBFFFD9" w14:textId="39A7EB6B" w:rsidR="00AA0EC1" w:rsidRPr="00862E96" w:rsidRDefault="00AA0EC1" w:rsidP="00862E96">
      <w:pPr>
        <w:pStyle w:val="Heading1"/>
        <w:rPr>
          <w:rFonts w:ascii="Times New Roman" w:hAnsi="Times New Roman" w:cs="Times New Roman"/>
          <w:u w:val="none"/>
        </w:rPr>
      </w:pPr>
      <w:r w:rsidRPr="00862E96">
        <w:rPr>
          <w:rFonts w:ascii="Times New Roman" w:hAnsi="Times New Roman" w:cs="Times New Roman"/>
          <w:color w:val="000000"/>
          <w:u w:val="none"/>
          <w:lang w:val="en-GB" w:eastAsia="ja-JP"/>
        </w:rPr>
        <w:t>1</w:t>
      </w:r>
      <w:r w:rsidR="00A345E1">
        <w:rPr>
          <w:rFonts w:ascii="Times New Roman" w:hAnsi="Times New Roman" w:cs="Times New Roman"/>
          <w:color w:val="000000"/>
          <w:u w:val="none"/>
          <w:lang w:val="en-GB" w:eastAsia="ja-JP"/>
        </w:rPr>
        <w:t xml:space="preserve">.  </w:t>
      </w:r>
      <w:r w:rsidRPr="00862E96">
        <w:rPr>
          <w:rFonts w:ascii="Times New Roman" w:hAnsi="Times New Roman" w:cs="Times New Roman"/>
          <w:color w:val="000000"/>
          <w:u w:val="none"/>
          <w:lang w:val="en-GB" w:eastAsia="ja-JP"/>
        </w:rPr>
        <w:t>Source information</w:t>
      </w:r>
    </w:p>
    <w:p w14:paraId="26BF8BE4" w14:textId="77777777" w:rsidR="001A6270" w:rsidRPr="00903D98" w:rsidRDefault="001A6270" w:rsidP="00A345E1">
      <w:pPr>
        <w:spacing w:before="120"/>
        <w:jc w:val="both"/>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D665E21" w14:textId="64CCD869" w:rsidR="001A6270" w:rsidRPr="00AA0EC1" w:rsidRDefault="001A6270" w:rsidP="00A345E1">
      <w:pPr>
        <w:spacing w:before="120"/>
        <w:jc w:val="both"/>
        <w:rPr>
          <w:bCs/>
          <w:color w:val="000000"/>
          <w:lang w:val="en-GB" w:eastAsia="ja-JP"/>
        </w:rPr>
      </w:pPr>
      <w:r w:rsidRPr="00903D98">
        <w:rPr>
          <w:bCs/>
          <w:color w:val="000000"/>
          <w:lang w:val="en-GB" w:eastAsia="ja-JP"/>
        </w:rP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w:t>
      </w:r>
      <w:r>
        <w:rPr>
          <w:rStyle w:val="FootnoteReference"/>
          <w:bCs/>
          <w:color w:val="000000"/>
          <w:lang w:val="en-GB" w:eastAsia="ja-JP"/>
        </w:rPr>
        <w:footnoteReference w:id="1"/>
      </w:r>
      <w:r w:rsidRPr="00903D98">
        <w:rPr>
          <w:bCs/>
          <w:color w:val="000000"/>
          <w:lang w:val="en-GB" w:eastAsia="ja-JP"/>
        </w:rPr>
        <w:t xml:space="preserve">. </w:t>
      </w:r>
      <w:r w:rsidRPr="00AA0EC1">
        <w:rPr>
          <w:bCs/>
          <w:color w:val="000000"/>
          <w:lang w:val="en-GB" w:eastAsia="ja-JP"/>
        </w:rPr>
        <w:t xml:space="preserve"> </w:t>
      </w:r>
      <w:r w:rsidR="00A345E1">
        <w:rPr>
          <w:bCs/>
          <w:color w:val="000000"/>
          <w:lang w:val="en-GB" w:eastAsia="ja-JP"/>
        </w:rPr>
        <w:t xml:space="preserve"> </w:t>
      </w:r>
    </w:p>
    <w:p w14:paraId="5DAD0E6B" w14:textId="50FD1F83" w:rsidR="00AA0EC1" w:rsidRPr="00862E96" w:rsidRDefault="00A345E1" w:rsidP="00862E96">
      <w:pPr>
        <w:pStyle w:val="Heading1"/>
        <w:rPr>
          <w:rFonts w:ascii="Times New Roman" w:hAnsi="Times New Roman" w:cs="Times New Roman"/>
          <w:u w:val="none"/>
        </w:rPr>
      </w:pPr>
      <w:r>
        <w:rPr>
          <w:rFonts w:ascii="Times New Roman" w:hAnsi="Times New Roman" w:cs="Times New Roman"/>
          <w:color w:val="000000"/>
          <w:u w:val="none"/>
          <w:lang w:val="en-GB" w:eastAsia="ja-JP"/>
        </w:rPr>
        <w:t xml:space="preserve">2.  </w:t>
      </w:r>
      <w:r w:rsidR="00AA0EC1" w:rsidRPr="00862E96">
        <w:rPr>
          <w:rFonts w:ascii="Times New Roman" w:hAnsi="Times New Roman" w:cs="Times New Roman"/>
          <w:color w:val="000000"/>
          <w:u w:val="none"/>
          <w:lang w:val="en-GB" w:eastAsia="ja-JP"/>
        </w:rPr>
        <w:t>Discussion</w:t>
      </w:r>
    </w:p>
    <w:p w14:paraId="0C188B23" w14:textId="2714D085" w:rsidR="00EF0910" w:rsidRDefault="00021D53" w:rsidP="00A345E1">
      <w:pPr>
        <w:spacing w:before="120"/>
        <w:jc w:val="both"/>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w:t>
      </w:r>
      <w:r w:rsidR="00A345E1">
        <w:rPr>
          <w:bCs/>
          <w:color w:val="000000"/>
          <w:lang w:val="en-GB" w:eastAsia="ja-JP"/>
        </w:rPr>
        <w:t xml:space="preserve">LMSC </w:t>
      </w:r>
      <w:r w:rsidR="00966B4D">
        <w:rPr>
          <w:rFonts w:hint="eastAsia"/>
          <w:bCs/>
          <w:color w:val="000000"/>
          <w:lang w:val="en-GB" w:eastAsia="ja-JP"/>
        </w:rPr>
        <w:t>provided ITU-R W</w:t>
      </w:r>
      <w:r w:rsidR="00A345E1">
        <w:rPr>
          <w:bCs/>
          <w:color w:val="000000"/>
          <w:lang w:val="en-GB" w:eastAsia="ja-JP"/>
        </w:rPr>
        <w:t>orking Parties</w:t>
      </w:r>
      <w:r w:rsidR="00966B4D">
        <w:rPr>
          <w:rFonts w:hint="eastAsia"/>
          <w:bCs/>
          <w:color w:val="000000"/>
          <w:lang w:val="en-GB" w:eastAsia="ja-JP"/>
        </w:rPr>
        <w:t xml:space="preserve">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A345E1">
        <w:rPr>
          <w:bCs/>
          <w:color w:val="000000"/>
          <w:lang w:val="en-GB" w:eastAsia="ja-JP"/>
        </w:rPr>
        <w:t xml:space="preserve">–2017, </w:t>
      </w:r>
      <w:r w:rsidR="00966B4D" w:rsidRPr="00966B4D">
        <w:rPr>
          <w:bCs/>
          <w:color w:val="000000"/>
          <w:lang w:val="en-GB" w:eastAsia="ja-JP"/>
        </w:rPr>
        <w:t>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A345E1">
        <w:rPr>
          <w:rFonts w:hint="eastAsia"/>
          <w:bCs/>
          <w:color w:val="000000"/>
          <w:lang w:val="en-GB" w:eastAsia="ja-JP"/>
        </w:rPr>
        <w:t>ITU-R W</w:t>
      </w:r>
      <w:r w:rsidR="00A345E1">
        <w:rPr>
          <w:bCs/>
          <w:color w:val="000000"/>
          <w:lang w:val="en-GB" w:eastAsia="ja-JP"/>
        </w:rPr>
        <w:t>orking Parties</w:t>
      </w:r>
      <w:r w:rsidR="00A345E1">
        <w:rPr>
          <w:rFonts w:hint="eastAsia"/>
          <w:bCs/>
          <w:color w:val="000000"/>
          <w:lang w:val="en-GB" w:eastAsia="ja-JP"/>
        </w:rPr>
        <w:t xml:space="preserve"> 5A and 5C</w:t>
      </w:r>
      <w:r w:rsidR="006A18D5" w:rsidRPr="006A18D5">
        <w:rPr>
          <w:bCs/>
          <w:color w:val="000000"/>
          <w:lang w:val="en-GB" w:eastAsia="ja-JP"/>
        </w:rPr>
        <w:t xml:space="preserve"> published Reports ITU-R M.2417</w:t>
      </w:r>
      <w:r w:rsidR="006A18D5">
        <w:rPr>
          <w:rStyle w:val="FootnoteReference"/>
          <w:bCs/>
          <w:color w:val="000000"/>
          <w:lang w:val="en-GB" w:eastAsia="ja-JP"/>
        </w:rPr>
        <w:footnoteReference w:id="2"/>
      </w:r>
      <w:r w:rsidR="006A18D5" w:rsidRPr="006A18D5">
        <w:rPr>
          <w:bCs/>
          <w:color w:val="000000"/>
          <w:lang w:val="en-GB" w:eastAsia="ja-JP"/>
        </w:rPr>
        <w:t xml:space="preserve"> and F.2416</w:t>
      </w:r>
      <w:r w:rsidR="006A18D5">
        <w:rPr>
          <w:rStyle w:val="FootnoteReference"/>
          <w:bCs/>
          <w:color w:val="000000"/>
          <w:lang w:val="en-GB" w:eastAsia="ja-JP"/>
        </w:rPr>
        <w:footnoteReference w:id="3"/>
      </w:r>
      <w:r w:rsidR="006A18D5" w:rsidRPr="006A18D5">
        <w:rPr>
          <w:bCs/>
          <w:color w:val="000000"/>
          <w:lang w:val="en-GB" w:eastAsia="ja-JP"/>
        </w:rPr>
        <w:t xml:space="preserve"> in 2017, respectively. The frequency bands 275</w:t>
      </w:r>
      <w:r w:rsidR="001A6270">
        <w:rPr>
          <w:bCs/>
          <w:color w:val="000000"/>
          <w:lang w:val="en-GB" w:eastAsia="ja-JP"/>
        </w:rPr>
        <w:t xml:space="preserve"> GHz to </w:t>
      </w:r>
      <w:r w:rsidR="006A18D5" w:rsidRPr="006A18D5">
        <w:rPr>
          <w:bCs/>
          <w:color w:val="000000"/>
          <w:lang w:val="en-GB" w:eastAsia="ja-JP"/>
        </w:rPr>
        <w:t>296 GHz, 306</w:t>
      </w:r>
      <w:r w:rsidR="001A6270">
        <w:rPr>
          <w:bCs/>
          <w:color w:val="000000"/>
          <w:lang w:val="en-GB" w:eastAsia="ja-JP"/>
        </w:rPr>
        <w:t xml:space="preserve"> GHz to</w:t>
      </w:r>
      <w:r w:rsidR="00A345E1">
        <w:rPr>
          <w:bCs/>
          <w:color w:val="000000"/>
          <w:lang w:val="en-GB" w:eastAsia="ja-JP"/>
        </w:rPr>
        <w:t xml:space="preserve"> </w:t>
      </w:r>
      <w:r w:rsidR="006A18D5" w:rsidRPr="006A18D5">
        <w:rPr>
          <w:bCs/>
          <w:color w:val="000000"/>
          <w:lang w:val="en-GB" w:eastAsia="ja-JP"/>
        </w:rPr>
        <w:t>313 GHz, 318</w:t>
      </w:r>
      <w:r w:rsidR="001A6270">
        <w:rPr>
          <w:bCs/>
          <w:color w:val="000000"/>
          <w:lang w:val="en-GB" w:eastAsia="ja-JP"/>
        </w:rPr>
        <w:t xml:space="preserve"> GHz to</w:t>
      </w:r>
      <w:r w:rsidR="006A18D5" w:rsidRPr="006A18D5">
        <w:rPr>
          <w:bCs/>
          <w:color w:val="000000"/>
          <w:lang w:val="en-GB" w:eastAsia="ja-JP"/>
        </w:rPr>
        <w:t xml:space="preserve"> 333 GHz</w:t>
      </w:r>
      <w:r w:rsidR="00A345E1">
        <w:rPr>
          <w:bCs/>
          <w:color w:val="000000"/>
          <w:lang w:val="en-GB" w:eastAsia="ja-JP"/>
        </w:rPr>
        <w:t>,</w:t>
      </w:r>
      <w:r w:rsidR="006A18D5" w:rsidRPr="006A18D5">
        <w:rPr>
          <w:bCs/>
          <w:color w:val="000000"/>
          <w:lang w:val="en-GB" w:eastAsia="ja-JP"/>
        </w:rPr>
        <w:t xml:space="preserve"> and 356</w:t>
      </w:r>
      <w:r w:rsidR="001A6270">
        <w:rPr>
          <w:bCs/>
          <w:color w:val="000000"/>
          <w:lang w:val="en-GB" w:eastAsia="ja-JP"/>
        </w:rPr>
        <w:t xml:space="preserve"> GHz to </w:t>
      </w:r>
      <w:r w:rsidR="006A18D5" w:rsidRPr="006A18D5">
        <w:rPr>
          <w:bCs/>
          <w:color w:val="000000"/>
          <w:lang w:val="en-GB" w:eastAsia="ja-JP"/>
        </w:rPr>
        <w:t xml:space="preserve">450 GHz were identified for use by administrations for the implementation of land mobile and fixed service applications at </w:t>
      </w:r>
      <w:r w:rsidR="00A345E1">
        <w:rPr>
          <w:bCs/>
          <w:color w:val="000000"/>
          <w:lang w:val="en-GB" w:eastAsia="ja-JP"/>
        </w:rPr>
        <w:t xml:space="preserve">World Radiocommunications </w:t>
      </w:r>
      <w:r w:rsidR="00A345E1">
        <w:rPr>
          <w:bCs/>
          <w:color w:val="000000"/>
          <w:lang w:val="en-GB" w:eastAsia="ja-JP"/>
        </w:rPr>
        <w:lastRenderedPageBreak/>
        <w:t>Conference 2019 (</w:t>
      </w:r>
      <w:r w:rsidR="006A18D5" w:rsidRPr="006A18D5">
        <w:rPr>
          <w:bCs/>
          <w:color w:val="000000"/>
          <w:lang w:val="en-GB" w:eastAsia="ja-JP"/>
        </w:rPr>
        <w:t>WRC</w:t>
      </w:r>
      <w:r w:rsidR="00A345E1">
        <w:rPr>
          <w:bCs/>
          <w:color w:val="000000"/>
          <w:lang w:val="en-GB" w:eastAsia="ja-JP"/>
        </w:rPr>
        <w:t xml:space="preserve"> </w:t>
      </w:r>
      <w:r w:rsidR="006A18D5" w:rsidRPr="006A18D5">
        <w:rPr>
          <w:bCs/>
          <w:color w:val="000000"/>
          <w:lang w:val="en-GB" w:eastAsia="ja-JP"/>
        </w:rPr>
        <w:t>19</w:t>
      </w:r>
      <w:r w:rsidR="00A345E1">
        <w:rPr>
          <w:bCs/>
          <w:color w:val="000000"/>
          <w:lang w:val="en-GB" w:eastAsia="ja-JP"/>
        </w:rPr>
        <w:t>)</w:t>
      </w:r>
      <w:r w:rsidR="006A18D5" w:rsidRPr="006A18D5">
        <w:rPr>
          <w:bCs/>
          <w:color w:val="000000"/>
          <w:lang w:val="en-GB" w:eastAsia="ja-JP"/>
        </w:rPr>
        <w:t xml:space="preserve">. These Reports were revised </w:t>
      </w:r>
      <w:r w:rsidR="00A345E1">
        <w:rPr>
          <w:bCs/>
          <w:color w:val="000000"/>
          <w:lang w:val="en-GB" w:eastAsia="ja-JP"/>
        </w:rPr>
        <w:t xml:space="preserve">according to the results of WRC </w:t>
      </w:r>
      <w:r w:rsidR="006A18D5" w:rsidRPr="006A18D5">
        <w:rPr>
          <w:bCs/>
          <w:color w:val="000000"/>
          <w:lang w:val="en-GB" w:eastAsia="ja-JP"/>
        </w:rPr>
        <w:t>19</w:t>
      </w:r>
      <w:r w:rsidR="006A18D5">
        <w:rPr>
          <w:rStyle w:val="FootnoteReference"/>
          <w:bCs/>
          <w:color w:val="000000"/>
          <w:lang w:val="en-GB" w:eastAsia="ja-JP"/>
        </w:rPr>
        <w:footnoteReference w:id="4"/>
      </w:r>
      <w:r w:rsidR="006A18D5">
        <w:rPr>
          <w:rFonts w:hint="eastAsia"/>
          <w:bCs/>
          <w:color w:val="000000"/>
          <w:vertAlign w:val="superscript"/>
          <w:lang w:val="en-GB" w:eastAsia="ja-JP"/>
        </w:rPr>
        <w:t xml:space="preserve">, </w:t>
      </w:r>
      <w:r w:rsidR="006A18D5">
        <w:rPr>
          <w:rStyle w:val="FootnoteReference"/>
          <w:bCs/>
          <w:color w:val="000000"/>
          <w:lang w:val="en-GB" w:eastAsia="ja-JP"/>
        </w:rPr>
        <w:footnoteReference w:id="5"/>
      </w:r>
      <w:r w:rsidR="006A18D5" w:rsidRPr="006A18D5">
        <w:rPr>
          <w:bCs/>
          <w:color w:val="000000"/>
          <w:lang w:val="en-GB" w:eastAsia="ja-JP"/>
        </w:rPr>
        <w:t>, but the technical and operational characteristics in those Reports are maintained as it was before.</w:t>
      </w:r>
    </w:p>
    <w:p w14:paraId="7A7BD46E" w14:textId="0C66B4DD" w:rsidR="006A18D5" w:rsidRDefault="00021D53" w:rsidP="000A6A4D">
      <w:pPr>
        <w:spacing w:before="120"/>
        <w:jc w:val="both"/>
        <w:rPr>
          <w:bCs/>
          <w:color w:val="000000"/>
          <w:lang w:eastAsia="ja-JP"/>
        </w:rPr>
      </w:pPr>
      <w:r>
        <w:rPr>
          <w:lang w:eastAsia="ja-JP"/>
        </w:rPr>
        <w:t xml:space="preserve">In </w:t>
      </w:r>
      <w:r w:rsidR="006A18D5" w:rsidRPr="007C7B85">
        <w:rPr>
          <w:lang w:eastAsia="ja-JP"/>
        </w:rPr>
        <w:t>IEEE Std 802.15.3</w:t>
      </w:r>
      <w:r w:rsidR="006A18D5" w:rsidRPr="00407F73">
        <w:rPr>
          <w:vertAlign w:val="superscript"/>
          <w:lang w:eastAsia="ja-JP"/>
        </w:rPr>
        <w:t>TM</w:t>
      </w:r>
      <w:r w:rsidR="00D05CF4">
        <w:rPr>
          <w:bCs/>
          <w:color w:val="000000"/>
          <w:lang w:val="en-GB" w:eastAsia="ja-JP"/>
        </w:rPr>
        <w:t>–</w:t>
      </w:r>
      <w:r w:rsidRPr="007C7B85">
        <w:rPr>
          <w:lang w:eastAsia="ja-JP"/>
        </w:rPr>
        <w:t>20</w:t>
      </w:r>
      <w:r>
        <w:rPr>
          <w:lang w:eastAsia="ja-JP"/>
        </w:rPr>
        <w:t>23</w:t>
      </w:r>
      <w:r w:rsidR="00D05CF4">
        <w:rPr>
          <w:lang w:eastAsia="ja-JP"/>
        </w:rPr>
        <w:t>,</w:t>
      </w:r>
      <w:r>
        <w:rPr>
          <w:rFonts w:hint="eastAsia"/>
          <w:lang w:eastAsia="ja-JP"/>
        </w:rPr>
        <w:t xml:space="preserve"> </w:t>
      </w:r>
      <w:r>
        <w:rPr>
          <w:lang w:eastAsia="ja-JP"/>
        </w:rPr>
        <w:t xml:space="preserve">the frequency bands have been </w:t>
      </w:r>
      <w:r w:rsidR="0037516B">
        <w:rPr>
          <w:lang w:eastAsia="ja-JP"/>
        </w:rPr>
        <w:t xml:space="preserve">extended </w:t>
      </w:r>
      <w:r>
        <w:rPr>
          <w:lang w:eastAsia="ja-JP"/>
        </w:rPr>
        <w:t xml:space="preserve">up </w:t>
      </w:r>
      <w:r w:rsidR="006A18D5">
        <w:rPr>
          <w:rFonts w:hint="eastAsia"/>
          <w:lang w:eastAsia="ja-JP"/>
        </w:rPr>
        <w:t>to 450 GHz</w:t>
      </w:r>
      <w:r w:rsidR="00D05CF4">
        <w:rPr>
          <w:rStyle w:val="FootnoteReference"/>
          <w:lang w:eastAsia="ja-JP"/>
        </w:rPr>
        <w:footnoteReference w:id="6"/>
      </w:r>
      <w:r w:rsidR="006A18D5">
        <w:rPr>
          <w:rFonts w:hint="eastAsia"/>
          <w:lang w:eastAsia="ja-JP"/>
        </w:rPr>
        <w:t>.</w:t>
      </w:r>
      <w:r w:rsidR="00D05CF4">
        <w:rPr>
          <w:rFonts w:hint="eastAsia"/>
          <w:bCs/>
          <w:color w:val="000000"/>
          <w:lang w:eastAsia="ja-JP"/>
        </w:rPr>
        <w:t xml:space="preserve"> </w:t>
      </w:r>
      <w:r w:rsidR="004F4803">
        <w:rPr>
          <w:bCs/>
          <w:color w:val="000000"/>
          <w:lang w:eastAsia="ja-JP"/>
        </w:rPr>
        <w:t>A</w:t>
      </w:r>
      <w:r w:rsidR="0014365F">
        <w:rPr>
          <w:rFonts w:hint="eastAsia"/>
          <w:bCs/>
          <w:color w:val="000000"/>
          <w:lang w:eastAsia="ja-JP"/>
        </w:rPr>
        <w:t xml:space="preserve">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 xml:space="preserve">PHY specification for </w:t>
      </w:r>
      <w:r w:rsidR="004F4803">
        <w:rPr>
          <w:bCs/>
          <w:color w:val="000000"/>
          <w:lang w:eastAsia="ja-JP"/>
        </w:rPr>
        <w:t>the extended f</w:t>
      </w:r>
      <w:r w:rsidR="00A06ECE">
        <w:rPr>
          <w:bCs/>
          <w:color w:val="000000"/>
          <w:lang w:eastAsia="ja-JP"/>
        </w:rPr>
        <w:t xml:space="preserve">requency </w:t>
      </w:r>
      <w:r w:rsidR="000703FA">
        <w:rPr>
          <w:bCs/>
          <w:color w:val="000000"/>
          <w:lang w:eastAsia="ja-JP"/>
        </w:rPr>
        <w:t>band</w:t>
      </w:r>
      <w:r w:rsidR="004F4803">
        <w:rPr>
          <w:bCs/>
          <w:color w:val="000000"/>
          <w:lang w:eastAsia="ja-JP"/>
        </w:rPr>
        <w:t>s</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0703FA">
        <w:rPr>
          <w:bCs/>
          <w:color w:val="000000"/>
          <w:lang w:val="en-GB" w:eastAsia="ja-JP"/>
        </w:rPr>
        <w:t>–</w:t>
      </w:r>
      <w:r w:rsidR="003645DE" w:rsidRPr="00697327">
        <w:rPr>
          <w:lang w:eastAsia="ja-JP"/>
        </w:rPr>
        <w:t>2023</w:t>
      </w:r>
      <w:r w:rsidR="003645DE">
        <w:rPr>
          <w:rFonts w:hint="eastAsia"/>
          <w:lang w:eastAsia="ja-JP"/>
        </w:rPr>
        <w:t xml:space="preserve"> are summarized in</w:t>
      </w:r>
      <w:r w:rsidR="001A6270">
        <w:rPr>
          <w:lang w:eastAsia="ja-JP"/>
        </w:rPr>
        <w:t xml:space="preserve"> </w:t>
      </w:r>
      <w:r w:rsidR="00A12480">
        <w:rPr>
          <w:lang w:eastAsia="ja-JP"/>
        </w:rPr>
        <w:t>Table 1</w:t>
      </w:r>
      <w:r w:rsidR="003645DE">
        <w:rPr>
          <w:rFonts w:hint="eastAsia"/>
          <w:lang w:eastAsia="ja-JP"/>
        </w:rPr>
        <w:t xml:space="preserve">. </w:t>
      </w:r>
      <w:r w:rsidR="0014365F">
        <w:rPr>
          <w:lang w:eastAsia="ja-JP"/>
        </w:rPr>
        <w:t>Th</w:t>
      </w:r>
      <w:r w:rsidR="0014365F">
        <w:rPr>
          <w:rFonts w:hint="eastAsia"/>
          <w:lang w:eastAsia="ja-JP"/>
        </w:rPr>
        <w:t>e</w:t>
      </w:r>
      <w:r w:rsidR="001A6270">
        <w:rPr>
          <w:lang w:eastAsia="ja-JP"/>
        </w:rPr>
        <w:t xml:space="preserve"> </w:t>
      </w:r>
      <w:r w:rsidR="0014365F">
        <w:rPr>
          <w:rFonts w:hint="eastAsia"/>
          <w:lang w:eastAsia="ja-JP"/>
        </w:rPr>
        <w:t>characteristics</w:t>
      </w:r>
      <w:r w:rsidR="005F331E">
        <w:rPr>
          <w:lang w:eastAsia="ja-JP"/>
        </w:rPr>
        <w:t xml:space="preserve"> </w:t>
      </w:r>
      <w:r w:rsidR="003645DE">
        <w:rPr>
          <w:rFonts w:hint="eastAsia"/>
          <w:lang w:eastAsia="ja-JP"/>
        </w:rPr>
        <w:t>could be added</w:t>
      </w:r>
      <w:r w:rsidR="00527B5A">
        <w:rPr>
          <w:rFonts w:hint="eastAsia"/>
          <w:bCs/>
          <w:color w:val="000000"/>
          <w:lang w:eastAsia="ja-JP"/>
        </w:rPr>
        <w:t xml:space="preserve"> in Tables 2, 3</w:t>
      </w:r>
      <w:r w:rsidR="000703FA">
        <w:rPr>
          <w:bCs/>
          <w:color w:val="000000"/>
          <w:lang w:eastAsia="ja-JP"/>
        </w:rPr>
        <w:t>,</w:t>
      </w:r>
      <w:r w:rsidR="00527B5A">
        <w:rPr>
          <w:rFonts w:hint="eastAsia"/>
          <w:bCs/>
          <w:color w:val="000000"/>
          <w:lang w:eastAsia="ja-JP"/>
        </w:rPr>
        <w:t xml:space="preserve"> and 4 in Report ITU-R M.2417 and Table 2 in Report ITU-R F.2416</w:t>
      </w:r>
      <w:r w:rsidR="0014365F">
        <w:rPr>
          <w:rFonts w:hint="eastAsia"/>
          <w:bCs/>
          <w:color w:val="000000"/>
          <w:lang w:eastAsia="ja-JP"/>
        </w:rPr>
        <w:t>.</w:t>
      </w:r>
    </w:p>
    <w:p w14:paraId="62DC8327" w14:textId="1220A634" w:rsidR="001A6270" w:rsidRDefault="001A6270" w:rsidP="00514F7E">
      <w:pPr>
        <w:spacing w:before="120" w:after="120"/>
        <w:jc w:val="center"/>
        <w:rPr>
          <w:b/>
          <w:color w:val="000000"/>
          <w:lang w:eastAsia="ja-JP"/>
        </w:rPr>
      </w:pPr>
      <w:r w:rsidRPr="001A6270">
        <w:rPr>
          <w:b/>
          <w:color w:val="000000"/>
          <w:lang w:eastAsia="ja-JP"/>
        </w:rPr>
        <w:t>Table 1 New operational PHY characteristics</w:t>
      </w:r>
    </w:p>
    <w:tbl>
      <w:tblPr>
        <w:tblStyle w:val="TableGrid"/>
        <w:tblW w:w="0" w:type="auto"/>
        <w:jc w:val="center"/>
        <w:tblInd w:w="0" w:type="dxa"/>
        <w:tblLook w:val="04A0" w:firstRow="1" w:lastRow="0" w:firstColumn="1" w:lastColumn="0" w:noHBand="0" w:noVBand="1"/>
      </w:tblPr>
      <w:tblGrid>
        <w:gridCol w:w="3685"/>
        <w:gridCol w:w="2268"/>
      </w:tblGrid>
      <w:tr w:rsidR="001A6270" w:rsidRPr="000366FE" w14:paraId="1228CDA7" w14:textId="77777777" w:rsidTr="002B7D27">
        <w:trPr>
          <w:jc w:val="center"/>
        </w:trPr>
        <w:tc>
          <w:tcPr>
            <w:tcW w:w="3685" w:type="dxa"/>
          </w:tcPr>
          <w:p w14:paraId="2A6B2EC8" w14:textId="562992FB" w:rsidR="001A6270" w:rsidRDefault="002669AD" w:rsidP="003645DE">
            <w:pPr>
              <w:spacing w:before="120"/>
              <w:jc w:val="center"/>
              <w:rPr>
                <w:bCs/>
                <w:color w:val="000000"/>
                <w:sz w:val="21"/>
                <w:szCs w:val="21"/>
                <w:lang w:eastAsia="ja-JP"/>
              </w:rPr>
            </w:pPr>
            <w:r>
              <w:rPr>
                <w:bCs/>
                <w:color w:val="000000"/>
                <w:sz w:val="21"/>
                <w:szCs w:val="21"/>
                <w:lang w:eastAsia="ja-JP"/>
              </w:rPr>
              <w:t xml:space="preserve">New </w:t>
            </w:r>
            <w:r w:rsidR="00A12480">
              <w:rPr>
                <w:bCs/>
                <w:color w:val="000000"/>
                <w:sz w:val="21"/>
                <w:szCs w:val="21"/>
                <w:lang w:eastAsia="ja-JP"/>
              </w:rPr>
              <w:t>characteristics</w:t>
            </w:r>
          </w:p>
        </w:tc>
        <w:tc>
          <w:tcPr>
            <w:tcW w:w="2268" w:type="dxa"/>
          </w:tcPr>
          <w:p w14:paraId="6CEE6F18" w14:textId="141CE308" w:rsidR="001A6270" w:rsidRDefault="002669AD" w:rsidP="003645DE">
            <w:pPr>
              <w:spacing w:before="120"/>
              <w:jc w:val="center"/>
              <w:rPr>
                <w:bCs/>
                <w:color w:val="000000"/>
                <w:sz w:val="21"/>
                <w:szCs w:val="21"/>
                <w:lang w:eastAsia="ja-JP"/>
              </w:rPr>
            </w:pPr>
            <w:r>
              <w:rPr>
                <w:bCs/>
                <w:color w:val="000000"/>
                <w:sz w:val="21"/>
                <w:szCs w:val="21"/>
                <w:lang w:eastAsia="ja-JP"/>
              </w:rPr>
              <w:t>Value</w:t>
            </w:r>
          </w:p>
        </w:tc>
      </w:tr>
      <w:tr w:rsidR="00527B5A" w:rsidRPr="000366FE" w14:paraId="71E5A510" w14:textId="77777777" w:rsidTr="002B7D27">
        <w:trPr>
          <w:jc w:val="center"/>
        </w:trPr>
        <w:tc>
          <w:tcPr>
            <w:tcW w:w="3685" w:type="dxa"/>
            <w:vAlign w:val="center"/>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vAlign w:val="center"/>
          </w:tcPr>
          <w:p w14:paraId="177EADFE" w14:textId="40E1E4B0"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w:t>
            </w:r>
            <w:r w:rsidR="002669AD">
              <w:rPr>
                <w:rFonts w:eastAsiaTheme="minorEastAsia"/>
                <w:bCs/>
                <w:color w:val="000000"/>
                <w:sz w:val="21"/>
                <w:szCs w:val="21"/>
                <w:lang w:eastAsia="ja-JP"/>
              </w:rPr>
              <w:t xml:space="preserve"> GHz </w:t>
            </w:r>
            <w:r w:rsidR="00A12480">
              <w:rPr>
                <w:rFonts w:eastAsiaTheme="minorEastAsia"/>
                <w:bCs/>
                <w:color w:val="000000"/>
                <w:sz w:val="21"/>
                <w:szCs w:val="21"/>
                <w:lang w:eastAsia="ja-JP"/>
              </w:rPr>
              <w:t>to 450</w:t>
            </w:r>
            <w:r w:rsidR="002669AD">
              <w:rPr>
                <w:rFonts w:eastAsiaTheme="minorEastAsia"/>
                <w:bCs/>
                <w:color w:val="000000"/>
                <w:sz w:val="21"/>
                <w:szCs w:val="21"/>
                <w:lang w:eastAsia="ja-JP"/>
              </w:rPr>
              <w:t xml:space="preserve"> GHz</w:t>
            </w:r>
          </w:p>
        </w:tc>
      </w:tr>
      <w:tr w:rsidR="00527B5A" w:rsidRPr="000366FE" w14:paraId="1278F1BB" w14:textId="77777777" w:rsidTr="002B7D27">
        <w:trPr>
          <w:jc w:val="center"/>
        </w:trPr>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2B7D27">
        <w:trPr>
          <w:jc w:val="center"/>
        </w:trPr>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4A66F009" w14:textId="6E5349A5" w:rsidR="00CF7CEC" w:rsidRPr="00021D53" w:rsidRDefault="00CF7CEC" w:rsidP="007F3345">
      <w:pPr>
        <w:spacing w:before="120"/>
        <w:jc w:val="both"/>
        <w:rPr>
          <w:bCs/>
          <w:color w:val="000000"/>
          <w:lang w:eastAsia="ja-JP"/>
        </w:rPr>
      </w:pPr>
      <w:r w:rsidRPr="00021D53">
        <w:rPr>
          <w:rFonts w:hint="eastAsia"/>
          <w:bCs/>
          <w:color w:val="000000"/>
          <w:lang w:eastAsia="ja-JP"/>
        </w:rPr>
        <w:t xml:space="preserve">IEEE 802 would appreciate </w:t>
      </w:r>
      <w:r w:rsidR="002B7D27">
        <w:rPr>
          <w:bCs/>
          <w:color w:val="000000"/>
          <w:lang w:eastAsia="ja-JP"/>
        </w:rPr>
        <w:t>that</w:t>
      </w:r>
      <w:r w:rsidRPr="00021D53">
        <w:rPr>
          <w:rFonts w:hint="eastAsia"/>
          <w:bCs/>
          <w:color w:val="000000"/>
          <w:lang w:eastAsia="ja-JP"/>
        </w:rPr>
        <w:t xml:space="preserve"> ITU-R </w:t>
      </w:r>
      <w:r w:rsidR="002B7D27">
        <w:rPr>
          <w:bCs/>
          <w:color w:val="000000"/>
          <w:lang w:eastAsia="ja-JP"/>
        </w:rPr>
        <w:t>Working Parties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w:t>
      </w:r>
      <w:r w:rsidR="002B7D27">
        <w:rPr>
          <w:bCs/>
          <w:color w:val="000000"/>
          <w:lang w:eastAsia="ja-JP"/>
        </w:rPr>
        <w:t xml:space="preserve">would </w:t>
      </w:r>
      <w:r w:rsidRPr="00021D53">
        <w:rPr>
          <w:rFonts w:hint="eastAsia"/>
          <w:bCs/>
          <w:color w:val="000000"/>
          <w:lang w:eastAsia="ja-JP"/>
        </w:rPr>
        <w:t xml:space="preserve">keep it informed on the progress of the </w:t>
      </w:r>
      <w:r w:rsidR="002B7D27">
        <w:rPr>
          <w:bCs/>
          <w:color w:val="000000"/>
          <w:lang w:eastAsia="ja-JP"/>
        </w:rPr>
        <w:t xml:space="preserve">two </w:t>
      </w:r>
      <w:r w:rsidR="00FB7CC1">
        <w:rPr>
          <w:bCs/>
          <w:color w:val="000000"/>
          <w:lang w:eastAsia="ja-JP"/>
        </w:rPr>
        <w:t>R</w:t>
      </w:r>
      <w:r w:rsidR="002B7D27">
        <w:rPr>
          <w:bCs/>
          <w:color w:val="000000"/>
          <w:lang w:eastAsia="ja-JP"/>
        </w:rPr>
        <w:t>eports</w:t>
      </w:r>
      <w:r w:rsidRPr="00021D53">
        <w:rPr>
          <w:rFonts w:hint="eastAsia"/>
          <w:bCs/>
          <w:color w:val="000000"/>
          <w:lang w:eastAsia="ja-JP"/>
        </w:rPr>
        <w:t>.</w:t>
      </w:r>
    </w:p>
    <w:p w14:paraId="467609D5" w14:textId="2A8F8520" w:rsidR="00862E96" w:rsidRPr="00862E96" w:rsidRDefault="00D05CF4" w:rsidP="00862E96">
      <w:pPr>
        <w:pStyle w:val="Heading1"/>
        <w:rPr>
          <w:rFonts w:ascii="Times New Roman" w:hAnsi="Times New Roman" w:cs="Times New Roman"/>
          <w:u w:val="none"/>
        </w:rPr>
      </w:pPr>
      <w:r>
        <w:rPr>
          <w:rFonts w:ascii="Times New Roman" w:hAnsi="Times New Roman" w:cs="Times New Roman"/>
          <w:u w:val="none"/>
        </w:rPr>
        <w:t xml:space="preserve">3.  </w:t>
      </w:r>
      <w:r w:rsidR="00862E96" w:rsidRPr="00862E96">
        <w:rPr>
          <w:rFonts w:ascii="Times New Roman" w:hAnsi="Times New Roman" w:cs="Times New Roman"/>
          <w:u w:val="none"/>
        </w:rPr>
        <w:t>Summary</w:t>
      </w:r>
    </w:p>
    <w:p w14:paraId="39640666" w14:textId="53138692" w:rsidR="00862E96" w:rsidRPr="00E61F3F" w:rsidRDefault="00862E96" w:rsidP="00514F7E">
      <w:pPr>
        <w:spacing w:after="360"/>
        <w:jc w:val="both"/>
      </w:pPr>
      <w:r w:rsidRPr="00E61F3F">
        <w:t>We applaud the eff</w:t>
      </w:r>
      <w:r>
        <w:t xml:space="preserve">orts of the participants in </w:t>
      </w:r>
      <w:r w:rsidR="00CF7CEC">
        <w:rPr>
          <w:rFonts w:hint="eastAsia"/>
          <w:lang w:eastAsia="ja-JP"/>
        </w:rPr>
        <w:t xml:space="preserve">ITU-R </w:t>
      </w:r>
      <w:r w:rsidR="00514F7E">
        <w:t>Working Parties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p w14:paraId="19B7C694" w14:textId="77777777" w:rsidR="00754091" w:rsidRDefault="00754091" w:rsidP="00D05CF4">
      <w:pPr>
        <w:rPr>
          <w:lang w:eastAsia="ja-JP"/>
        </w:rPr>
      </w:pPr>
      <w:r w:rsidRPr="002C09A9">
        <w:t>Respectfully submitted</w:t>
      </w:r>
      <w:r w:rsidRPr="00C13131">
        <w:rPr>
          <w:lang w:eastAsia="ja-JP"/>
        </w:rPr>
        <w:t xml:space="preserve"> </w:t>
      </w:r>
    </w:p>
    <w:p w14:paraId="472BD451" w14:textId="3C18AD29" w:rsidR="00754091" w:rsidRPr="00C13131" w:rsidRDefault="00754091" w:rsidP="00D05CF4">
      <w:pPr>
        <w:rPr>
          <w:lang w:eastAsia="ja-JP"/>
        </w:rPr>
      </w:pPr>
      <w:r w:rsidRPr="00C13131">
        <w:rPr>
          <w:lang w:eastAsia="ja-JP"/>
        </w:rPr>
        <w:t>By: /ss/.</w:t>
      </w:r>
    </w:p>
    <w:p w14:paraId="777CF9B2" w14:textId="77777777" w:rsidR="00754091" w:rsidRPr="00C13131" w:rsidRDefault="00754091" w:rsidP="00D05CF4">
      <w:pPr>
        <w:rPr>
          <w:lang w:eastAsia="ja-JP"/>
        </w:rPr>
      </w:pPr>
      <w:r w:rsidRPr="00C13131">
        <w:rPr>
          <w:lang w:eastAsia="ja-JP"/>
        </w:rPr>
        <w:t>James Gilb</w:t>
      </w:r>
    </w:p>
    <w:p w14:paraId="10840C71" w14:textId="77777777" w:rsidR="00754091" w:rsidRPr="00C13131" w:rsidRDefault="00754091" w:rsidP="00D05CF4">
      <w:pPr>
        <w:rPr>
          <w:lang w:eastAsia="ja-JP"/>
        </w:rPr>
      </w:pPr>
      <w:r w:rsidRPr="00C13131">
        <w:rPr>
          <w:lang w:eastAsia="ja-JP"/>
        </w:rPr>
        <w:t>IEEE 802 LAN/MAN Standards Committee Chairman</w:t>
      </w:r>
    </w:p>
    <w:p w14:paraId="34DDF862" w14:textId="77777777" w:rsidR="00754091" w:rsidRPr="00473648" w:rsidRDefault="00754091" w:rsidP="00D05CF4">
      <w:pPr>
        <w:rPr>
          <w:lang w:val="de-DE" w:eastAsia="ja-JP"/>
        </w:rPr>
      </w:pPr>
      <w:r w:rsidRPr="00C13131">
        <w:rPr>
          <w:lang w:val="de-DE" w:eastAsia="ja-JP"/>
        </w:rPr>
        <w:t>em: : gilb_i</w:t>
      </w:r>
      <w:r>
        <w:rPr>
          <w:lang w:val="de-DE" w:eastAsia="ja-JP"/>
        </w:rPr>
        <w:t>eee@tuta.com</w:t>
      </w:r>
    </w:p>
    <w:p w14:paraId="7D31753C" w14:textId="77777777" w:rsidR="002F1A5C" w:rsidRPr="006E6CE0" w:rsidRDefault="002F1A5C" w:rsidP="00862E96">
      <w:pPr>
        <w:spacing w:before="120"/>
        <w:rPr>
          <w:lang w:val="de-DE" w:eastAsia="ja-JP"/>
        </w:rPr>
      </w:pPr>
    </w:p>
    <w:sectPr w:rsidR="002F1A5C" w:rsidRPr="006E6CE0" w:rsidSect="003A2EE0">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9E57" w14:textId="77777777" w:rsidR="00170239" w:rsidRDefault="00170239">
      <w:r>
        <w:separator/>
      </w:r>
    </w:p>
  </w:endnote>
  <w:endnote w:type="continuationSeparator" w:id="0">
    <w:p w14:paraId="54D24AEC" w14:textId="77777777" w:rsidR="00170239" w:rsidRDefault="0017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7982A9E4" w:rsidR="00102C65" w:rsidRDefault="00102C65" w:rsidP="003A2EE0">
    <w:pPr>
      <w:pStyle w:val="Footer"/>
      <w:widowControl w:val="0"/>
      <w:pBdr>
        <w:top w:val="single" w:sz="6" w:space="0" w:color="auto"/>
      </w:pBdr>
      <w:tabs>
        <w:tab w:val="clear" w:pos="4320"/>
        <w:tab w:val="clear" w:pos="8640"/>
        <w:tab w:val="center" w:pos="4680"/>
        <w:tab w:val="right" w:pos="9360"/>
      </w:tabs>
      <w:spacing w:before="240"/>
      <w:jc w:val="center"/>
      <w:rPr>
        <w:lang w:eastAsia="ja-JP"/>
      </w:rPr>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Pr="0012502C" w:rsidRDefault="00102C65">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12502C">
      <w:rPr>
        <w:lang w:val="fr-CA"/>
      </w:rPr>
      <w:t>Submission</w:t>
    </w:r>
    <w:r w:rsidRPr="0012502C">
      <w:rPr>
        <w:lang w:val="fr-CA"/>
      </w:rPr>
      <w:tab/>
      <w:t xml:space="preserve">Page </w:t>
    </w:r>
    <w:r>
      <w:pgNum/>
    </w:r>
    <w:r w:rsidRPr="0012502C">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7590" w14:textId="77777777" w:rsidR="00170239" w:rsidRDefault="00170239">
      <w:r>
        <w:separator/>
      </w:r>
    </w:p>
  </w:footnote>
  <w:footnote w:type="continuationSeparator" w:id="0">
    <w:p w14:paraId="28F994FE" w14:textId="77777777" w:rsidR="00170239" w:rsidRDefault="00170239">
      <w:r>
        <w:continuationSeparator/>
      </w:r>
    </w:p>
  </w:footnote>
  <w:footnote w:id="1">
    <w:p w14:paraId="7B35E995" w14:textId="77777777" w:rsidR="001A6270" w:rsidRPr="00A345E1" w:rsidRDefault="001A6270" w:rsidP="00A345E1">
      <w:pPr>
        <w:pStyle w:val="FootnoteText"/>
        <w:jc w:val="both"/>
        <w:rPr>
          <w:sz w:val="16"/>
          <w:szCs w:val="16"/>
        </w:rPr>
      </w:pPr>
      <w:r w:rsidRPr="00A345E1">
        <w:rPr>
          <w:rStyle w:val="FootnoteReference"/>
          <w:sz w:val="16"/>
          <w:szCs w:val="16"/>
        </w:rPr>
        <w:footnoteRef/>
      </w:r>
      <w:r w:rsidRPr="00A345E1">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58DAB3C2" w14:textId="1FC01E76" w:rsidR="006A18D5" w:rsidRPr="00A345E1" w:rsidRDefault="006A18D5" w:rsidP="00A345E1">
      <w:pPr>
        <w:pStyle w:val="FootnoteText"/>
        <w:jc w:val="both"/>
        <w:rPr>
          <w:sz w:val="16"/>
          <w:szCs w:val="16"/>
          <w:lang w:eastAsia="ja-JP"/>
        </w:rPr>
      </w:pPr>
      <w:r w:rsidRPr="00A345E1">
        <w:rPr>
          <w:rStyle w:val="FootnoteReference"/>
          <w:sz w:val="16"/>
          <w:szCs w:val="16"/>
        </w:rPr>
        <w:footnoteRef/>
      </w:r>
      <w:r w:rsidRPr="00A345E1">
        <w:rPr>
          <w:sz w:val="16"/>
          <w:szCs w:val="16"/>
        </w:rPr>
        <w:t xml:space="preserve"> </w:t>
      </w:r>
      <w:r w:rsidR="00A345E1">
        <w:rPr>
          <w:sz w:val="16"/>
          <w:szCs w:val="16"/>
        </w:rPr>
        <w:t xml:space="preserve">ITU-R </w:t>
      </w:r>
      <w:r w:rsidR="00A345E1" w:rsidRPr="00A345E1">
        <w:rPr>
          <w:sz w:val="16"/>
          <w:szCs w:val="16"/>
        </w:rPr>
        <w:t>Report M.2417-0 (11/2017)</w:t>
      </w:r>
      <w:r w:rsidR="00A345E1">
        <w:rPr>
          <w:sz w:val="16"/>
          <w:szCs w:val="16"/>
        </w:rPr>
        <w:t xml:space="preserve">, </w:t>
      </w:r>
      <w:r w:rsidR="00A345E1" w:rsidRPr="00A345E1">
        <w:rPr>
          <w:sz w:val="16"/>
          <w:szCs w:val="16"/>
        </w:rPr>
        <w:t>Technical and operational characteristics of land-mobile service applications in the frequency range 275-450 GHz</w:t>
      </w:r>
      <w:r w:rsidR="00A345E1">
        <w:rPr>
          <w:sz w:val="16"/>
          <w:szCs w:val="16"/>
        </w:rPr>
        <w:t>.</w:t>
      </w:r>
    </w:p>
  </w:footnote>
  <w:footnote w:id="3">
    <w:p w14:paraId="7C4BE7A6" w14:textId="285D4E7D" w:rsidR="00A345E1" w:rsidRPr="00A345E1" w:rsidRDefault="006A18D5" w:rsidP="00A345E1">
      <w:pPr>
        <w:pStyle w:val="FootnoteText"/>
        <w:jc w:val="both"/>
        <w:rPr>
          <w:sz w:val="16"/>
          <w:szCs w:val="16"/>
        </w:rPr>
      </w:pPr>
      <w:r w:rsidRPr="00A345E1">
        <w:rPr>
          <w:rStyle w:val="FootnoteReference"/>
          <w:sz w:val="16"/>
          <w:szCs w:val="16"/>
        </w:rPr>
        <w:footnoteRef/>
      </w:r>
      <w:r w:rsidRPr="00A345E1">
        <w:rPr>
          <w:sz w:val="16"/>
          <w:szCs w:val="16"/>
        </w:rPr>
        <w:t xml:space="preserve"> </w:t>
      </w:r>
      <w:r w:rsidR="00A345E1">
        <w:rPr>
          <w:sz w:val="16"/>
          <w:szCs w:val="16"/>
        </w:rPr>
        <w:t xml:space="preserve">ITU-R </w:t>
      </w:r>
      <w:r w:rsidR="00A345E1" w:rsidRPr="00A345E1">
        <w:rPr>
          <w:sz w:val="16"/>
          <w:szCs w:val="16"/>
        </w:rPr>
        <w:t>Report F.2416-0 (11/2017)</w:t>
      </w:r>
      <w:r w:rsidR="00A345E1">
        <w:rPr>
          <w:sz w:val="16"/>
          <w:szCs w:val="16"/>
        </w:rPr>
        <w:t xml:space="preserve">, </w:t>
      </w:r>
      <w:r w:rsidR="00A345E1" w:rsidRPr="00A345E1">
        <w:rPr>
          <w:sz w:val="16"/>
          <w:szCs w:val="16"/>
        </w:rPr>
        <w:t>Technical and operational characteristics and applications of the point-to-point fixed service applications operating in the frequency band 275-450 GHz</w:t>
      </w:r>
      <w:r w:rsidR="00A345E1">
        <w:rPr>
          <w:sz w:val="16"/>
          <w:szCs w:val="16"/>
        </w:rPr>
        <w:t>.</w:t>
      </w:r>
    </w:p>
    <w:p w14:paraId="0D422FBB" w14:textId="073825F0" w:rsidR="006A18D5" w:rsidRPr="00A345E1" w:rsidRDefault="006A18D5" w:rsidP="00A345E1">
      <w:pPr>
        <w:pStyle w:val="FootnoteText"/>
        <w:rPr>
          <w:sz w:val="16"/>
          <w:szCs w:val="16"/>
          <w:lang w:eastAsia="ja-JP"/>
        </w:rPr>
      </w:pPr>
    </w:p>
  </w:footnote>
  <w:footnote w:id="4">
    <w:p w14:paraId="27AFD3C1" w14:textId="38AFA63E" w:rsidR="006A18D5" w:rsidRPr="00D05CF4" w:rsidRDefault="006A18D5" w:rsidP="00D05CF4">
      <w:pPr>
        <w:pStyle w:val="FootnoteText"/>
        <w:jc w:val="both"/>
        <w:rPr>
          <w:sz w:val="16"/>
          <w:szCs w:val="16"/>
          <w:lang w:eastAsia="ja-JP"/>
        </w:rPr>
      </w:pPr>
      <w:r w:rsidRPr="00D05CF4">
        <w:rPr>
          <w:rStyle w:val="FootnoteReference"/>
          <w:sz w:val="16"/>
          <w:szCs w:val="16"/>
        </w:rPr>
        <w:footnoteRef/>
      </w:r>
      <w:r w:rsidRPr="00D05CF4">
        <w:rPr>
          <w:sz w:val="16"/>
          <w:szCs w:val="16"/>
        </w:rPr>
        <w:t xml:space="preserve"> </w:t>
      </w:r>
      <w:r w:rsidR="00A345E1" w:rsidRPr="00D05CF4">
        <w:rPr>
          <w:sz w:val="16"/>
          <w:szCs w:val="16"/>
        </w:rPr>
        <w:t>ITU-R Report M.2417-1 (11/2022), Technical and operational characteristics of land-mobile service applications in the frequency range 275-450 GHz</w:t>
      </w:r>
      <w:r w:rsidR="00D05CF4" w:rsidRPr="00D05CF4">
        <w:rPr>
          <w:sz w:val="16"/>
          <w:szCs w:val="16"/>
        </w:rPr>
        <w:t>.</w:t>
      </w:r>
    </w:p>
  </w:footnote>
  <w:footnote w:id="5">
    <w:p w14:paraId="0D96E793" w14:textId="0B650E49" w:rsidR="006A18D5" w:rsidRPr="00D05CF4" w:rsidRDefault="006A18D5" w:rsidP="00D05CF4">
      <w:pPr>
        <w:pStyle w:val="FootnoteText"/>
        <w:jc w:val="both"/>
        <w:rPr>
          <w:sz w:val="16"/>
          <w:szCs w:val="16"/>
          <w:lang w:eastAsia="ja-JP"/>
        </w:rPr>
      </w:pPr>
      <w:r w:rsidRPr="00D05CF4">
        <w:rPr>
          <w:rStyle w:val="FootnoteReference"/>
          <w:sz w:val="16"/>
          <w:szCs w:val="16"/>
        </w:rPr>
        <w:footnoteRef/>
      </w:r>
      <w:r w:rsidRPr="00D05CF4">
        <w:rPr>
          <w:sz w:val="16"/>
          <w:szCs w:val="16"/>
        </w:rPr>
        <w:t xml:space="preserve"> </w:t>
      </w:r>
      <w:r w:rsidR="00A345E1" w:rsidRPr="00D05CF4">
        <w:rPr>
          <w:sz w:val="16"/>
          <w:szCs w:val="16"/>
        </w:rPr>
        <w:t>ITU-R Report F.2416-0 (2023), Technical and operational characteristics and applications of the point-to-point fixed service applications operating in the frequency band 275-450 GHz.</w:t>
      </w:r>
    </w:p>
  </w:footnote>
  <w:footnote w:id="6">
    <w:p w14:paraId="3D078BBB" w14:textId="1E8A999C" w:rsidR="00D05CF4" w:rsidRPr="00D05CF4" w:rsidRDefault="00D05CF4" w:rsidP="00D05CF4">
      <w:pPr>
        <w:pStyle w:val="FootnoteText"/>
        <w:jc w:val="both"/>
        <w:rPr>
          <w:sz w:val="16"/>
          <w:szCs w:val="16"/>
          <w:lang w:eastAsia="ja-JP"/>
        </w:rPr>
      </w:pPr>
      <w:r w:rsidRPr="00D05CF4">
        <w:rPr>
          <w:rStyle w:val="FootnoteReference"/>
          <w:sz w:val="16"/>
          <w:szCs w:val="16"/>
        </w:rPr>
        <w:footnoteRef/>
      </w:r>
      <w:r w:rsidRPr="00D05CF4">
        <w:rPr>
          <w:sz w:val="16"/>
          <w:szCs w:val="16"/>
        </w:rPr>
        <w:t xml:space="preserve"> "IEEE Standard for Wireless Multimedia Networks," in IEEE Std 802.15.3-2023 (Revision of IEEE Std 802.15.3-2016) , vol., no., pp.1-684, 22 Feb. 2024, </w:t>
      </w:r>
      <w:proofErr w:type="spellStart"/>
      <w:r w:rsidRPr="00D05CF4">
        <w:rPr>
          <w:sz w:val="16"/>
          <w:szCs w:val="16"/>
        </w:rPr>
        <w:t>doi</w:t>
      </w:r>
      <w:proofErr w:type="spellEnd"/>
      <w:r w:rsidRPr="00D05CF4">
        <w:rPr>
          <w:sz w:val="16"/>
          <w:szCs w:val="16"/>
        </w:rPr>
        <w:t xml:space="preserve">: 10.1109/IEEESTD.2024.10443750, </w:t>
      </w:r>
      <w:hyperlink r:id="rId1" w:history="1">
        <w:r w:rsidRPr="00D05CF4">
          <w:rPr>
            <w:rStyle w:val="Hyperlink"/>
            <w:sz w:val="16"/>
            <w:szCs w:val="16"/>
          </w:rPr>
          <w:t>https://ieeexplore.ieee.org/document/10443750</w:t>
        </w:r>
      </w:hyperlink>
      <w:r w:rsidRPr="00D05CF4">
        <w:rPr>
          <w:sz w:val="16"/>
          <w:szCs w:val="16"/>
        </w:rPr>
        <w:t xml:space="preserve"> [accessed: 25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2580372">
    <w:abstractNumId w:val="22"/>
  </w:num>
  <w:num w:numId="2" w16cid:durableId="71895258">
    <w:abstractNumId w:val="3"/>
  </w:num>
  <w:num w:numId="3" w16cid:durableId="438841556">
    <w:abstractNumId w:val="7"/>
  </w:num>
  <w:num w:numId="4" w16cid:durableId="1935897212">
    <w:abstractNumId w:val="21"/>
  </w:num>
  <w:num w:numId="5" w16cid:durableId="434179391">
    <w:abstractNumId w:val="2"/>
  </w:num>
  <w:num w:numId="6" w16cid:durableId="1550729561">
    <w:abstractNumId w:val="6"/>
  </w:num>
  <w:num w:numId="7" w16cid:durableId="2125421742">
    <w:abstractNumId w:val="20"/>
  </w:num>
  <w:num w:numId="8" w16cid:durableId="1326083675">
    <w:abstractNumId w:val="12"/>
  </w:num>
  <w:num w:numId="9" w16cid:durableId="185599660">
    <w:abstractNumId w:val="30"/>
  </w:num>
  <w:num w:numId="10" w16cid:durableId="1893544317">
    <w:abstractNumId w:val="27"/>
  </w:num>
  <w:num w:numId="11" w16cid:durableId="481700333">
    <w:abstractNumId w:val="19"/>
  </w:num>
  <w:num w:numId="12" w16cid:durableId="1225292041">
    <w:abstractNumId w:val="23"/>
  </w:num>
  <w:num w:numId="13" w16cid:durableId="2144344762">
    <w:abstractNumId w:val="28"/>
  </w:num>
  <w:num w:numId="14" w16cid:durableId="1491170033">
    <w:abstractNumId w:val="5"/>
  </w:num>
  <w:num w:numId="15" w16cid:durableId="1674719901">
    <w:abstractNumId w:val="8"/>
  </w:num>
  <w:num w:numId="16" w16cid:durableId="339234498">
    <w:abstractNumId w:val="17"/>
  </w:num>
  <w:num w:numId="17" w16cid:durableId="1433429307">
    <w:abstractNumId w:val="16"/>
  </w:num>
  <w:num w:numId="18" w16cid:durableId="1440754908">
    <w:abstractNumId w:val="10"/>
  </w:num>
  <w:num w:numId="19" w16cid:durableId="920799993">
    <w:abstractNumId w:val="25"/>
  </w:num>
  <w:num w:numId="20" w16cid:durableId="71438809">
    <w:abstractNumId w:val="11"/>
  </w:num>
  <w:num w:numId="21" w16cid:durableId="1925600722">
    <w:abstractNumId w:val="15"/>
  </w:num>
  <w:num w:numId="22" w16cid:durableId="1268125332">
    <w:abstractNumId w:val="24"/>
  </w:num>
  <w:num w:numId="23" w16cid:durableId="1048257895">
    <w:abstractNumId w:val="1"/>
  </w:num>
  <w:num w:numId="24" w16cid:durableId="1871842430">
    <w:abstractNumId w:val="14"/>
  </w:num>
  <w:num w:numId="25" w16cid:durableId="1133333238">
    <w:abstractNumId w:val="26"/>
  </w:num>
  <w:num w:numId="26" w16cid:durableId="977225221">
    <w:abstractNumId w:val="9"/>
  </w:num>
  <w:num w:numId="27" w16cid:durableId="1706366719">
    <w:abstractNumId w:val="0"/>
  </w:num>
  <w:num w:numId="28" w16cid:durableId="1360742604">
    <w:abstractNumId w:val="13"/>
  </w:num>
  <w:num w:numId="29" w16cid:durableId="482046922">
    <w:abstractNumId w:val="29"/>
  </w:num>
  <w:num w:numId="30" w16cid:durableId="1434127980">
    <w:abstractNumId w:val="18"/>
  </w:num>
  <w:num w:numId="31" w16cid:durableId="16164012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3FA"/>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A6A4D"/>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6196"/>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502C"/>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023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A6270"/>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4F09"/>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9AD"/>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B7D27"/>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3704"/>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516B"/>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2EE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23B5"/>
    <w:rsid w:val="003E398A"/>
    <w:rsid w:val="003E3DFD"/>
    <w:rsid w:val="003E4B2C"/>
    <w:rsid w:val="003E54A1"/>
    <w:rsid w:val="003E54FD"/>
    <w:rsid w:val="003E7C12"/>
    <w:rsid w:val="003F2354"/>
    <w:rsid w:val="003F3DBF"/>
    <w:rsid w:val="003F4A5F"/>
    <w:rsid w:val="003F51FF"/>
    <w:rsid w:val="003F6EFC"/>
    <w:rsid w:val="00404A27"/>
    <w:rsid w:val="00406F97"/>
    <w:rsid w:val="004072E0"/>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46EAB"/>
    <w:rsid w:val="004518A9"/>
    <w:rsid w:val="00451E37"/>
    <w:rsid w:val="00453B7E"/>
    <w:rsid w:val="00453F79"/>
    <w:rsid w:val="0045438F"/>
    <w:rsid w:val="00454CF2"/>
    <w:rsid w:val="004563B8"/>
    <w:rsid w:val="00457433"/>
    <w:rsid w:val="0045771E"/>
    <w:rsid w:val="004608F2"/>
    <w:rsid w:val="00461FA0"/>
    <w:rsid w:val="00463427"/>
    <w:rsid w:val="00464868"/>
    <w:rsid w:val="004649C7"/>
    <w:rsid w:val="00465829"/>
    <w:rsid w:val="00465E9F"/>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92B"/>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4710"/>
    <w:rsid w:val="004F4803"/>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4F7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31E"/>
    <w:rsid w:val="005F3C55"/>
    <w:rsid w:val="005F3D58"/>
    <w:rsid w:val="005F5B7E"/>
    <w:rsid w:val="005F5C47"/>
    <w:rsid w:val="006020E6"/>
    <w:rsid w:val="00602917"/>
    <w:rsid w:val="006047BA"/>
    <w:rsid w:val="00604D64"/>
    <w:rsid w:val="006052DF"/>
    <w:rsid w:val="0060744F"/>
    <w:rsid w:val="00611DF7"/>
    <w:rsid w:val="00612546"/>
    <w:rsid w:val="00612EF5"/>
    <w:rsid w:val="00613EE8"/>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91"/>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345"/>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273A3"/>
    <w:rsid w:val="0083027D"/>
    <w:rsid w:val="00830C9D"/>
    <w:rsid w:val="00832130"/>
    <w:rsid w:val="00833BE1"/>
    <w:rsid w:val="008344D5"/>
    <w:rsid w:val="00834A11"/>
    <w:rsid w:val="00840B16"/>
    <w:rsid w:val="00840F97"/>
    <w:rsid w:val="0084295E"/>
    <w:rsid w:val="0084427E"/>
    <w:rsid w:val="008453AC"/>
    <w:rsid w:val="00850132"/>
    <w:rsid w:val="008532FC"/>
    <w:rsid w:val="008540F8"/>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51C9"/>
    <w:rsid w:val="00896087"/>
    <w:rsid w:val="00896191"/>
    <w:rsid w:val="0089759F"/>
    <w:rsid w:val="008A15E6"/>
    <w:rsid w:val="008A1B5C"/>
    <w:rsid w:val="008A3880"/>
    <w:rsid w:val="008A6793"/>
    <w:rsid w:val="008A7ABC"/>
    <w:rsid w:val="008B1369"/>
    <w:rsid w:val="008B1C33"/>
    <w:rsid w:val="008B4903"/>
    <w:rsid w:val="008B7320"/>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3E14"/>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6ECE"/>
    <w:rsid w:val="00A07603"/>
    <w:rsid w:val="00A076ED"/>
    <w:rsid w:val="00A1045E"/>
    <w:rsid w:val="00A10832"/>
    <w:rsid w:val="00A1097E"/>
    <w:rsid w:val="00A12480"/>
    <w:rsid w:val="00A13E24"/>
    <w:rsid w:val="00A1549B"/>
    <w:rsid w:val="00A15AC9"/>
    <w:rsid w:val="00A20750"/>
    <w:rsid w:val="00A2123B"/>
    <w:rsid w:val="00A22361"/>
    <w:rsid w:val="00A22FA8"/>
    <w:rsid w:val="00A24D24"/>
    <w:rsid w:val="00A25185"/>
    <w:rsid w:val="00A25672"/>
    <w:rsid w:val="00A30D71"/>
    <w:rsid w:val="00A31311"/>
    <w:rsid w:val="00A3203F"/>
    <w:rsid w:val="00A321C8"/>
    <w:rsid w:val="00A33143"/>
    <w:rsid w:val="00A345E1"/>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45A"/>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1851"/>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1E1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5CF4"/>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23CE"/>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4F47"/>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350"/>
    <w:rsid w:val="00FB11B8"/>
    <w:rsid w:val="00FB175F"/>
    <w:rsid w:val="00FB3DD1"/>
    <w:rsid w:val="00FB4848"/>
    <w:rsid w:val="00FB76A4"/>
    <w:rsid w:val="00FB7C17"/>
    <w:rsid w:val="00FB7CC1"/>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848"/>
    <w:rPr>
      <w:rFonts w:ascii="Times New Roman" w:hAnsi="Times New Roman"/>
      <w:sz w:val="24"/>
      <w:szCs w:val="24"/>
      <w:lang w:val="en-US" w:eastAsia="ko-KR"/>
    </w:rPr>
  </w:style>
  <w:style w:type="paragraph" w:styleId="Heading1">
    <w:name w:val="heading 1"/>
    <w:basedOn w:val="Normal"/>
    <w:next w:val="Normal"/>
    <w:qFormat/>
    <w:rsid w:val="00FB484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FB484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FB484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FB4848"/>
    <w:pPr>
      <w:ind w:left="360"/>
      <w:outlineLvl w:val="3"/>
    </w:pPr>
    <w:rPr>
      <w:rFonts w:ascii="Times" w:hAnsi="Times" w:cs="Times"/>
      <w:u w:val="single"/>
    </w:rPr>
  </w:style>
  <w:style w:type="paragraph" w:styleId="Heading5">
    <w:name w:val="heading 5"/>
    <w:basedOn w:val="Normal"/>
    <w:next w:val="Normal"/>
    <w:qFormat/>
    <w:rsid w:val="00FB4848"/>
    <w:pPr>
      <w:spacing w:before="240" w:after="60"/>
      <w:outlineLvl w:val="4"/>
    </w:pPr>
    <w:rPr>
      <w:sz w:val="22"/>
      <w:szCs w:val="22"/>
      <w:u w:val="single"/>
    </w:rPr>
  </w:style>
  <w:style w:type="paragraph" w:styleId="Heading6">
    <w:name w:val="heading 6"/>
    <w:basedOn w:val="Normal"/>
    <w:next w:val="Normal"/>
    <w:qFormat/>
    <w:rsid w:val="00FB4848"/>
    <w:pPr>
      <w:spacing w:before="240" w:after="60"/>
      <w:outlineLvl w:val="5"/>
    </w:pPr>
    <w:rPr>
      <w:i/>
      <w:iCs/>
      <w:sz w:val="22"/>
      <w:szCs w:val="22"/>
    </w:rPr>
  </w:style>
  <w:style w:type="paragraph" w:styleId="Heading7">
    <w:name w:val="heading 7"/>
    <w:basedOn w:val="Normal"/>
    <w:next w:val="Normal"/>
    <w:qFormat/>
    <w:rsid w:val="00FB4848"/>
    <w:pPr>
      <w:spacing w:before="240" w:after="60"/>
      <w:outlineLvl w:val="6"/>
    </w:pPr>
    <w:rPr>
      <w:rFonts w:ascii="Arial" w:hAnsi="Arial" w:cs="Arial"/>
      <w:sz w:val="20"/>
      <w:szCs w:val="20"/>
    </w:rPr>
  </w:style>
  <w:style w:type="paragraph" w:styleId="Heading8">
    <w:name w:val="heading 8"/>
    <w:basedOn w:val="Normal"/>
    <w:next w:val="Normal"/>
    <w:qFormat/>
    <w:rsid w:val="00FB4848"/>
    <w:pPr>
      <w:spacing w:before="240" w:after="60"/>
      <w:outlineLvl w:val="7"/>
    </w:pPr>
    <w:rPr>
      <w:rFonts w:ascii="Arial" w:hAnsi="Arial" w:cs="Arial"/>
      <w:i/>
      <w:iCs/>
      <w:sz w:val="20"/>
      <w:szCs w:val="20"/>
    </w:rPr>
  </w:style>
  <w:style w:type="paragraph" w:styleId="Heading9">
    <w:name w:val="heading 9"/>
    <w:basedOn w:val="Normal"/>
    <w:next w:val="Normal"/>
    <w:qFormat/>
    <w:rsid w:val="00FB484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848"/>
    <w:pPr>
      <w:tabs>
        <w:tab w:val="center" w:pos="4320"/>
        <w:tab w:val="right" w:pos="8640"/>
      </w:tabs>
    </w:pPr>
  </w:style>
  <w:style w:type="paragraph" w:styleId="Header">
    <w:name w:val="header"/>
    <w:basedOn w:val="Normal"/>
    <w:rsid w:val="00FB4848"/>
    <w:pPr>
      <w:tabs>
        <w:tab w:val="center" w:pos="4320"/>
        <w:tab w:val="right" w:pos="8640"/>
      </w:tabs>
    </w:pPr>
  </w:style>
  <w:style w:type="paragraph" w:customStyle="1" w:styleId="BitHeading">
    <w:name w:val="Bit Heading"/>
    <w:basedOn w:val="Normal"/>
    <w:rsid w:val="00FB4848"/>
    <w:pPr>
      <w:spacing w:before="120"/>
      <w:jc w:val="both"/>
    </w:pPr>
    <w:rPr>
      <w:rFonts w:ascii="Palatino" w:hAnsi="Palatino"/>
      <w:i/>
      <w:iCs/>
    </w:rPr>
  </w:style>
  <w:style w:type="paragraph" w:customStyle="1" w:styleId="BlockParagraph">
    <w:name w:val="BlockParagraph"/>
    <w:basedOn w:val="Normal"/>
    <w:rsid w:val="00FB4848"/>
    <w:pPr>
      <w:spacing w:before="120"/>
    </w:pPr>
    <w:rPr>
      <w:rFonts w:ascii="Palatino" w:hAnsi="Palatino"/>
    </w:rPr>
  </w:style>
  <w:style w:type="paragraph" w:customStyle="1" w:styleId="Definition">
    <w:name w:val="Definition"/>
    <w:basedOn w:val="Normal"/>
    <w:rsid w:val="00FB4848"/>
    <w:pPr>
      <w:spacing w:after="200"/>
      <w:ind w:right="-720"/>
      <w:jc w:val="both"/>
    </w:pPr>
    <w:rPr>
      <w:rFonts w:ascii="New Century Schlbk" w:hAnsi="New Century Schlbk"/>
      <w:sz w:val="20"/>
      <w:szCs w:val="20"/>
    </w:rPr>
  </w:style>
  <w:style w:type="paragraph" w:styleId="BodyText">
    <w:name w:val="Body Text"/>
    <w:basedOn w:val="Normal"/>
    <w:rsid w:val="00FB4848"/>
    <w:rPr>
      <w:color w:val="000000"/>
      <w:lang w:eastAsia="en-US"/>
    </w:rPr>
  </w:style>
  <w:style w:type="paragraph" w:styleId="DocumentMap">
    <w:name w:val="Document Map"/>
    <w:basedOn w:val="Normal"/>
    <w:semiHidden/>
    <w:rsid w:val="00FB4848"/>
    <w:pPr>
      <w:shd w:val="clear" w:color="auto" w:fill="000080"/>
    </w:pPr>
    <w:rPr>
      <w:rFonts w:ascii="Tahoma" w:hAnsi="Tahoma" w:cs="Tahoma"/>
    </w:rPr>
  </w:style>
  <w:style w:type="character" w:styleId="PageNumber">
    <w:name w:val="page number"/>
    <w:basedOn w:val="DefaultParagraphFont"/>
    <w:rsid w:val="00FB4848"/>
  </w:style>
  <w:style w:type="paragraph" w:customStyle="1" w:styleId="covertext">
    <w:name w:val="cover text"/>
    <w:basedOn w:val="Normal"/>
    <w:rsid w:val="00FB4848"/>
    <w:pPr>
      <w:spacing w:before="120" w:after="120"/>
    </w:pPr>
  </w:style>
  <w:style w:type="character" w:customStyle="1" w:styleId="highlight">
    <w:name w:val="highlight"/>
    <w:basedOn w:val="DefaultParagraphFont"/>
    <w:rsid w:val="00774E2D"/>
  </w:style>
  <w:style w:type="paragraph" w:styleId="ListParagraph">
    <w:name w:val="List Paragraph"/>
    <w:basedOn w:val="Normal"/>
    <w:uiPriority w:val="34"/>
    <w:qFormat/>
    <w:rsid w:val="00B311E3"/>
    <w:pPr>
      <w:ind w:left="720"/>
      <w:contextualSpacing/>
    </w:pPr>
  </w:style>
  <w:style w:type="paragraph" w:styleId="NormalWeb">
    <w:name w:val="Normal (Web)"/>
    <w:basedOn w:val="Normal"/>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ceholderText">
    <w:name w:val="Placeholder Text"/>
    <w:basedOn w:val="DefaultParagraphFont"/>
    <w:uiPriority w:val="99"/>
    <w:semiHidden/>
    <w:rsid w:val="0008154C"/>
    <w:rPr>
      <w:color w:val="808080"/>
    </w:rPr>
  </w:style>
  <w:style w:type="paragraph" w:styleId="BalloonText">
    <w:name w:val="Balloon Text"/>
    <w:basedOn w:val="Normal"/>
    <w:link w:val="BalloonTextChar"/>
    <w:rsid w:val="000815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8154C"/>
    <w:rPr>
      <w:rFonts w:asciiTheme="majorHAnsi" w:eastAsiaTheme="majorEastAsia" w:hAnsiTheme="majorHAnsi" w:cstheme="majorBidi"/>
      <w:sz w:val="18"/>
      <w:szCs w:val="18"/>
      <w:lang w:val="en-US" w:eastAsia="ko-KR"/>
    </w:rPr>
  </w:style>
  <w:style w:type="paragraph" w:styleId="Caption">
    <w:name w:val="caption"/>
    <w:basedOn w:val="Normal"/>
    <w:next w:val="Normal"/>
    <w:unhideWhenUsed/>
    <w:qFormat/>
    <w:rsid w:val="00666FE9"/>
    <w:rPr>
      <w:b/>
      <w:bCs/>
      <w:sz w:val="21"/>
      <w:szCs w:val="21"/>
    </w:rPr>
  </w:style>
  <w:style w:type="paragraph" w:styleId="Date">
    <w:name w:val="Date"/>
    <w:basedOn w:val="Normal"/>
    <w:next w:val="Normal"/>
    <w:link w:val="DateChar"/>
    <w:semiHidden/>
    <w:unhideWhenUsed/>
    <w:rsid w:val="00B560EF"/>
  </w:style>
  <w:style w:type="character" w:customStyle="1" w:styleId="DateChar">
    <w:name w:val="Date Char"/>
    <w:basedOn w:val="DefaultParagraphFont"/>
    <w:link w:val="Date"/>
    <w:semiHidden/>
    <w:rsid w:val="00B560EF"/>
    <w:rPr>
      <w:rFonts w:ascii="Times New Roman" w:hAnsi="Times New Roman"/>
      <w:sz w:val="24"/>
      <w:szCs w:val="24"/>
      <w:lang w:val="en-US" w:eastAsia="ko-KR"/>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5235BA"/>
    <w:rPr>
      <w:sz w:val="20"/>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235BA"/>
    <w:rPr>
      <w:rFonts w:ascii="Times New Roman" w:hAnsi="Times New Roman"/>
      <w:lang w:val="en-US" w:eastAsia="ko-K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unhideWhenUsed/>
    <w:qFormat/>
    <w:rsid w:val="005235BA"/>
    <w:rPr>
      <w:vertAlign w:val="superscript"/>
    </w:rPr>
  </w:style>
  <w:style w:type="paragraph" w:styleId="PlainText">
    <w:name w:val="Plain Text"/>
    <w:basedOn w:val="Normal"/>
    <w:link w:val="PlainTextChar"/>
    <w:uiPriority w:val="99"/>
    <w:unhideWhenUsed/>
    <w:rsid w:val="0044588E"/>
    <w:rPr>
      <w:rFonts w:ascii="Consolas" w:eastAsiaTheme="minorHAnsi" w:hAnsi="Consolas" w:cs="Consolas"/>
      <w:sz w:val="21"/>
      <w:szCs w:val="21"/>
      <w:lang w:val="de-DE" w:eastAsia="en-US"/>
    </w:rPr>
  </w:style>
  <w:style w:type="character" w:customStyle="1" w:styleId="PlainTextChar">
    <w:name w:val="Plain Text Char"/>
    <w:basedOn w:val="DefaultParagraphFont"/>
    <w:link w:val="PlainText"/>
    <w:uiPriority w:val="99"/>
    <w:rsid w:val="0044588E"/>
    <w:rPr>
      <w:rFonts w:ascii="Consolas" w:eastAsiaTheme="minorHAnsi" w:hAnsi="Consolas" w:cs="Consolas"/>
      <w:sz w:val="21"/>
      <w:szCs w:val="21"/>
      <w:lang w:eastAsia="en-US"/>
    </w:rPr>
  </w:style>
  <w:style w:type="character" w:styleId="CommentReference">
    <w:name w:val="annotation reference"/>
    <w:basedOn w:val="DefaultParagraphFont"/>
    <w:semiHidden/>
    <w:unhideWhenUsed/>
    <w:rsid w:val="006B3F19"/>
    <w:rPr>
      <w:sz w:val="16"/>
      <w:szCs w:val="16"/>
    </w:rPr>
  </w:style>
  <w:style w:type="paragraph" w:styleId="CommentText">
    <w:name w:val="annotation text"/>
    <w:basedOn w:val="Normal"/>
    <w:link w:val="CommentTextChar"/>
    <w:semiHidden/>
    <w:unhideWhenUsed/>
    <w:rsid w:val="006B3F19"/>
    <w:rPr>
      <w:sz w:val="20"/>
      <w:szCs w:val="20"/>
    </w:rPr>
  </w:style>
  <w:style w:type="character" w:customStyle="1" w:styleId="CommentTextChar">
    <w:name w:val="Comment Text Char"/>
    <w:basedOn w:val="DefaultParagraphFont"/>
    <w:link w:val="CommentText"/>
    <w:semiHidden/>
    <w:rsid w:val="006B3F19"/>
    <w:rPr>
      <w:rFonts w:ascii="Times New Roman" w:hAnsi="Times New Roman"/>
      <w:lang w:val="en-US" w:eastAsia="ko-KR"/>
    </w:rPr>
  </w:style>
  <w:style w:type="paragraph" w:styleId="CommentSubject">
    <w:name w:val="annotation subject"/>
    <w:basedOn w:val="CommentText"/>
    <w:next w:val="CommentText"/>
    <w:link w:val="CommentSubjectChar"/>
    <w:semiHidden/>
    <w:unhideWhenUsed/>
    <w:rsid w:val="006B3F19"/>
    <w:rPr>
      <w:b/>
      <w:bCs/>
    </w:rPr>
  </w:style>
  <w:style w:type="character" w:customStyle="1" w:styleId="CommentSubjectChar">
    <w:name w:val="Comment Subject Char"/>
    <w:basedOn w:val="CommentTextChar"/>
    <w:link w:val="CommentSubject"/>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customStyle="1" w:styleId="UnresolvedMention1">
    <w:name w:val="Unresolved Mention1"/>
    <w:basedOn w:val="DefaultParagraphFont"/>
    <w:uiPriority w:val="99"/>
    <w:semiHidden/>
    <w:unhideWhenUsed/>
    <w:rsid w:val="0007605C"/>
    <w:rPr>
      <w:color w:val="605E5C"/>
      <w:shd w:val="clear" w:color="auto" w:fill="E1DFDD"/>
    </w:rPr>
  </w:style>
  <w:style w:type="paragraph" w:styleId="EndnoteText">
    <w:name w:val="endnote text"/>
    <w:basedOn w:val="Normal"/>
    <w:link w:val="EndnoteTextChar"/>
    <w:semiHidden/>
    <w:unhideWhenUsed/>
    <w:rsid w:val="001864A2"/>
    <w:pPr>
      <w:snapToGrid w:val="0"/>
    </w:pPr>
  </w:style>
  <w:style w:type="character" w:customStyle="1" w:styleId="EndnoteTextChar">
    <w:name w:val="Endnote Text Char"/>
    <w:basedOn w:val="DefaultParagraphFont"/>
    <w:link w:val="EndnoteText"/>
    <w:semiHidden/>
    <w:rsid w:val="001864A2"/>
    <w:rPr>
      <w:rFonts w:ascii="Times New Roman" w:hAnsi="Times New Roman"/>
      <w:sz w:val="24"/>
      <w:szCs w:val="24"/>
      <w:lang w:val="en-US" w:eastAsia="ko-KR"/>
    </w:rPr>
  </w:style>
  <w:style w:type="character" w:styleId="EndnoteReference">
    <w:name w:val="endnote reference"/>
    <w:basedOn w:val="DefaultParagraphFont"/>
    <w:semiHidden/>
    <w:unhideWhenUsed/>
    <w:rsid w:val="001864A2"/>
    <w:rPr>
      <w:vertAlign w:val="superscript"/>
    </w:rPr>
  </w:style>
  <w:style w:type="paragraph" w:customStyle="1" w:styleId="Note">
    <w:name w:val="Note"/>
    <w:basedOn w:val="Normal"/>
    <w:rsid w:val="0095191D"/>
    <w:pPr>
      <w:tabs>
        <w:tab w:val="left" w:pos="284"/>
        <w:tab w:val="left" w:pos="1134"/>
        <w:tab w:val="left" w:pos="1871"/>
        <w:tab w:val="left" w:pos="2268"/>
      </w:tabs>
      <w:spacing w:before="160"/>
      <w:jc w:val="both"/>
    </w:pPr>
    <w:rPr>
      <w:rFonts w:eastAsia="BatangChe"/>
      <w:noProof/>
      <w:sz w:val="20"/>
      <w:szCs w:val="20"/>
    </w:rPr>
  </w:style>
  <w:style w:type="character" w:styleId="FollowedHyperlink">
    <w:name w:val="FollowedHyperlink"/>
    <w:basedOn w:val="DefaultParagraphFont"/>
    <w:semiHidden/>
    <w:unhideWhenUsed/>
    <w:rsid w:val="0062626B"/>
    <w:rPr>
      <w:color w:val="5EAEFF" w:themeColor="followedHyperlink"/>
      <w:u w:val="single"/>
    </w:rPr>
  </w:style>
  <w:style w:type="table" w:styleId="TableGrid">
    <w:name w:val="Table Grid"/>
    <w:basedOn w:val="TableNormal"/>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Normal"/>
    <w:next w:val="Normal"/>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Normal"/>
    <w:rsid w:val="00761011"/>
    <w:pPr>
      <w:tabs>
        <w:tab w:val="left" w:pos="567"/>
        <w:tab w:val="left" w:pos="1701"/>
        <w:tab w:val="left" w:pos="2835"/>
      </w:tabs>
      <w:spacing w:before="240"/>
    </w:pPr>
    <w:rPr>
      <w:b w:val="0"/>
      <w:caps/>
    </w:rPr>
  </w:style>
  <w:style w:type="paragraph" w:customStyle="1" w:styleId="Title4">
    <w:name w:val="Title 4"/>
    <w:basedOn w:val="Normal"/>
    <w:next w:val="Heading1"/>
    <w:rsid w:val="00761011"/>
    <w:pPr>
      <w:tabs>
        <w:tab w:val="left" w:pos="1134"/>
        <w:tab w:val="left" w:pos="1871"/>
        <w:tab w:val="left" w:pos="2268"/>
      </w:tabs>
      <w:spacing w:before="240"/>
      <w:jc w:val="center"/>
    </w:pPr>
    <w:rPr>
      <w:rFonts w:eastAsia="MS Mincho"/>
      <w:b/>
      <w:sz w:val="28"/>
      <w:szCs w:val="20"/>
      <w:lang w:val="en-GB" w:eastAsia="en-US"/>
    </w:rPr>
  </w:style>
  <w:style w:type="paragraph" w:styleId="Revision">
    <w:name w:val="Revision"/>
    <w:hidden/>
    <w:uiPriority w:val="99"/>
    <w:semiHidden/>
    <w:rsid w:val="0049115E"/>
    <w:rPr>
      <w:rFonts w:ascii="Times New Roman" w:hAnsi="Times New Roman"/>
      <w:sz w:val="24"/>
      <w:szCs w:val="24"/>
      <w:lang w:val="en-US" w:eastAsia="ko-KR"/>
    </w:rPr>
  </w:style>
  <w:style w:type="paragraph" w:customStyle="1" w:styleId="FrameContents">
    <w:name w:val="Frame Contents"/>
    <w:basedOn w:val="Normal"/>
    <w:qFormat/>
    <w:rsid w:val="00E24F47"/>
    <w:pPr>
      <w:suppressAutoHyphens/>
    </w:pPr>
    <w:rPr>
      <w:rFonts w:eastAsia="Times New Roman"/>
      <w:sz w:val="22"/>
      <w:szCs w:val="20"/>
      <w:lang w:eastAsia="en-US"/>
    </w:rPr>
  </w:style>
  <w:style w:type="character" w:styleId="LineNumber">
    <w:name w:val="line number"/>
    <w:basedOn w:val="DefaultParagraphFont"/>
    <w:semiHidden/>
    <w:unhideWhenUsed/>
    <w:rsid w:val="000A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1101377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17238187">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eeexplore.ieee.org/document/104437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DBD33-2AF9-4B11-ABB1-BAB75526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24</TotalTime>
  <Pages>2</Pages>
  <Words>476</Words>
  <Characters>2714</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802.18-25/0005r4</vt:lpstr>
      <vt:lpstr>IEEE P802.15-25-0689-01-0thz</vt:lpstr>
      <vt:lpstr>IEEE P802.15-25-0xxx-00-0thz</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802.18-25/0005r5</dc:title>
  <dc:subject>Proposal of a liaison statement to ITU-R Working Parties 5A and 5C</dc:subject>
  <dc:creator>Ken Hiraga</dc:creator>
  <cp:lastModifiedBy>Edward Au</cp:lastModifiedBy>
  <cp:revision>22</cp:revision>
  <cp:lastPrinted>2012-04-16T11:57:00Z</cp:lastPrinted>
  <dcterms:created xsi:type="dcterms:W3CDTF">2025-02-06T08:33:00Z</dcterms:created>
  <dcterms:modified xsi:type="dcterms:W3CDTF">2025-04-29T21:33:00Z</dcterms:modified>
</cp:coreProperties>
</file>