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bookmarkStart w:id="0" w:name="_GoBack"/>
      <w:bookmarkEnd w:id="0"/>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48A5F711" w:rsidR="002E16F1" w:rsidRDefault="00C7299F" w:rsidP="007828C2">
            <w:pPr>
              <w:pStyle w:val="T2"/>
              <w:widowControl w:val="0"/>
              <w:rPr>
                <w:b w:val="0"/>
              </w:rPr>
            </w:pPr>
            <w:r>
              <w:rPr>
                <w:b w:val="0"/>
                <w:bCs/>
              </w:rPr>
              <w:t xml:space="preserve">Proposed </w:t>
            </w:r>
            <w:r w:rsidR="00E640DE" w:rsidRPr="00E640DE">
              <w:rPr>
                <w:b w:val="0"/>
                <w:bCs/>
              </w:rPr>
              <w:t>response to</w:t>
            </w:r>
            <w:r w:rsidR="00697BD5">
              <w:rPr>
                <w:b w:val="0"/>
                <w:bCs/>
              </w:rPr>
              <w:t xml:space="preserve"> </w:t>
            </w:r>
            <w:r w:rsidR="007828C2">
              <w:rPr>
                <w:b w:val="0"/>
                <w:bCs/>
              </w:rPr>
              <w:t>Japan MIC</w:t>
            </w:r>
            <w:r w:rsidR="007C5F7C">
              <w:rPr>
                <w:b w:val="0"/>
                <w:bCs/>
              </w:rPr>
              <w:t xml:space="preserve">’s consultation </w:t>
            </w:r>
            <w:r>
              <w:rPr>
                <w:b w:val="0"/>
                <w:bCs/>
              </w:rPr>
              <w:t xml:space="preserve">re </w:t>
            </w:r>
            <w:r w:rsidR="007828C2">
              <w:rPr>
                <w:b w:val="0"/>
                <w:bCs/>
              </w:rPr>
              <w:t>special exemption system</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3C819639" w:rsidR="002E16F1" w:rsidRDefault="007C1BD0" w:rsidP="00A9748D">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w:t>
            </w:r>
            <w:r w:rsidR="000B24C7">
              <w:rPr>
                <w:b w:val="0"/>
                <w:sz w:val="20"/>
              </w:rPr>
              <w:t>1</w:t>
            </w:r>
            <w:r>
              <w:rPr>
                <w:b w:val="0"/>
                <w:sz w:val="20"/>
              </w:rPr>
              <w:t>-</w:t>
            </w:r>
            <w:r w:rsidR="00774FDC">
              <w:rPr>
                <w:b w:val="0"/>
                <w:sz w:val="20"/>
              </w:rPr>
              <w:t>1</w:t>
            </w:r>
            <w:r w:rsidR="00A9748D">
              <w:rPr>
                <w:b w:val="0"/>
                <w:sz w:val="20"/>
              </w:rPr>
              <w:t>2</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14C2C2CA" w:rsidR="002E16F1" w:rsidRDefault="00DD713D">
            <w:pPr>
              <w:pStyle w:val="T2"/>
              <w:widowControl w:val="0"/>
              <w:spacing w:after="0"/>
              <w:ind w:left="0" w:right="0"/>
              <w:jc w:val="left"/>
              <w:rPr>
                <w:b w:val="0"/>
                <w:sz w:val="20"/>
              </w:rPr>
            </w:pPr>
            <w:r>
              <w:rPr>
                <w:b w:val="0"/>
                <w:sz w:val="20"/>
              </w:rPr>
              <w:t>E</w:t>
            </w:r>
            <w:r w:rsidR="00BB50B1">
              <w:rPr>
                <w:b w:val="0"/>
                <w:sz w:val="20"/>
              </w:rPr>
              <w:t>mail</w:t>
            </w:r>
          </w:p>
        </w:tc>
      </w:tr>
      <w:tr w:rsidR="002D3C14" w14:paraId="172AF237"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17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1025A03"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F62DF3">
                              <w:rPr>
                                <w:color w:val="000000"/>
                              </w:rPr>
                              <w:t>Japan</w:t>
                            </w:r>
                            <w:r w:rsidR="00E75F10">
                              <w:rPr>
                                <w:color w:val="000000"/>
                              </w:rPr>
                              <w:t xml:space="preserve"> Ministry of </w:t>
                            </w:r>
                            <w:r w:rsidR="00AB49D0">
                              <w:rPr>
                                <w:color w:val="000000"/>
                              </w:rPr>
                              <w:t>Internal Affairs and Communications</w:t>
                            </w:r>
                            <w:r w:rsidR="00F62DF3">
                              <w:rPr>
                                <w:color w:val="000000"/>
                              </w:rPr>
                              <w:t xml:space="preserve"> (MIC)’s</w:t>
                            </w:r>
                            <w:r w:rsidR="00A80C31" w:rsidRPr="00A80C31">
                              <w:rPr>
                                <w:color w:val="000000"/>
                              </w:rPr>
                              <w:t xml:space="preserve"> </w:t>
                            </w:r>
                            <w:r w:rsidR="00CD4962">
                              <w:rPr>
                                <w:color w:val="000000"/>
                              </w:rPr>
                              <w:t>c</w:t>
                            </w:r>
                            <w:r w:rsidR="00CD4962" w:rsidRPr="00CD4962">
                              <w:rPr>
                                <w:color w:val="000000"/>
                              </w:rPr>
                              <w:t>onsultation “</w:t>
                            </w:r>
                            <w:r w:rsidR="00FD3DAF" w:rsidRPr="00FD3DAF">
                              <w:rPr>
                                <w:color w:val="000000"/>
                              </w:rPr>
                              <w:t>Call for opinions on the proposed ministerial ordinance to amend part of the Radio Law Enforcement Regulations: Addition of systems and bands to the special exemption system for non-technical equipment</w:t>
                            </w:r>
                            <w:r w:rsidR="00CD4962" w:rsidRPr="00CD4962">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71025A03"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F62DF3">
                        <w:rPr>
                          <w:color w:val="000000"/>
                        </w:rPr>
                        <w:t>Japan</w:t>
                      </w:r>
                      <w:r w:rsidR="00E75F10">
                        <w:rPr>
                          <w:color w:val="000000"/>
                        </w:rPr>
                        <w:t xml:space="preserve"> Ministry of </w:t>
                      </w:r>
                      <w:r w:rsidR="00AB49D0">
                        <w:rPr>
                          <w:color w:val="000000"/>
                        </w:rPr>
                        <w:t>Internal Affairs and Communications</w:t>
                      </w:r>
                      <w:r w:rsidR="00F62DF3">
                        <w:rPr>
                          <w:color w:val="000000"/>
                        </w:rPr>
                        <w:t xml:space="preserve"> (MIC)’s</w:t>
                      </w:r>
                      <w:r w:rsidR="00A80C31" w:rsidRPr="00A80C31">
                        <w:rPr>
                          <w:color w:val="000000"/>
                        </w:rPr>
                        <w:t xml:space="preserve"> </w:t>
                      </w:r>
                      <w:r w:rsidR="00CD4962">
                        <w:rPr>
                          <w:color w:val="000000"/>
                        </w:rPr>
                        <w:t>c</w:t>
                      </w:r>
                      <w:r w:rsidR="00CD4962" w:rsidRPr="00CD4962">
                        <w:rPr>
                          <w:color w:val="000000"/>
                        </w:rPr>
                        <w:t>onsultation “</w:t>
                      </w:r>
                      <w:r w:rsidR="00FD3DAF" w:rsidRPr="00FD3DAF">
                        <w:rPr>
                          <w:color w:val="000000"/>
                        </w:rPr>
                        <w:t>Call for opinions on the proposed ministerial ordinance to amend part of the Radio Law Enforcement Regulations: Addition of systems and bands to the special exemption system for non-technical equipment</w:t>
                      </w:r>
                      <w:r w:rsidR="00CD4962" w:rsidRPr="00CD4962">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007321EE"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CD4962">
        <w:rPr>
          <w:sz w:val="24"/>
          <w:szCs w:val="24"/>
        </w:rPr>
        <w:t xml:space="preserve">November </w:t>
      </w:r>
      <w:r w:rsidR="00472C98">
        <w:rPr>
          <w:sz w:val="24"/>
          <w:szCs w:val="24"/>
        </w:rPr>
        <w:t>18</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7D8AF27C" w14:textId="23FF4605"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2A548E">
        <w:rPr>
          <w:sz w:val="24"/>
          <w:szCs w:val="24"/>
        </w:rPr>
        <w:t>“</w:t>
      </w:r>
      <w:r w:rsidR="00845251" w:rsidRPr="00845251">
        <w:rPr>
          <w:sz w:val="24"/>
          <w:szCs w:val="24"/>
        </w:rPr>
        <w:t>Call for opinions on the proposed ministerial ordinance to amend part of the Radio Law Enforcement Regulations: Addition of systems and bands to the special exemption system for non-technical equipment</w:t>
      </w:r>
      <w:r w:rsidR="00845251">
        <w:rPr>
          <w:sz w:val="24"/>
          <w:szCs w:val="24"/>
        </w:rPr>
        <w:t>”</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4ABF753F" w:rsidR="009A2E06" w:rsidRDefault="00FB5724" w:rsidP="00DB1DC3">
      <w:pPr>
        <w:pStyle w:val="BodyA"/>
        <w:jc w:val="both"/>
        <w:rPr>
          <w:rStyle w:val="None"/>
          <w:sz w:val="24"/>
          <w:szCs w:val="24"/>
        </w:rPr>
      </w:pPr>
      <w:r w:rsidRPr="00A9748D">
        <w:rPr>
          <w:rStyle w:val="None"/>
          <w:sz w:val="24"/>
          <w:szCs w:val="24"/>
        </w:rPr>
        <w:t xml:space="preserve">IEEE 802 LAN/MAN Standards Committee (LMSC) thanks </w:t>
      </w:r>
      <w:r w:rsidR="00A9748D" w:rsidRPr="00A9748D">
        <w:rPr>
          <w:rStyle w:val="None"/>
          <w:sz w:val="24"/>
          <w:szCs w:val="24"/>
        </w:rPr>
        <w:t>Ministry of Internal Affairs and Communications (MIC</w:t>
      </w:r>
      <w:r w:rsidR="00CD4962" w:rsidRPr="00A9748D">
        <w:rPr>
          <w:rStyle w:val="None"/>
          <w:sz w:val="24"/>
          <w:szCs w:val="24"/>
        </w:rPr>
        <w:t>)</w:t>
      </w:r>
      <w:r w:rsidRPr="00A9748D">
        <w:rPr>
          <w:rStyle w:val="None"/>
          <w:sz w:val="24"/>
          <w:szCs w:val="24"/>
        </w:rPr>
        <w:t xml:space="preserve"> for providing an opportunity to comment on </w:t>
      </w:r>
      <w:r w:rsidR="00315419" w:rsidRPr="00A9748D">
        <w:rPr>
          <w:rStyle w:val="None"/>
          <w:sz w:val="24"/>
          <w:szCs w:val="24"/>
        </w:rPr>
        <w:t xml:space="preserve">the </w:t>
      </w:r>
      <w:r w:rsidR="00462319" w:rsidRPr="00A9748D">
        <w:rPr>
          <w:sz w:val="24"/>
          <w:szCs w:val="24"/>
        </w:rPr>
        <w:t>consultation “</w:t>
      </w:r>
      <w:r w:rsidR="00845251" w:rsidRPr="00A9748D">
        <w:rPr>
          <w:sz w:val="24"/>
          <w:szCs w:val="24"/>
        </w:rPr>
        <w:t>Call for opinions on the proposed ministerial ordinance to amend part of the Radio Law Enforcement Regulations: Addition of systems and bands to the special exemption system for non-technical equipment</w:t>
      </w:r>
      <w:r w:rsidR="00462319" w:rsidRPr="00A9748D">
        <w:rPr>
          <w:sz w:val="24"/>
          <w:szCs w:val="24"/>
        </w:rPr>
        <w:t>”</w:t>
      </w:r>
      <w:r w:rsidRPr="00A9748D">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0AEC07EF"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IEEE has about 400,000 members in over 160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sidR="004244D7">
        <w:rPr>
          <w:rStyle w:val="None"/>
          <w:sz w:val="24"/>
          <w:szCs w:val="24"/>
        </w:rPr>
        <w:t>IEEE 802 LMSC</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65F5DE97" w14:textId="3E3C5840" w:rsidR="00FC20DA" w:rsidRDefault="00397105" w:rsidP="007C1BD0">
      <w:pPr>
        <w:jc w:val="both"/>
        <w:rPr>
          <w:sz w:val="24"/>
          <w:szCs w:val="24"/>
        </w:rPr>
      </w:pPr>
      <w:r w:rsidRPr="00397105">
        <w:rPr>
          <w:sz w:val="24"/>
          <w:szCs w:val="24"/>
        </w:rPr>
        <w:t>Please find below the responses of IEEE 802 LMSC to this consultation.</w:t>
      </w:r>
    </w:p>
    <w:p w14:paraId="1428EE0E" w14:textId="77777777" w:rsidR="00397105" w:rsidRDefault="00397105" w:rsidP="007C1BD0">
      <w:pPr>
        <w:jc w:val="both"/>
        <w:rPr>
          <w:sz w:val="24"/>
          <w:szCs w:val="24"/>
        </w:rPr>
      </w:pPr>
    </w:p>
    <w:p w14:paraId="1ED3E5D8" w14:textId="5F3780D7" w:rsidR="00A9748D" w:rsidRPr="00A9748D" w:rsidRDefault="00A9748D" w:rsidP="007C1BD0">
      <w:pPr>
        <w:jc w:val="both"/>
        <w:rPr>
          <w:b/>
          <w:sz w:val="24"/>
          <w:szCs w:val="24"/>
        </w:rPr>
      </w:pPr>
      <w:r w:rsidRPr="00A9748D">
        <w:rPr>
          <w:b/>
          <w:sz w:val="24"/>
          <w:szCs w:val="24"/>
        </w:rPr>
        <w:t>Propos</w:t>
      </w:r>
      <w:r>
        <w:rPr>
          <w:b/>
          <w:sz w:val="24"/>
          <w:szCs w:val="24"/>
        </w:rPr>
        <w:t xml:space="preserve">ed </w:t>
      </w:r>
      <w:r w:rsidR="00DD713D">
        <w:rPr>
          <w:b/>
          <w:sz w:val="24"/>
          <w:szCs w:val="24"/>
        </w:rPr>
        <w:t>amendment</w:t>
      </w:r>
      <w:r w:rsidRPr="00A9748D">
        <w:rPr>
          <w:b/>
          <w:sz w:val="24"/>
          <w:szCs w:val="24"/>
        </w:rPr>
        <w:t xml:space="preserve"> on the 90-day rule</w:t>
      </w:r>
    </w:p>
    <w:p w14:paraId="427BCCB0" w14:textId="77777777" w:rsidR="00A9748D" w:rsidRDefault="00A9748D" w:rsidP="007C1BD0">
      <w:pPr>
        <w:jc w:val="both"/>
        <w:rPr>
          <w:sz w:val="24"/>
          <w:szCs w:val="24"/>
        </w:rPr>
      </w:pPr>
    </w:p>
    <w:p w14:paraId="7F3283CB" w14:textId="6E3D1788" w:rsidR="004C48FB" w:rsidRPr="004C48FB" w:rsidRDefault="004C48FB" w:rsidP="004C48FB">
      <w:pPr>
        <w:jc w:val="both"/>
        <w:rPr>
          <w:sz w:val="24"/>
          <w:szCs w:val="24"/>
        </w:rPr>
      </w:pPr>
      <w:r w:rsidRPr="004C48FB">
        <w:rPr>
          <w:sz w:val="24"/>
          <w:szCs w:val="24"/>
        </w:rPr>
        <w:t xml:space="preserve">Ultra-Wide Band (UWB) devices, as specified in IEEE 802.15 standards, are being used worldwide for a wide range of applications in communication, measurement, location, imaging, surveillance, and medical </w:t>
      </w:r>
      <w:r w:rsidRPr="006604CA">
        <w:rPr>
          <w:sz w:val="24"/>
          <w:szCs w:val="24"/>
        </w:rPr>
        <w:t>systems</w:t>
      </w:r>
      <w:r>
        <w:rPr>
          <w:rStyle w:val="FootnoteReference"/>
          <w:sz w:val="24"/>
          <w:szCs w:val="24"/>
        </w:rPr>
        <w:footnoteReference w:id="2"/>
      </w:r>
      <w:r w:rsidRPr="004C48FB">
        <w:rPr>
          <w:sz w:val="24"/>
          <w:szCs w:val="24"/>
        </w:rPr>
        <w:t xml:space="preserve">, often in conjunction with other short range device technologies. UWB enhances the operation of such technologies and is an efficient means to share spectrum.  </w:t>
      </w:r>
    </w:p>
    <w:p w14:paraId="4FF6EC52" w14:textId="77777777" w:rsidR="004C48FB" w:rsidRPr="004C48FB" w:rsidRDefault="004C48FB" w:rsidP="004C48FB">
      <w:pPr>
        <w:jc w:val="both"/>
        <w:rPr>
          <w:sz w:val="24"/>
          <w:szCs w:val="24"/>
        </w:rPr>
      </w:pPr>
    </w:p>
    <w:p w14:paraId="4ED4DD14" w14:textId="721ED1C0" w:rsidR="004C48FB" w:rsidRPr="004C48FB" w:rsidRDefault="004C48FB" w:rsidP="004C48FB">
      <w:pPr>
        <w:jc w:val="both"/>
        <w:rPr>
          <w:sz w:val="24"/>
          <w:szCs w:val="24"/>
        </w:rPr>
      </w:pPr>
      <w:r w:rsidRPr="004C48FB">
        <w:rPr>
          <w:sz w:val="24"/>
          <w:szCs w:val="24"/>
        </w:rPr>
        <w:t>The next generation of UWB technol</w:t>
      </w:r>
      <w:r w:rsidR="009C7DFE">
        <w:rPr>
          <w:sz w:val="24"/>
          <w:szCs w:val="24"/>
        </w:rPr>
        <w:t xml:space="preserve">ogy, being developed under </w:t>
      </w:r>
      <w:r w:rsidR="009C7DFE" w:rsidRPr="006604CA">
        <w:rPr>
          <w:sz w:val="24"/>
          <w:szCs w:val="24"/>
        </w:rPr>
        <w:t>IEEE P802.15.4ab</w:t>
      </w:r>
      <w:r w:rsidR="009C7DFE">
        <w:rPr>
          <w:rStyle w:val="FootnoteReference"/>
          <w:sz w:val="24"/>
          <w:szCs w:val="24"/>
        </w:rPr>
        <w:footnoteReference w:id="3"/>
      </w:r>
      <w:r w:rsidRPr="004C48FB">
        <w:rPr>
          <w:sz w:val="24"/>
          <w:szCs w:val="24"/>
        </w:rPr>
        <w:t xml:space="preserve">, builds on </w:t>
      </w:r>
      <w:r w:rsidR="003F7EB1" w:rsidRPr="006604CA">
        <w:rPr>
          <w:sz w:val="24"/>
          <w:szCs w:val="24"/>
        </w:rPr>
        <w:t xml:space="preserve">IEEE </w:t>
      </w:r>
      <w:proofErr w:type="spellStart"/>
      <w:proofErr w:type="gramStart"/>
      <w:r w:rsidR="003F7EB1" w:rsidRPr="006604CA">
        <w:rPr>
          <w:sz w:val="24"/>
          <w:szCs w:val="24"/>
        </w:rPr>
        <w:t>Std</w:t>
      </w:r>
      <w:proofErr w:type="spellEnd"/>
      <w:proofErr w:type="gramEnd"/>
      <w:r w:rsidR="003F7EB1" w:rsidRPr="006604CA">
        <w:rPr>
          <w:sz w:val="24"/>
          <w:szCs w:val="24"/>
        </w:rPr>
        <w:t xml:space="preserve"> 802.15.4z-2020</w:t>
      </w:r>
      <w:r w:rsidR="003F7EB1">
        <w:rPr>
          <w:rStyle w:val="FootnoteReference"/>
          <w:sz w:val="24"/>
          <w:szCs w:val="24"/>
        </w:rPr>
        <w:footnoteReference w:id="4"/>
      </w:r>
      <w:r w:rsidRPr="004C48FB">
        <w:rPr>
          <w:sz w:val="24"/>
          <w:szCs w:val="24"/>
        </w:rPr>
        <w:t xml:space="preserve">. </w:t>
      </w:r>
      <w:r w:rsidR="00EB04FF">
        <w:rPr>
          <w:sz w:val="24"/>
          <w:szCs w:val="24"/>
        </w:rPr>
        <w:t>Projected f</w:t>
      </w:r>
      <w:r w:rsidRPr="004C48FB">
        <w:rPr>
          <w:sz w:val="24"/>
          <w:szCs w:val="24"/>
        </w:rPr>
        <w:t>uture developments supported by this project include:</w:t>
      </w:r>
    </w:p>
    <w:p w14:paraId="5732398E" w14:textId="77777777" w:rsidR="004C48FB" w:rsidRPr="004C48FB" w:rsidRDefault="004C48FB" w:rsidP="004C48FB">
      <w:pPr>
        <w:jc w:val="both"/>
        <w:rPr>
          <w:sz w:val="24"/>
          <w:szCs w:val="24"/>
        </w:rPr>
      </w:pPr>
      <w:r w:rsidRPr="004C48FB">
        <w:rPr>
          <w:sz w:val="24"/>
          <w:szCs w:val="24"/>
        </w:rPr>
        <w:lastRenderedPageBreak/>
        <w:t>•</w:t>
      </w:r>
      <w:r w:rsidRPr="004C48FB">
        <w:rPr>
          <w:sz w:val="24"/>
          <w:szCs w:val="24"/>
        </w:rPr>
        <w:tab/>
        <w:t>Improved link budget and reduced air-time</w:t>
      </w:r>
    </w:p>
    <w:p w14:paraId="3CD6EF01" w14:textId="77777777" w:rsidR="004C48FB" w:rsidRPr="004C48FB" w:rsidRDefault="004C48FB" w:rsidP="004C48FB">
      <w:pPr>
        <w:jc w:val="both"/>
        <w:rPr>
          <w:sz w:val="24"/>
          <w:szCs w:val="24"/>
        </w:rPr>
      </w:pPr>
      <w:r w:rsidRPr="004C48FB">
        <w:rPr>
          <w:sz w:val="24"/>
          <w:szCs w:val="24"/>
        </w:rPr>
        <w:t>•</w:t>
      </w:r>
      <w:r w:rsidRPr="004C48FB">
        <w:rPr>
          <w:sz w:val="24"/>
          <w:szCs w:val="24"/>
        </w:rPr>
        <w:tab/>
        <w:t>Enhanced sensing capabilities for presence detection and environment mapping</w:t>
      </w:r>
    </w:p>
    <w:p w14:paraId="1C9BBADA" w14:textId="77777777" w:rsidR="004C48FB" w:rsidRPr="004C48FB" w:rsidRDefault="004C48FB" w:rsidP="004C48FB">
      <w:pPr>
        <w:jc w:val="both"/>
        <w:rPr>
          <w:sz w:val="24"/>
          <w:szCs w:val="24"/>
        </w:rPr>
      </w:pPr>
      <w:r w:rsidRPr="004C48FB">
        <w:rPr>
          <w:sz w:val="24"/>
          <w:szCs w:val="24"/>
        </w:rPr>
        <w:t>•</w:t>
      </w:r>
      <w:r w:rsidRPr="004C48FB">
        <w:rPr>
          <w:sz w:val="24"/>
          <w:szCs w:val="24"/>
        </w:rPr>
        <w:tab/>
        <w:t>Improved accuracy, precision, and reliability for high-integrity ranging</w:t>
      </w:r>
    </w:p>
    <w:p w14:paraId="1D5C0D99" w14:textId="61A84F79" w:rsidR="004C48FB" w:rsidRPr="004C48FB" w:rsidRDefault="004C48FB" w:rsidP="004C48FB">
      <w:pPr>
        <w:jc w:val="both"/>
        <w:rPr>
          <w:sz w:val="24"/>
          <w:szCs w:val="24"/>
        </w:rPr>
      </w:pPr>
      <w:r w:rsidRPr="004C48FB">
        <w:rPr>
          <w:sz w:val="24"/>
          <w:szCs w:val="24"/>
        </w:rPr>
        <w:t>•</w:t>
      </w:r>
      <w:r w:rsidRPr="004C48FB">
        <w:rPr>
          <w:sz w:val="24"/>
          <w:szCs w:val="24"/>
        </w:rPr>
        <w:tab/>
        <w:t xml:space="preserve">The use of interference mitigation techniques to support greater device density and higher </w:t>
      </w:r>
      <w:r w:rsidR="00516038">
        <w:rPr>
          <w:sz w:val="24"/>
          <w:szCs w:val="24"/>
        </w:rPr>
        <w:tab/>
      </w:r>
      <w:r w:rsidRPr="004C48FB">
        <w:rPr>
          <w:sz w:val="24"/>
          <w:szCs w:val="24"/>
        </w:rPr>
        <w:t>traffic use cases</w:t>
      </w:r>
    </w:p>
    <w:p w14:paraId="6F82563C" w14:textId="77777777" w:rsidR="004C48FB" w:rsidRPr="004C48FB" w:rsidRDefault="004C48FB" w:rsidP="004C48FB">
      <w:pPr>
        <w:jc w:val="both"/>
        <w:rPr>
          <w:sz w:val="24"/>
          <w:szCs w:val="24"/>
        </w:rPr>
      </w:pPr>
      <w:r w:rsidRPr="004C48FB">
        <w:rPr>
          <w:sz w:val="24"/>
          <w:szCs w:val="24"/>
        </w:rPr>
        <w:t>•</w:t>
      </w:r>
      <w:r w:rsidRPr="004C48FB">
        <w:rPr>
          <w:sz w:val="24"/>
          <w:szCs w:val="24"/>
        </w:rPr>
        <w:tab/>
        <w:t>Improved coexistence with other services</w:t>
      </w:r>
    </w:p>
    <w:p w14:paraId="763329B7" w14:textId="77777777" w:rsidR="004C48FB" w:rsidRPr="004C48FB" w:rsidRDefault="004C48FB" w:rsidP="004C48FB">
      <w:pPr>
        <w:jc w:val="both"/>
        <w:rPr>
          <w:sz w:val="24"/>
          <w:szCs w:val="24"/>
        </w:rPr>
      </w:pPr>
      <w:r w:rsidRPr="004C48FB">
        <w:rPr>
          <w:sz w:val="24"/>
          <w:szCs w:val="24"/>
        </w:rPr>
        <w:t>•</w:t>
      </w:r>
      <w:r w:rsidRPr="004C48FB">
        <w:rPr>
          <w:sz w:val="24"/>
          <w:szCs w:val="24"/>
        </w:rPr>
        <w:tab/>
        <w:t>Reduced complexity and power consumption</w:t>
      </w:r>
    </w:p>
    <w:p w14:paraId="23D43D4E" w14:textId="77777777" w:rsidR="004C48FB" w:rsidRPr="004C48FB" w:rsidRDefault="004C48FB" w:rsidP="004C48FB">
      <w:pPr>
        <w:jc w:val="both"/>
        <w:rPr>
          <w:sz w:val="24"/>
          <w:szCs w:val="24"/>
        </w:rPr>
      </w:pPr>
      <w:r w:rsidRPr="004C48FB">
        <w:rPr>
          <w:sz w:val="24"/>
          <w:szCs w:val="24"/>
        </w:rPr>
        <w:t>•</w:t>
      </w:r>
      <w:r w:rsidRPr="004C48FB">
        <w:rPr>
          <w:sz w:val="24"/>
          <w:szCs w:val="24"/>
        </w:rPr>
        <w:tab/>
        <w:t>Enhanced support for ultra-low power, low latency streaming</w:t>
      </w:r>
    </w:p>
    <w:p w14:paraId="20409B80" w14:textId="77777777" w:rsidR="004C48FB" w:rsidRPr="004C48FB" w:rsidRDefault="004C48FB" w:rsidP="004C48FB">
      <w:pPr>
        <w:jc w:val="both"/>
        <w:rPr>
          <w:sz w:val="24"/>
          <w:szCs w:val="24"/>
        </w:rPr>
      </w:pPr>
      <w:r w:rsidRPr="004C48FB">
        <w:rPr>
          <w:sz w:val="24"/>
          <w:szCs w:val="24"/>
        </w:rPr>
        <w:t>•</w:t>
      </w:r>
      <w:r w:rsidRPr="004C48FB">
        <w:rPr>
          <w:sz w:val="24"/>
          <w:szCs w:val="24"/>
        </w:rPr>
        <w:tab/>
        <w:t>Support for emerging applications such as high-definition audio</w:t>
      </w:r>
    </w:p>
    <w:p w14:paraId="6E821228" w14:textId="77777777" w:rsidR="004C48FB" w:rsidRDefault="004C48FB" w:rsidP="007C1BD0">
      <w:pPr>
        <w:jc w:val="both"/>
        <w:rPr>
          <w:sz w:val="24"/>
          <w:szCs w:val="24"/>
        </w:rPr>
      </w:pPr>
    </w:p>
    <w:p w14:paraId="10FDB64B" w14:textId="7B27F761" w:rsidR="00516038" w:rsidRDefault="00CD29D5" w:rsidP="007C1BD0">
      <w:pPr>
        <w:jc w:val="both"/>
        <w:rPr>
          <w:sz w:val="24"/>
          <w:szCs w:val="24"/>
        </w:rPr>
      </w:pPr>
      <w:r w:rsidRPr="00B41850">
        <w:rPr>
          <w:sz w:val="24"/>
          <w:szCs w:val="24"/>
        </w:rPr>
        <w:t>IEEE 802 LMSC follows</w:t>
      </w:r>
      <w:r>
        <w:rPr>
          <w:sz w:val="24"/>
          <w:szCs w:val="24"/>
        </w:rPr>
        <w:t xml:space="preserve"> Japan</w:t>
      </w:r>
      <w:r w:rsidRPr="00B41850">
        <w:rPr>
          <w:sz w:val="24"/>
          <w:szCs w:val="24"/>
        </w:rPr>
        <w:t xml:space="preserve">’s regulatory activities regarding </w:t>
      </w:r>
      <w:r>
        <w:rPr>
          <w:sz w:val="24"/>
          <w:szCs w:val="24"/>
        </w:rPr>
        <w:t xml:space="preserve">license-exempt short-range devices closely and </w:t>
      </w:r>
      <w:r w:rsidR="0048663E" w:rsidRPr="0048663E">
        <w:rPr>
          <w:sz w:val="24"/>
          <w:szCs w:val="24"/>
        </w:rPr>
        <w:t xml:space="preserve">commends </w:t>
      </w:r>
      <w:r w:rsidR="0048663E">
        <w:rPr>
          <w:sz w:val="24"/>
          <w:szCs w:val="24"/>
        </w:rPr>
        <w:t>MIC</w:t>
      </w:r>
      <w:r w:rsidR="0048663E" w:rsidRPr="0048663E">
        <w:rPr>
          <w:sz w:val="24"/>
          <w:szCs w:val="24"/>
        </w:rPr>
        <w:t xml:space="preserve"> for recognizing the rapidly growing value of UWB</w:t>
      </w:r>
      <w:r w:rsidR="00927908">
        <w:rPr>
          <w:sz w:val="24"/>
          <w:szCs w:val="24"/>
        </w:rPr>
        <w:t xml:space="preserve">, whose </w:t>
      </w:r>
      <w:r w:rsidR="00927908" w:rsidRPr="00927908">
        <w:rPr>
          <w:sz w:val="24"/>
          <w:szCs w:val="24"/>
        </w:rPr>
        <w:t>deployments are now cumulatively consisting of over a billi</w:t>
      </w:r>
      <w:r w:rsidR="00927908">
        <w:rPr>
          <w:sz w:val="24"/>
          <w:szCs w:val="24"/>
        </w:rPr>
        <w:t>on devices and continue to grow.</w:t>
      </w:r>
      <w:r w:rsidR="0048663E" w:rsidRPr="0048663E">
        <w:rPr>
          <w:sz w:val="24"/>
          <w:szCs w:val="24"/>
        </w:rPr>
        <w:t xml:space="preserve"> </w:t>
      </w:r>
    </w:p>
    <w:p w14:paraId="6D540009" w14:textId="77777777" w:rsidR="007E4A51" w:rsidRDefault="007E4A51" w:rsidP="007C1BD0">
      <w:pPr>
        <w:jc w:val="both"/>
        <w:rPr>
          <w:sz w:val="24"/>
          <w:szCs w:val="24"/>
        </w:rPr>
      </w:pPr>
    </w:p>
    <w:p w14:paraId="27B02E82" w14:textId="4590A124" w:rsidR="001E03C8" w:rsidRDefault="001E03C8" w:rsidP="001E03C8">
      <w:pPr>
        <w:jc w:val="both"/>
        <w:rPr>
          <w:sz w:val="24"/>
          <w:szCs w:val="24"/>
        </w:rPr>
      </w:pPr>
      <w:r>
        <w:rPr>
          <w:sz w:val="24"/>
          <w:szCs w:val="24"/>
        </w:rPr>
        <w:t xml:space="preserve">We agree with the MIC’s proposal that allows </w:t>
      </w:r>
      <w:r w:rsidRPr="007E4A51">
        <w:rPr>
          <w:sz w:val="24"/>
          <w:szCs w:val="24"/>
        </w:rPr>
        <w:t>tourists visiting Japan to use</w:t>
      </w:r>
      <w:r>
        <w:rPr>
          <w:sz w:val="24"/>
          <w:szCs w:val="24"/>
        </w:rPr>
        <w:t xml:space="preserve"> the UWB devices</w:t>
      </w:r>
      <w:r w:rsidRPr="007E4A51">
        <w:rPr>
          <w:sz w:val="24"/>
          <w:szCs w:val="24"/>
        </w:rPr>
        <w:t xml:space="preserve"> brought in by them for a limited period of 90 days from the date of entry into the country, provided that the </w:t>
      </w:r>
      <w:r>
        <w:rPr>
          <w:sz w:val="24"/>
          <w:szCs w:val="24"/>
        </w:rPr>
        <w:t>UWB devices</w:t>
      </w:r>
      <w:r w:rsidRPr="007E4A51">
        <w:rPr>
          <w:sz w:val="24"/>
          <w:szCs w:val="24"/>
        </w:rPr>
        <w:t xml:space="preserve"> meets certain</w:t>
      </w:r>
      <w:r>
        <w:rPr>
          <w:sz w:val="24"/>
          <w:szCs w:val="24"/>
        </w:rPr>
        <w:t xml:space="preserve"> </w:t>
      </w:r>
      <w:r w:rsidRPr="007E4A51">
        <w:rPr>
          <w:sz w:val="24"/>
          <w:szCs w:val="24"/>
        </w:rPr>
        <w:t xml:space="preserve">conditions, </w:t>
      </w:r>
      <w:r>
        <w:rPr>
          <w:sz w:val="24"/>
          <w:szCs w:val="24"/>
        </w:rPr>
        <w:t>especially,</w:t>
      </w:r>
      <w:r w:rsidRPr="007E4A51">
        <w:rPr>
          <w:sz w:val="24"/>
          <w:szCs w:val="24"/>
        </w:rPr>
        <w:t xml:space="preserve"> conforming to </w:t>
      </w:r>
      <w:r>
        <w:rPr>
          <w:sz w:val="24"/>
          <w:szCs w:val="24"/>
        </w:rPr>
        <w:t xml:space="preserve">IEEE </w:t>
      </w:r>
      <w:proofErr w:type="spellStart"/>
      <w:r w:rsidR="00813FEE">
        <w:rPr>
          <w:sz w:val="24"/>
          <w:szCs w:val="24"/>
        </w:rPr>
        <w:t>Std</w:t>
      </w:r>
      <w:proofErr w:type="spellEnd"/>
      <w:r w:rsidR="00813FEE">
        <w:rPr>
          <w:sz w:val="24"/>
          <w:szCs w:val="24"/>
        </w:rPr>
        <w:t xml:space="preserve"> </w:t>
      </w:r>
      <w:r>
        <w:rPr>
          <w:sz w:val="24"/>
          <w:szCs w:val="24"/>
        </w:rPr>
        <w:t>802.15.4</w:t>
      </w:r>
      <w:r w:rsidR="00813FEE">
        <w:rPr>
          <w:sz w:val="24"/>
          <w:szCs w:val="24"/>
        </w:rPr>
        <w:t>-2020</w:t>
      </w:r>
      <w:r w:rsidR="00FB2633">
        <w:rPr>
          <w:sz w:val="24"/>
          <w:szCs w:val="24"/>
        </w:rPr>
        <w:t xml:space="preserve"> and IEEE </w:t>
      </w:r>
      <w:proofErr w:type="spellStart"/>
      <w:r w:rsidR="00813FEE">
        <w:rPr>
          <w:sz w:val="24"/>
          <w:szCs w:val="24"/>
        </w:rPr>
        <w:t>Std</w:t>
      </w:r>
      <w:proofErr w:type="spellEnd"/>
      <w:r w:rsidR="00813FEE">
        <w:rPr>
          <w:sz w:val="24"/>
          <w:szCs w:val="24"/>
        </w:rPr>
        <w:t xml:space="preserve"> </w:t>
      </w:r>
      <w:r w:rsidR="00967B94">
        <w:rPr>
          <w:sz w:val="24"/>
          <w:szCs w:val="24"/>
        </w:rPr>
        <w:t xml:space="preserve">802.15.4z-2020 </w:t>
      </w:r>
      <w:r w:rsidRPr="007E4A51">
        <w:rPr>
          <w:sz w:val="24"/>
          <w:szCs w:val="24"/>
        </w:rPr>
        <w:t>set forth in the Radio Law.</w:t>
      </w:r>
    </w:p>
    <w:p w14:paraId="50FF94F1" w14:textId="77777777" w:rsidR="007E4A51" w:rsidRDefault="007E4A51" w:rsidP="007C1BD0">
      <w:pPr>
        <w:jc w:val="both"/>
        <w:rPr>
          <w:sz w:val="24"/>
          <w:szCs w:val="24"/>
        </w:rPr>
      </w:pPr>
    </w:p>
    <w:p w14:paraId="3FB4E59F" w14:textId="47FB2376" w:rsidR="00A9748D" w:rsidRPr="00A9748D" w:rsidRDefault="00A9748D" w:rsidP="00A9748D">
      <w:pPr>
        <w:jc w:val="both"/>
        <w:rPr>
          <w:b/>
          <w:sz w:val="24"/>
          <w:szCs w:val="24"/>
        </w:rPr>
      </w:pPr>
      <w:r w:rsidRPr="00A9748D">
        <w:rPr>
          <w:b/>
          <w:sz w:val="24"/>
          <w:szCs w:val="24"/>
        </w:rPr>
        <w:t>Propos</w:t>
      </w:r>
      <w:r>
        <w:rPr>
          <w:b/>
          <w:sz w:val="24"/>
          <w:szCs w:val="24"/>
        </w:rPr>
        <w:t xml:space="preserve">ed </w:t>
      </w:r>
      <w:r w:rsidR="00967B94">
        <w:rPr>
          <w:b/>
          <w:sz w:val="24"/>
          <w:szCs w:val="24"/>
        </w:rPr>
        <w:t xml:space="preserve">amendment </w:t>
      </w:r>
      <w:r>
        <w:rPr>
          <w:b/>
          <w:sz w:val="24"/>
          <w:szCs w:val="24"/>
        </w:rPr>
        <w:t>on the 18</w:t>
      </w:r>
      <w:r w:rsidRPr="00A9748D">
        <w:rPr>
          <w:b/>
          <w:sz w:val="24"/>
          <w:szCs w:val="24"/>
        </w:rPr>
        <w:t>0-day rule</w:t>
      </w:r>
    </w:p>
    <w:p w14:paraId="716FC624" w14:textId="77777777" w:rsidR="007A6748" w:rsidRDefault="007A6748" w:rsidP="007C1BD0">
      <w:pPr>
        <w:jc w:val="both"/>
        <w:rPr>
          <w:sz w:val="24"/>
          <w:szCs w:val="24"/>
        </w:rPr>
      </w:pPr>
    </w:p>
    <w:p w14:paraId="1C66E0CD" w14:textId="43C7A119" w:rsidR="007A6748" w:rsidRDefault="007A6748" w:rsidP="007C1BD0">
      <w:pPr>
        <w:jc w:val="both"/>
        <w:rPr>
          <w:sz w:val="24"/>
          <w:szCs w:val="24"/>
        </w:rPr>
      </w:pPr>
      <w:r w:rsidRPr="007A6748">
        <w:rPr>
          <w:sz w:val="24"/>
          <w:szCs w:val="24"/>
        </w:rPr>
        <w:t>IEEE 802 LMSC applauds MIC’s progressive approach in committing to allocation of over 1 GHz of license exempt spe</w:t>
      </w:r>
      <w:r w:rsidR="00876B05">
        <w:rPr>
          <w:sz w:val="24"/>
          <w:szCs w:val="24"/>
        </w:rPr>
        <w:t xml:space="preserve">ctrum for Wi-Fi to enable 10 </w:t>
      </w:r>
      <w:proofErr w:type="gramStart"/>
      <w:r w:rsidR="00876B05">
        <w:rPr>
          <w:sz w:val="24"/>
          <w:szCs w:val="24"/>
        </w:rPr>
        <w:t>Gb/</w:t>
      </w:r>
      <w:proofErr w:type="gramEnd"/>
      <w:r w:rsidRPr="007A6748">
        <w:rPr>
          <w:sz w:val="24"/>
          <w:szCs w:val="24"/>
        </w:rPr>
        <w:t>s services by utilizing Wi-Fi 6 and Wi-Fi 7 technologies, which are developed by IEEE 802 standards, in the 6 GHz band. MIC’s commitment makes Japan along with the United States of America the global champions for low cost wireless connectivity.</w:t>
      </w:r>
    </w:p>
    <w:p w14:paraId="68A875A2" w14:textId="77777777" w:rsidR="007A6748" w:rsidRDefault="007A6748" w:rsidP="00DE7910">
      <w:pPr>
        <w:jc w:val="both"/>
        <w:rPr>
          <w:sz w:val="24"/>
          <w:szCs w:val="24"/>
        </w:rPr>
      </w:pPr>
    </w:p>
    <w:p w14:paraId="14977BA2" w14:textId="75CFDF3C" w:rsidR="00DE7910" w:rsidRDefault="00EA40E2" w:rsidP="00DE7910">
      <w:pPr>
        <w:jc w:val="both"/>
        <w:rPr>
          <w:sz w:val="24"/>
          <w:szCs w:val="24"/>
        </w:rPr>
      </w:pPr>
      <w:r>
        <w:rPr>
          <w:sz w:val="24"/>
          <w:szCs w:val="24"/>
        </w:rPr>
        <w:t>Given the increasing usage of Wi-Fi devices operating in the 6 GHz band, we</w:t>
      </w:r>
      <w:r w:rsidR="0078484B">
        <w:rPr>
          <w:sz w:val="24"/>
          <w:szCs w:val="24"/>
        </w:rPr>
        <w:t xml:space="preserve"> </w:t>
      </w:r>
      <w:r>
        <w:rPr>
          <w:sz w:val="24"/>
          <w:szCs w:val="24"/>
        </w:rPr>
        <w:t xml:space="preserve">agree </w:t>
      </w:r>
      <w:r w:rsidR="00DE7910">
        <w:rPr>
          <w:sz w:val="24"/>
          <w:szCs w:val="24"/>
        </w:rPr>
        <w:t>with the MIC’s proposal to</w:t>
      </w:r>
      <w:r w:rsidR="00DE7910" w:rsidRPr="00DE7910">
        <w:rPr>
          <w:sz w:val="24"/>
          <w:szCs w:val="24"/>
        </w:rPr>
        <w:t xml:space="preserve"> include 6 GHz </w:t>
      </w:r>
      <w:r w:rsidR="0015287D">
        <w:rPr>
          <w:sz w:val="24"/>
          <w:szCs w:val="24"/>
        </w:rPr>
        <w:t>very low power</w:t>
      </w:r>
      <w:r w:rsidR="00DE7910" w:rsidRPr="00DE7910">
        <w:rPr>
          <w:sz w:val="24"/>
          <w:szCs w:val="24"/>
        </w:rPr>
        <w:t xml:space="preserve"> and </w:t>
      </w:r>
      <w:r w:rsidR="0015287D">
        <w:rPr>
          <w:sz w:val="24"/>
          <w:szCs w:val="24"/>
        </w:rPr>
        <w:t>low power indoor</w:t>
      </w:r>
      <w:r w:rsidR="00DE7910" w:rsidRPr="00DE7910">
        <w:rPr>
          <w:sz w:val="24"/>
          <w:szCs w:val="24"/>
        </w:rPr>
        <w:t xml:space="preserve"> devices</w:t>
      </w:r>
      <w:r w:rsidR="007A6748">
        <w:rPr>
          <w:sz w:val="24"/>
          <w:szCs w:val="24"/>
        </w:rPr>
        <w:t xml:space="preserve"> to the list of special exemption systems</w:t>
      </w:r>
      <w:r w:rsidR="0015287D">
        <w:rPr>
          <w:sz w:val="24"/>
          <w:szCs w:val="24"/>
        </w:rPr>
        <w:t>,</w:t>
      </w:r>
      <w:r>
        <w:rPr>
          <w:sz w:val="24"/>
          <w:szCs w:val="24"/>
        </w:rPr>
        <w:t xml:space="preserve"> </w:t>
      </w:r>
      <w:r w:rsidRPr="00DE7910">
        <w:rPr>
          <w:sz w:val="24"/>
          <w:szCs w:val="24"/>
        </w:rPr>
        <w:t xml:space="preserve">without the conformity marking to be used in Japan for </w:t>
      </w:r>
      <w:r w:rsidR="0078484B">
        <w:rPr>
          <w:sz w:val="24"/>
          <w:szCs w:val="24"/>
        </w:rPr>
        <w:t>180 days</w:t>
      </w:r>
      <w:r w:rsidRPr="00DE7910">
        <w:rPr>
          <w:sz w:val="24"/>
          <w:szCs w:val="24"/>
        </w:rPr>
        <w:t xml:space="preserve"> from the date of notification to MIC, provided that it meets conditions such as conforming to technical standards equivalent to those stipulated in the Radio Law</w:t>
      </w:r>
      <w:r>
        <w:rPr>
          <w:sz w:val="24"/>
          <w:szCs w:val="24"/>
        </w:rPr>
        <w:t xml:space="preserve">.  </w:t>
      </w:r>
    </w:p>
    <w:p w14:paraId="36C87AFC" w14:textId="77777777" w:rsidR="00A9748D" w:rsidRDefault="00A9748D" w:rsidP="007C1BD0">
      <w:pPr>
        <w:jc w:val="both"/>
        <w:rPr>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02771ACB" w:rsidR="00435292" w:rsidRPr="00662551" w:rsidRDefault="00435292" w:rsidP="00435292">
      <w:pPr>
        <w:jc w:val="both"/>
        <w:rPr>
          <w:sz w:val="24"/>
          <w:szCs w:val="24"/>
        </w:rPr>
      </w:pPr>
      <w:r w:rsidRPr="00435292">
        <w:rPr>
          <w:sz w:val="24"/>
          <w:szCs w:val="24"/>
        </w:rPr>
        <w:t xml:space="preserve">IEEE 802 LMSC thanks </w:t>
      </w:r>
      <w:r w:rsidR="00C1126F">
        <w:rPr>
          <w:sz w:val="24"/>
          <w:szCs w:val="24"/>
        </w:rPr>
        <w:t>MIC</w:t>
      </w:r>
      <w:r w:rsidRPr="00435292">
        <w:rPr>
          <w:sz w:val="24"/>
          <w:szCs w:val="24"/>
        </w:rPr>
        <w:t xml:space="preserve"> for the opportunit</w:t>
      </w:r>
      <w:r w:rsidR="00EF1147">
        <w:rPr>
          <w:sz w:val="24"/>
          <w:szCs w:val="24"/>
        </w:rPr>
        <w:t>y to provide this submission</w:t>
      </w:r>
      <w:r w:rsidR="00206B30">
        <w:rPr>
          <w:sz w:val="24"/>
          <w:szCs w:val="24"/>
        </w:rPr>
        <w:t xml:space="preserve"> </w:t>
      </w:r>
      <w:r w:rsidR="00206B30" w:rsidRPr="00206B30">
        <w:rPr>
          <w:sz w:val="24"/>
          <w:szCs w:val="24"/>
        </w:rPr>
        <w:t xml:space="preserve">and supports the </w:t>
      </w:r>
      <w:r w:rsidR="00206B30">
        <w:rPr>
          <w:sz w:val="24"/>
          <w:szCs w:val="24"/>
        </w:rPr>
        <w:t>MIC</w:t>
      </w:r>
      <w:r w:rsidR="00206B30" w:rsidRPr="00206B30">
        <w:rPr>
          <w:sz w:val="24"/>
          <w:szCs w:val="24"/>
        </w:rPr>
        <w:t>’s proposal</w:t>
      </w:r>
      <w:r w:rsidR="00B75193">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By: /</w:t>
      </w:r>
      <w:proofErr w:type="spellStart"/>
      <w:r w:rsidRPr="008F7B13">
        <w:rPr>
          <w:sz w:val="24"/>
          <w:szCs w:val="24"/>
        </w:rPr>
        <w:t>ss</w:t>
      </w:r>
      <w:proofErr w:type="spellEnd"/>
      <w:r w:rsidRPr="008F7B13">
        <w:rPr>
          <w:sz w:val="24"/>
          <w:szCs w:val="24"/>
        </w:rPr>
        <w:t xml:space="preserve">/.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proofErr w:type="gramStart"/>
      <w:r w:rsidRPr="008F7B13">
        <w:rPr>
          <w:sz w:val="24"/>
          <w:szCs w:val="24"/>
        </w:rPr>
        <w:t>em</w:t>
      </w:r>
      <w:proofErr w:type="spellEnd"/>
      <w:proofErr w:type="gramEnd"/>
      <w:r w:rsidRPr="008F7B13">
        <w:rPr>
          <w:sz w:val="24"/>
          <w:szCs w:val="24"/>
        </w:rPr>
        <w:t>: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008676" w16cex:dateUtc="2024-10-31T14:55:00Z"/>
  <w16cex:commentExtensible w16cex:durableId="280CACA2" w16cex:dateUtc="2024-10-31T14:57:00Z"/>
  <w16cex:commentExtensible w16cex:durableId="2670124E" w16cex:dateUtc="2024-10-31T14:58:00Z"/>
  <w16cex:commentExtensible w16cex:durableId="208394C0" w16cex:dateUtc="2024-10-31T14:57:00Z"/>
  <w16cex:commentExtensible w16cex:durableId="0F084A4E" w16cex:dateUtc="2024-10-31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FC87F7" w16cid:durableId="29008676"/>
  <w16cid:commentId w16cid:paraId="5B45A1F0" w16cid:durableId="280CACA2"/>
  <w16cid:commentId w16cid:paraId="6ECD8CFA" w16cid:durableId="2670124E"/>
  <w16cid:commentId w16cid:paraId="79C2ADF9" w16cid:durableId="208394C0"/>
  <w16cid:commentId w16cid:paraId="2E253373" w16cid:durableId="0F084A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DA502" w14:textId="77777777" w:rsidR="00CC6D96" w:rsidRDefault="00CC6D96">
      <w:r>
        <w:separator/>
      </w:r>
    </w:p>
  </w:endnote>
  <w:endnote w:type="continuationSeparator" w:id="0">
    <w:p w14:paraId="6959EECB" w14:textId="77777777" w:rsidR="00CC6D96" w:rsidRDefault="00CC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3996BCE9" w:rsidR="002E0A70" w:rsidRDefault="00827967">
    <w:pPr>
      <w:pStyle w:val="Footer"/>
      <w:tabs>
        <w:tab w:val="clear" w:pos="6480"/>
        <w:tab w:val="center" w:pos="4680"/>
        <w:tab w:val="right" w:pos="9360"/>
      </w:tabs>
      <w:rPr>
        <w:lang w:val="fr-CA"/>
      </w:rPr>
    </w:pPr>
    <w:fldSimple w:instr=" SUBJECT ">
      <w:r w:rsidR="00A2061C">
        <w:t>Submission</w:t>
      </w:r>
    </w:fldSimple>
    <w:r w:rsidR="002E0A70">
      <w:rPr>
        <w:lang w:val="fr-CA"/>
      </w:rPr>
      <w:tab/>
      <w:t xml:space="preserve">page </w:t>
    </w:r>
    <w:r w:rsidR="002E0A70">
      <w:fldChar w:fldCharType="begin"/>
    </w:r>
    <w:r w:rsidR="002E0A70">
      <w:instrText xml:space="preserve"> PAGE </w:instrText>
    </w:r>
    <w:r w:rsidR="002E0A70">
      <w:fldChar w:fldCharType="separate"/>
    </w:r>
    <w:r w:rsidR="00B07EDC">
      <w:rPr>
        <w:noProof/>
      </w:rPr>
      <w:t>1</w:t>
    </w:r>
    <w:r w:rsidR="002E0A70">
      <w:fldChar w:fldCharType="end"/>
    </w:r>
    <w:r w:rsidR="002E0A70">
      <w:rPr>
        <w:lang w:val="fr-CA"/>
      </w:rPr>
      <w:tab/>
    </w:r>
    <w:r w:rsidR="005F27D5">
      <w:rPr>
        <w:lang w:val="fr-CA"/>
      </w:rPr>
      <w:t xml:space="preserve">Edward Au </w:t>
    </w:r>
    <w:r w:rsidR="002E0A70">
      <w:rPr>
        <w:lang w:val="fr-CA"/>
      </w:rPr>
      <w:t>(</w:t>
    </w:r>
    <w:proofErr w:type="spellStart"/>
    <w:r w:rsidR="005F27D5">
      <w:rPr>
        <w:lang w:val="fr-CA"/>
      </w:rPr>
      <w:t>Huawei</w:t>
    </w:r>
    <w:proofErr w:type="spellEnd"/>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5D2DC" w14:textId="77777777" w:rsidR="00CC6D96" w:rsidRDefault="00CC6D96">
      <w:pPr>
        <w:rPr>
          <w:sz w:val="12"/>
        </w:rPr>
      </w:pPr>
      <w:r>
        <w:separator/>
      </w:r>
    </w:p>
  </w:footnote>
  <w:footnote w:type="continuationSeparator" w:id="0">
    <w:p w14:paraId="7E3300F0" w14:textId="77777777" w:rsidR="00CC6D96" w:rsidRDefault="00CC6D96">
      <w:pPr>
        <w:rPr>
          <w:sz w:val="12"/>
        </w:rPr>
      </w:pPr>
      <w:r>
        <w:continuationSeparator/>
      </w:r>
    </w:p>
  </w:footnote>
  <w:footnote w:id="1">
    <w:p w14:paraId="4CEA3EE3" w14:textId="0E386E38" w:rsidR="002E0A70" w:rsidRPr="00AB1B3A" w:rsidRDefault="002E0A70" w:rsidP="004610B8">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IEEE or the IEEE Standards Association or IEEE Technical Activities.</w:t>
      </w:r>
    </w:p>
  </w:footnote>
  <w:footnote w:id="2">
    <w:p w14:paraId="38BCBB30" w14:textId="525D8BDA" w:rsidR="004C48FB" w:rsidRPr="002F0F9B" w:rsidRDefault="004C48FB" w:rsidP="004C48FB">
      <w:pPr>
        <w:pStyle w:val="FootnoteText"/>
        <w:jc w:val="both"/>
        <w:rPr>
          <w:sz w:val="16"/>
          <w:szCs w:val="16"/>
        </w:rPr>
      </w:pPr>
      <w:r w:rsidRPr="002F0F9B">
        <w:rPr>
          <w:rStyle w:val="FootnoteReference"/>
          <w:sz w:val="16"/>
          <w:szCs w:val="16"/>
        </w:rPr>
        <w:footnoteRef/>
      </w:r>
      <w:r w:rsidRPr="002F0F9B">
        <w:rPr>
          <w:sz w:val="16"/>
          <w:szCs w:val="16"/>
        </w:rPr>
        <w:t xml:space="preserve"> See </w:t>
      </w:r>
      <w:proofErr w:type="spellStart"/>
      <w:r w:rsidRPr="002F0F9B">
        <w:rPr>
          <w:sz w:val="16"/>
          <w:szCs w:val="16"/>
        </w:rPr>
        <w:t>FiRa</w:t>
      </w:r>
      <w:proofErr w:type="spellEnd"/>
      <w:r w:rsidRPr="002F0F9B">
        <w:rPr>
          <w:sz w:val="16"/>
          <w:szCs w:val="16"/>
        </w:rPr>
        <w:t xml:space="preserve"> Consortium: Unleashing the Potential of UWB: Regulatory considerations, August 2022, </w:t>
      </w:r>
      <w:hyperlink r:id="rId1" w:history="1">
        <w:r w:rsidRPr="00971942">
          <w:rPr>
            <w:rStyle w:val="Hyperlink"/>
            <w:sz w:val="16"/>
            <w:szCs w:val="16"/>
          </w:rPr>
          <w:t>https://www.firaconsortium.org/sites/default/files/2022-08/Unleashing-the-Potential-of-UWB-Regulatory-Considerations.pdf</w:t>
        </w:r>
      </w:hyperlink>
      <w:r>
        <w:rPr>
          <w:sz w:val="16"/>
          <w:szCs w:val="16"/>
        </w:rPr>
        <w:t xml:space="preserve"> </w:t>
      </w:r>
      <w:r w:rsidRPr="002F0F9B">
        <w:rPr>
          <w:sz w:val="16"/>
          <w:szCs w:val="16"/>
        </w:rPr>
        <w:t xml:space="preserve">[accessed: </w:t>
      </w:r>
      <w:r w:rsidR="00C37D41">
        <w:rPr>
          <w:sz w:val="16"/>
          <w:szCs w:val="16"/>
        </w:rPr>
        <w:t>11 November</w:t>
      </w:r>
      <w:r w:rsidRPr="002F0F9B">
        <w:rPr>
          <w:sz w:val="16"/>
          <w:szCs w:val="16"/>
        </w:rPr>
        <w:t xml:space="preserve"> 2024].  The introduction of IEEE 802.15 UWB-enabled devices in smartphones and laptops puts forecasts at more than 1 billion devices shipped annually worldwide by 2025.</w:t>
      </w:r>
    </w:p>
  </w:footnote>
  <w:footnote w:id="3">
    <w:p w14:paraId="3D1719AF" w14:textId="0C54E46D" w:rsidR="009C7DFE" w:rsidRPr="0053314D" w:rsidRDefault="009C7DFE" w:rsidP="009C7DFE">
      <w:pPr>
        <w:pStyle w:val="FootnoteText"/>
        <w:rPr>
          <w:sz w:val="16"/>
          <w:szCs w:val="16"/>
        </w:rPr>
      </w:pPr>
      <w:r w:rsidRPr="0053314D">
        <w:rPr>
          <w:rStyle w:val="FootnoteReference"/>
          <w:sz w:val="16"/>
          <w:szCs w:val="16"/>
        </w:rPr>
        <w:footnoteRef/>
      </w:r>
      <w:r w:rsidRPr="0053314D">
        <w:rPr>
          <w:sz w:val="16"/>
          <w:szCs w:val="16"/>
        </w:rPr>
        <w:t xml:space="preserve"> See IEEE P802.15.4ab, </w:t>
      </w:r>
      <w:hyperlink r:id="rId2" w:history="1">
        <w:r w:rsidRPr="0053314D">
          <w:rPr>
            <w:rStyle w:val="Hyperlink"/>
            <w:sz w:val="16"/>
            <w:szCs w:val="16"/>
          </w:rPr>
          <w:t>https://www.ieee802.org/15/pub/TG4ab.html</w:t>
        </w:r>
      </w:hyperlink>
      <w:r w:rsidRPr="0053314D">
        <w:rPr>
          <w:sz w:val="16"/>
          <w:szCs w:val="16"/>
        </w:rPr>
        <w:t xml:space="preserve"> [accessed: </w:t>
      </w:r>
      <w:r>
        <w:rPr>
          <w:sz w:val="16"/>
          <w:szCs w:val="16"/>
        </w:rPr>
        <w:t>11 November</w:t>
      </w:r>
      <w:r w:rsidRPr="0053314D">
        <w:rPr>
          <w:sz w:val="16"/>
          <w:szCs w:val="16"/>
        </w:rPr>
        <w:t xml:space="preserve"> 2024].</w:t>
      </w:r>
    </w:p>
  </w:footnote>
  <w:footnote w:id="4">
    <w:p w14:paraId="07BA90C0" w14:textId="77777777" w:rsidR="003F7EB1" w:rsidRPr="00E54058" w:rsidRDefault="003F7EB1" w:rsidP="003F7EB1">
      <w:pPr>
        <w:pStyle w:val="FootnoteText"/>
        <w:jc w:val="both"/>
        <w:rPr>
          <w:sz w:val="16"/>
          <w:szCs w:val="16"/>
        </w:rPr>
      </w:pPr>
      <w:r w:rsidRPr="00E54058">
        <w:rPr>
          <w:rStyle w:val="FootnoteReference"/>
          <w:sz w:val="16"/>
          <w:szCs w:val="16"/>
        </w:rPr>
        <w:footnoteRef/>
      </w:r>
      <w:r w:rsidRPr="00E54058">
        <w:rPr>
          <w:sz w:val="16"/>
          <w:szCs w:val="16"/>
        </w:rPr>
        <w:t xml:space="preserve"> “IEEE Standard for Low-Rate Wireless Networks--Amendment 1: Enhanced Ultra Wideband (UWB) Physical Layers (PHYs) and Associated Ranging Techniques,” in IEEE </w:t>
      </w:r>
      <w:proofErr w:type="spellStart"/>
      <w:proofErr w:type="gramStart"/>
      <w:r w:rsidRPr="00E54058">
        <w:rPr>
          <w:sz w:val="16"/>
          <w:szCs w:val="16"/>
        </w:rPr>
        <w:t>Std</w:t>
      </w:r>
      <w:proofErr w:type="spellEnd"/>
      <w:proofErr w:type="gramEnd"/>
      <w:r w:rsidRPr="00E54058">
        <w:rPr>
          <w:sz w:val="16"/>
          <w:szCs w:val="16"/>
        </w:rPr>
        <w:t xml:space="preserve"> 802.15.4z-2020 (Amendment to IEEE </w:t>
      </w:r>
      <w:proofErr w:type="spellStart"/>
      <w:r w:rsidRPr="00E54058">
        <w:rPr>
          <w:sz w:val="16"/>
          <w:szCs w:val="16"/>
        </w:rPr>
        <w:t>Std</w:t>
      </w:r>
      <w:proofErr w:type="spellEnd"/>
      <w:r w:rsidRPr="00E54058">
        <w:rPr>
          <w:sz w:val="16"/>
          <w:szCs w:val="16"/>
        </w:rPr>
        <w:t xml:space="preserve"> 802.15.4-2020), vol., no., pp.1-174, 25 Aug. 2020, </w:t>
      </w:r>
      <w:proofErr w:type="spellStart"/>
      <w:r w:rsidRPr="00E54058">
        <w:rPr>
          <w:sz w:val="16"/>
          <w:szCs w:val="16"/>
        </w:rPr>
        <w:t>doi</w:t>
      </w:r>
      <w:proofErr w:type="spellEnd"/>
      <w:r w:rsidRPr="00E54058">
        <w:rPr>
          <w:sz w:val="16"/>
          <w:szCs w:val="16"/>
        </w:rPr>
        <w:t>: 10.1109/IEEESTD.2020.9179124.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4669D09E" w:rsidR="002E0A70" w:rsidRDefault="000B24C7">
    <w:pPr>
      <w:pStyle w:val="Header"/>
      <w:tabs>
        <w:tab w:val="clear" w:pos="6480"/>
        <w:tab w:val="center" w:pos="4680"/>
        <w:tab w:val="right" w:pos="9360"/>
      </w:tabs>
    </w:pPr>
    <w:r>
      <w:t xml:space="preserve">November </w:t>
    </w:r>
    <w:r w:rsidR="002E0A70">
      <w:t xml:space="preserve">2024 </w:t>
    </w:r>
    <w:r w:rsidR="002E0A70">
      <w:tab/>
    </w:r>
    <w:r w:rsidR="002E0A70">
      <w:tab/>
      <w:t>doc.: IEEE 802.18-24/0</w:t>
    </w:r>
    <w:r w:rsidR="00B06B90">
      <w:t>1</w:t>
    </w:r>
    <w:r w:rsidR="00C7299F">
      <w:t>1</w:t>
    </w:r>
    <w:r w:rsidR="007828C2">
      <w:t>8</w:t>
    </w:r>
    <w:r w:rsidR="002E0A70">
      <w:t>r</w:t>
    </w:r>
    <w:r w:rsidR="00B07ED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7"/>
  </w:num>
  <w:num w:numId="4">
    <w:abstractNumId w:val="4"/>
  </w:num>
  <w:num w:numId="5">
    <w:abstractNumId w:val="3"/>
  </w:num>
  <w:num w:numId="6">
    <w:abstractNumId w:val="19"/>
  </w:num>
  <w:num w:numId="7">
    <w:abstractNumId w:val="13"/>
  </w:num>
  <w:num w:numId="8">
    <w:abstractNumId w:val="14"/>
  </w:num>
  <w:num w:numId="9">
    <w:abstractNumId w:val="23"/>
  </w:num>
  <w:num w:numId="10">
    <w:abstractNumId w:val="21"/>
  </w:num>
  <w:num w:numId="11">
    <w:abstractNumId w:val="20"/>
  </w:num>
  <w:num w:numId="12">
    <w:abstractNumId w:val="10"/>
  </w:num>
  <w:num w:numId="13">
    <w:abstractNumId w:val="6"/>
  </w:num>
  <w:num w:numId="14">
    <w:abstractNumId w:val="0"/>
  </w:num>
  <w:num w:numId="15">
    <w:abstractNumId w:val="8"/>
  </w:num>
  <w:num w:numId="16">
    <w:abstractNumId w:val="11"/>
  </w:num>
  <w:num w:numId="17">
    <w:abstractNumId w:val="17"/>
  </w:num>
  <w:num w:numId="18">
    <w:abstractNumId w:val="15"/>
  </w:num>
  <w:num w:numId="19">
    <w:abstractNumId w:val="16"/>
  </w:num>
  <w:num w:numId="20">
    <w:abstractNumId w:val="2"/>
  </w:num>
  <w:num w:numId="21">
    <w:abstractNumId w:val="1"/>
  </w:num>
  <w:num w:numId="22">
    <w:abstractNumId w:val="12"/>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545"/>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07880"/>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65AC"/>
    <w:rsid w:val="001467FD"/>
    <w:rsid w:val="00147197"/>
    <w:rsid w:val="0015287D"/>
    <w:rsid w:val="00152895"/>
    <w:rsid w:val="001544EA"/>
    <w:rsid w:val="001557CC"/>
    <w:rsid w:val="0015782C"/>
    <w:rsid w:val="0015790B"/>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83D"/>
    <w:rsid w:val="00180622"/>
    <w:rsid w:val="001814B5"/>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A0E"/>
    <w:rsid w:val="001D2227"/>
    <w:rsid w:val="001D247A"/>
    <w:rsid w:val="001D2F1F"/>
    <w:rsid w:val="001D3C24"/>
    <w:rsid w:val="001D49EB"/>
    <w:rsid w:val="001D61C2"/>
    <w:rsid w:val="001D7850"/>
    <w:rsid w:val="001E00AB"/>
    <w:rsid w:val="001E03C8"/>
    <w:rsid w:val="001E1590"/>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6B3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172C"/>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1E40"/>
    <w:rsid w:val="002C7140"/>
    <w:rsid w:val="002D1D4D"/>
    <w:rsid w:val="002D2741"/>
    <w:rsid w:val="002D38C1"/>
    <w:rsid w:val="002D3C14"/>
    <w:rsid w:val="002D4A01"/>
    <w:rsid w:val="002D4B49"/>
    <w:rsid w:val="002D4D3F"/>
    <w:rsid w:val="002D5561"/>
    <w:rsid w:val="002D76E3"/>
    <w:rsid w:val="002E0A70"/>
    <w:rsid w:val="002E16C0"/>
    <w:rsid w:val="002E16F1"/>
    <w:rsid w:val="002E177C"/>
    <w:rsid w:val="002E40BB"/>
    <w:rsid w:val="002E7B87"/>
    <w:rsid w:val="002F000E"/>
    <w:rsid w:val="002F002D"/>
    <w:rsid w:val="002F0EA6"/>
    <w:rsid w:val="002F0F9B"/>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282D"/>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C0B"/>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017"/>
    <w:rsid w:val="003953DD"/>
    <w:rsid w:val="0039589F"/>
    <w:rsid w:val="00395DFD"/>
    <w:rsid w:val="00397105"/>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4042"/>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1F0D"/>
    <w:rsid w:val="003F2143"/>
    <w:rsid w:val="003F2349"/>
    <w:rsid w:val="003F264E"/>
    <w:rsid w:val="003F3D47"/>
    <w:rsid w:val="003F541A"/>
    <w:rsid w:val="003F60ED"/>
    <w:rsid w:val="003F7193"/>
    <w:rsid w:val="003F74D2"/>
    <w:rsid w:val="003F7776"/>
    <w:rsid w:val="003F7E43"/>
    <w:rsid w:val="003F7EB1"/>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2C98"/>
    <w:rsid w:val="00473A7D"/>
    <w:rsid w:val="00474A2D"/>
    <w:rsid w:val="00475BEB"/>
    <w:rsid w:val="00477CC6"/>
    <w:rsid w:val="0048078A"/>
    <w:rsid w:val="00482857"/>
    <w:rsid w:val="00482901"/>
    <w:rsid w:val="00483F50"/>
    <w:rsid w:val="00484E26"/>
    <w:rsid w:val="0048663E"/>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8FB"/>
    <w:rsid w:val="004C4AFF"/>
    <w:rsid w:val="004C67AA"/>
    <w:rsid w:val="004C713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03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8A6"/>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113"/>
    <w:rsid w:val="005A480F"/>
    <w:rsid w:val="005A4CFB"/>
    <w:rsid w:val="005A7037"/>
    <w:rsid w:val="005B008B"/>
    <w:rsid w:val="005B042F"/>
    <w:rsid w:val="005B0EC7"/>
    <w:rsid w:val="005B29A0"/>
    <w:rsid w:val="005B3D93"/>
    <w:rsid w:val="005B55FE"/>
    <w:rsid w:val="005B6440"/>
    <w:rsid w:val="005B6DFE"/>
    <w:rsid w:val="005C05A2"/>
    <w:rsid w:val="005C0D6B"/>
    <w:rsid w:val="005C2305"/>
    <w:rsid w:val="005C33FA"/>
    <w:rsid w:val="005C4661"/>
    <w:rsid w:val="005C54CB"/>
    <w:rsid w:val="005C6094"/>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4022"/>
    <w:rsid w:val="006940CB"/>
    <w:rsid w:val="00694991"/>
    <w:rsid w:val="00694B55"/>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3EA9"/>
    <w:rsid w:val="006B4547"/>
    <w:rsid w:val="006B4DA2"/>
    <w:rsid w:val="006B54E6"/>
    <w:rsid w:val="006B5FD4"/>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4FDC"/>
    <w:rsid w:val="00776976"/>
    <w:rsid w:val="00777405"/>
    <w:rsid w:val="00777418"/>
    <w:rsid w:val="00780788"/>
    <w:rsid w:val="00782007"/>
    <w:rsid w:val="007828C2"/>
    <w:rsid w:val="00782CA4"/>
    <w:rsid w:val="0078363F"/>
    <w:rsid w:val="00784130"/>
    <w:rsid w:val="0078484B"/>
    <w:rsid w:val="0078704E"/>
    <w:rsid w:val="00790A18"/>
    <w:rsid w:val="007910CE"/>
    <w:rsid w:val="007932DA"/>
    <w:rsid w:val="00793B62"/>
    <w:rsid w:val="00795FC7"/>
    <w:rsid w:val="00797609"/>
    <w:rsid w:val="0079769D"/>
    <w:rsid w:val="007A089E"/>
    <w:rsid w:val="007A31AB"/>
    <w:rsid w:val="007A38FB"/>
    <w:rsid w:val="007A457E"/>
    <w:rsid w:val="007A6748"/>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4A51"/>
    <w:rsid w:val="007E568E"/>
    <w:rsid w:val="007E5828"/>
    <w:rsid w:val="007F02F6"/>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3FEE"/>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967"/>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5251"/>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6B05"/>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08B"/>
    <w:rsid w:val="008965BC"/>
    <w:rsid w:val="0089710B"/>
    <w:rsid w:val="00897748"/>
    <w:rsid w:val="00897B5D"/>
    <w:rsid w:val="00897BA4"/>
    <w:rsid w:val="008A02FB"/>
    <w:rsid w:val="008A08BF"/>
    <w:rsid w:val="008A1171"/>
    <w:rsid w:val="008A1D20"/>
    <w:rsid w:val="008A3376"/>
    <w:rsid w:val="008A4605"/>
    <w:rsid w:val="008A6EA1"/>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27908"/>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B75"/>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67B94"/>
    <w:rsid w:val="00971471"/>
    <w:rsid w:val="00972657"/>
    <w:rsid w:val="00972CF4"/>
    <w:rsid w:val="00972E75"/>
    <w:rsid w:val="00974876"/>
    <w:rsid w:val="00975C54"/>
    <w:rsid w:val="00975E79"/>
    <w:rsid w:val="00975FFA"/>
    <w:rsid w:val="00980F48"/>
    <w:rsid w:val="00981F69"/>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DFE"/>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61C"/>
    <w:rsid w:val="00A20FCC"/>
    <w:rsid w:val="00A2121D"/>
    <w:rsid w:val="00A225CD"/>
    <w:rsid w:val="00A242D1"/>
    <w:rsid w:val="00A243D6"/>
    <w:rsid w:val="00A271EC"/>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48D"/>
    <w:rsid w:val="00A976B1"/>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49D0"/>
    <w:rsid w:val="00AB5F6D"/>
    <w:rsid w:val="00AC1020"/>
    <w:rsid w:val="00AC1A4B"/>
    <w:rsid w:val="00AC262A"/>
    <w:rsid w:val="00AC2DE0"/>
    <w:rsid w:val="00AC347B"/>
    <w:rsid w:val="00AC48F6"/>
    <w:rsid w:val="00AC4C84"/>
    <w:rsid w:val="00AC5AF5"/>
    <w:rsid w:val="00AC659E"/>
    <w:rsid w:val="00AC67F9"/>
    <w:rsid w:val="00AC6B24"/>
    <w:rsid w:val="00AD116F"/>
    <w:rsid w:val="00AD20E1"/>
    <w:rsid w:val="00AD340E"/>
    <w:rsid w:val="00AD3481"/>
    <w:rsid w:val="00AD4D84"/>
    <w:rsid w:val="00AD7147"/>
    <w:rsid w:val="00AD7308"/>
    <w:rsid w:val="00AE16D7"/>
    <w:rsid w:val="00AE1AFA"/>
    <w:rsid w:val="00AE1B9C"/>
    <w:rsid w:val="00AE35AF"/>
    <w:rsid w:val="00AE3868"/>
    <w:rsid w:val="00AE3D23"/>
    <w:rsid w:val="00AE4707"/>
    <w:rsid w:val="00AE4736"/>
    <w:rsid w:val="00AE4BC9"/>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07EDC"/>
    <w:rsid w:val="00B1063F"/>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1A"/>
    <w:rsid w:val="00B36EDC"/>
    <w:rsid w:val="00B372C6"/>
    <w:rsid w:val="00B408A4"/>
    <w:rsid w:val="00B40BF4"/>
    <w:rsid w:val="00B41850"/>
    <w:rsid w:val="00B427B8"/>
    <w:rsid w:val="00B42A58"/>
    <w:rsid w:val="00B42AD0"/>
    <w:rsid w:val="00B46159"/>
    <w:rsid w:val="00B4631F"/>
    <w:rsid w:val="00B474C9"/>
    <w:rsid w:val="00B50E09"/>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26F"/>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37D41"/>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607A2"/>
    <w:rsid w:val="00C6484D"/>
    <w:rsid w:val="00C6489A"/>
    <w:rsid w:val="00C6556B"/>
    <w:rsid w:val="00C65964"/>
    <w:rsid w:val="00C65D56"/>
    <w:rsid w:val="00C666D0"/>
    <w:rsid w:val="00C66D30"/>
    <w:rsid w:val="00C66EFE"/>
    <w:rsid w:val="00C70CC5"/>
    <w:rsid w:val="00C71C38"/>
    <w:rsid w:val="00C7299F"/>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6D96"/>
    <w:rsid w:val="00CC7169"/>
    <w:rsid w:val="00CD0480"/>
    <w:rsid w:val="00CD1B34"/>
    <w:rsid w:val="00CD29D5"/>
    <w:rsid w:val="00CD39C9"/>
    <w:rsid w:val="00CD4491"/>
    <w:rsid w:val="00CD44C0"/>
    <w:rsid w:val="00CD47D5"/>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D713D"/>
    <w:rsid w:val="00DE0784"/>
    <w:rsid w:val="00DE0CF5"/>
    <w:rsid w:val="00DE430B"/>
    <w:rsid w:val="00DE5D6F"/>
    <w:rsid w:val="00DE6F13"/>
    <w:rsid w:val="00DE788E"/>
    <w:rsid w:val="00DE7910"/>
    <w:rsid w:val="00DF0887"/>
    <w:rsid w:val="00DF0FDA"/>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CE2"/>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75F10"/>
    <w:rsid w:val="00E80473"/>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2F59"/>
    <w:rsid w:val="00EA3AFF"/>
    <w:rsid w:val="00EA40E2"/>
    <w:rsid w:val="00EA48C3"/>
    <w:rsid w:val="00EA5936"/>
    <w:rsid w:val="00EA7280"/>
    <w:rsid w:val="00EA75AC"/>
    <w:rsid w:val="00EA774F"/>
    <w:rsid w:val="00EA7C6E"/>
    <w:rsid w:val="00EA7D0C"/>
    <w:rsid w:val="00EB04FF"/>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2DF3"/>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2633"/>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3DAF"/>
    <w:rsid w:val="00FD7C2A"/>
    <w:rsid w:val="00FE13ED"/>
    <w:rsid w:val="00FE1E82"/>
    <w:rsid w:val="00FE27EC"/>
    <w:rsid w:val="00FE3215"/>
    <w:rsid w:val="00FE3A9E"/>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59422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321">
          <w:marLeft w:val="1166"/>
          <w:marRight w:val="0"/>
          <w:marTop w:val="12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ieee802.org/15/pub/TG4ab.html" TargetMode="External"/><Relationship Id="rId1"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F2A05-C9A3-4527-8A69-9070FFF5E3D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164</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18-24/0118r1</vt:lpstr>
    </vt:vector>
  </TitlesOfParts>
  <Company>Some Company</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18-24/0118r2</dc:title>
  <dc:subject>Submission</dc:subject>
  <dc:creator>Editor</dc:creator>
  <dc:description>Proposed response to Japan MIC's consultation re special exemption system</dc:description>
  <cp:lastModifiedBy>Edward Au</cp:lastModifiedBy>
  <cp:revision>79</cp:revision>
  <cp:lastPrinted>2024-10-31T14:30:00Z</cp:lastPrinted>
  <dcterms:created xsi:type="dcterms:W3CDTF">2024-10-31T15:03:00Z</dcterms:created>
  <dcterms:modified xsi:type="dcterms:W3CDTF">2024-11-12T18:59:00Z</dcterms:modified>
  <dc:language>sv-SE</dc:language>
</cp:coreProperties>
</file>