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71E9CED" w:rsidR="002E16F1" w:rsidRDefault="00C7299F" w:rsidP="00C7299F">
            <w:pPr>
              <w:pStyle w:val="T2"/>
              <w:widowControl w:val="0"/>
              <w:rPr>
                <w:b w:val="0"/>
              </w:rPr>
            </w:pPr>
            <w:r>
              <w:rPr>
                <w:b w:val="0"/>
                <w:bCs/>
              </w:rPr>
              <w:t xml:space="preserve">Proposed </w:t>
            </w:r>
            <w:r w:rsidR="00E640DE" w:rsidRPr="00E640DE">
              <w:rPr>
                <w:b w:val="0"/>
                <w:bCs/>
              </w:rPr>
              <w:t>response to</w:t>
            </w:r>
            <w:r w:rsidR="00697BD5">
              <w:rPr>
                <w:b w:val="0"/>
                <w:bCs/>
              </w:rPr>
              <w:t xml:space="preserve"> </w:t>
            </w:r>
            <w:r>
              <w:rPr>
                <w:b w:val="0"/>
                <w:bCs/>
              </w:rPr>
              <w:t>Saudi Arabia CST</w:t>
            </w:r>
            <w:r w:rsidR="007C5F7C">
              <w:rPr>
                <w:b w:val="0"/>
                <w:bCs/>
              </w:rPr>
              <w:t xml:space="preserve">’s consultation </w:t>
            </w:r>
            <w:r>
              <w:rPr>
                <w:b w:val="0"/>
                <w:bCs/>
              </w:rPr>
              <w:t>re 6 GHz AFC</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B13001A" w:rsidR="002E16F1" w:rsidRDefault="007C1BD0" w:rsidP="002669E8">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w:t>
            </w:r>
            <w:r w:rsidR="000B24C7">
              <w:rPr>
                <w:b w:val="0"/>
                <w:sz w:val="20"/>
              </w:rPr>
              <w:t>1</w:t>
            </w:r>
            <w:r>
              <w:rPr>
                <w:b w:val="0"/>
                <w:sz w:val="20"/>
              </w:rPr>
              <w:t>-</w:t>
            </w:r>
            <w:r w:rsidR="00771DF5">
              <w:rPr>
                <w:b w:val="0"/>
                <w:sz w:val="20"/>
              </w:rPr>
              <w:t>1</w:t>
            </w:r>
            <w:r w:rsidR="002669E8">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17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9BD0C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C7299F">
                              <w:rPr>
                                <w:color w:val="000000"/>
                              </w:rPr>
                              <w:t xml:space="preserve">Saudi Arabia Communications, Space </w:t>
                            </w:r>
                            <w:r w:rsidR="00DC61A2">
                              <w:rPr>
                                <w:color w:val="000000"/>
                              </w:rPr>
                              <w:t>and</w:t>
                            </w:r>
                            <w:r w:rsidR="00C7299F">
                              <w:rPr>
                                <w:color w:val="000000"/>
                              </w:rPr>
                              <w:t xml:space="preserve"> Technology Commission </w:t>
                            </w:r>
                            <w:r w:rsidR="00A80C31">
                              <w:rPr>
                                <w:color w:val="000000"/>
                              </w:rPr>
                              <w:t>(</w:t>
                            </w:r>
                            <w:r w:rsidR="00C7299F">
                              <w:rPr>
                                <w:color w:val="000000"/>
                              </w:rPr>
                              <w:t>CST</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C7299F" w:rsidRPr="00C7299F">
                              <w:rPr>
                                <w:color w:val="000000"/>
                              </w:rPr>
                              <w:t>Light Licensing Regulations Annex for the 6 GHz Frequency Band</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9BD0C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C7299F">
                        <w:rPr>
                          <w:color w:val="000000"/>
                        </w:rPr>
                        <w:t xml:space="preserve">Saudi Arabia Communications, Space </w:t>
                      </w:r>
                      <w:r w:rsidR="00DC61A2">
                        <w:rPr>
                          <w:color w:val="000000"/>
                        </w:rPr>
                        <w:t>and</w:t>
                      </w:r>
                      <w:r w:rsidR="00C7299F">
                        <w:rPr>
                          <w:color w:val="000000"/>
                        </w:rPr>
                        <w:t xml:space="preserve"> Technology Commission </w:t>
                      </w:r>
                      <w:r w:rsidR="00A80C31">
                        <w:rPr>
                          <w:color w:val="000000"/>
                        </w:rPr>
                        <w:t>(</w:t>
                      </w:r>
                      <w:r w:rsidR="00C7299F">
                        <w:rPr>
                          <w:color w:val="000000"/>
                        </w:rPr>
                        <w:t>CST</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C7299F" w:rsidRPr="00C7299F">
                        <w:rPr>
                          <w:color w:val="000000"/>
                        </w:rPr>
                        <w:t>Light Licensing Regulations Annex for the 6 GHz Frequency Band</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06610B9A"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CD4962">
        <w:rPr>
          <w:sz w:val="24"/>
          <w:szCs w:val="24"/>
        </w:rPr>
        <w:t xml:space="preserve">November </w:t>
      </w:r>
      <w:r w:rsidR="00DC61A2">
        <w:rPr>
          <w:sz w:val="24"/>
          <w:szCs w:val="24"/>
        </w:rPr>
        <w:t>20</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4082676C"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C7299F" w:rsidRPr="00C7299F">
        <w:rPr>
          <w:sz w:val="24"/>
          <w:szCs w:val="24"/>
        </w:rPr>
        <w:t>Light Licensing Regulations Annex for the 6 GHz Frequency Band</w:t>
      </w:r>
      <w:r w:rsidR="002A548E">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415050C9"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462319">
        <w:rPr>
          <w:rStyle w:val="None"/>
          <w:sz w:val="24"/>
          <w:szCs w:val="24"/>
        </w:rPr>
        <w:t xml:space="preserve">Communications, Space </w:t>
      </w:r>
      <w:r w:rsidR="00DC61A2">
        <w:rPr>
          <w:rStyle w:val="None"/>
          <w:sz w:val="24"/>
          <w:szCs w:val="24"/>
        </w:rPr>
        <w:t>and</w:t>
      </w:r>
      <w:r w:rsidR="00462319">
        <w:rPr>
          <w:rStyle w:val="None"/>
          <w:sz w:val="24"/>
          <w:szCs w:val="24"/>
        </w:rPr>
        <w:t xml:space="preserve"> Technology Commission </w:t>
      </w:r>
      <w:r w:rsidR="00CD4962" w:rsidRPr="00CD4962">
        <w:rPr>
          <w:rStyle w:val="None"/>
          <w:sz w:val="24"/>
          <w:szCs w:val="24"/>
        </w:rPr>
        <w:t>(</w:t>
      </w:r>
      <w:r w:rsidR="00462319">
        <w:rPr>
          <w:rStyle w:val="None"/>
          <w:sz w:val="24"/>
          <w:szCs w:val="24"/>
        </w:rPr>
        <w:t>CST</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consultation “</w:t>
      </w:r>
      <w:r w:rsidR="00462319" w:rsidRPr="00462319">
        <w:rPr>
          <w:sz w:val="24"/>
          <w:szCs w:val="24"/>
        </w:rPr>
        <w:t>Light Licensing Regulations Annex for the 6 GHz Frequency Band</w:t>
      </w:r>
      <w:r w:rsidR="00462319">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0AEC07EF"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2A14696B" w:rsidR="007C1BD0" w:rsidRDefault="00B41850" w:rsidP="007C1BD0">
      <w:pPr>
        <w:jc w:val="both"/>
        <w:rPr>
          <w:sz w:val="24"/>
          <w:szCs w:val="24"/>
        </w:rPr>
      </w:pPr>
      <w:r w:rsidRPr="00B41850">
        <w:rPr>
          <w:sz w:val="24"/>
          <w:szCs w:val="24"/>
        </w:rPr>
        <w:t>IEEE 802 LMSC follows</w:t>
      </w:r>
      <w:r w:rsidR="00B36E1A">
        <w:rPr>
          <w:sz w:val="24"/>
          <w:szCs w:val="24"/>
        </w:rPr>
        <w:t xml:space="preserve"> the</w:t>
      </w:r>
      <w:r w:rsidRPr="00B41850">
        <w:rPr>
          <w:sz w:val="24"/>
          <w:szCs w:val="24"/>
        </w:rPr>
        <w:t xml:space="preserve"> </w:t>
      </w:r>
      <w:r w:rsidR="00133965">
        <w:rPr>
          <w:sz w:val="24"/>
          <w:szCs w:val="24"/>
        </w:rPr>
        <w:t>Saudi Arabia</w:t>
      </w:r>
      <w:r w:rsidRPr="00B41850">
        <w:rPr>
          <w:sz w:val="24"/>
          <w:szCs w:val="24"/>
        </w:rPr>
        <w:t xml:space="preserve">’s regulatory activities regarding </w:t>
      </w:r>
      <w:r>
        <w:rPr>
          <w:sz w:val="24"/>
          <w:szCs w:val="24"/>
        </w:rPr>
        <w:t xml:space="preserve">license-exempt short-range devices closely and applauds </w:t>
      </w:r>
      <w:r w:rsidR="00133965">
        <w:rPr>
          <w:sz w:val="24"/>
          <w:szCs w:val="24"/>
        </w:rPr>
        <w:t>CST</w:t>
      </w:r>
      <w:r>
        <w:rPr>
          <w:sz w:val="24"/>
          <w:szCs w:val="24"/>
        </w:rPr>
        <w:t xml:space="preserve"> for developing </w:t>
      </w:r>
      <w:r w:rsidR="00133965">
        <w:rPr>
          <w:sz w:val="24"/>
          <w:szCs w:val="24"/>
        </w:rPr>
        <w:t>a detailed light licensing regulation for the 6 GHz band using Automatic Frequency Control (AFC) technology</w:t>
      </w:r>
      <w:r>
        <w:rPr>
          <w:sz w:val="24"/>
          <w:szCs w:val="24"/>
        </w:rPr>
        <w:t>.</w:t>
      </w:r>
      <w:r w:rsidRPr="00B41850">
        <w:rPr>
          <w:sz w:val="24"/>
          <w:szCs w:val="24"/>
        </w:rPr>
        <w:t xml:space="preserve"> </w:t>
      </w:r>
      <w:r w:rsidR="00C6489A" w:rsidRPr="00C6489A">
        <w:rPr>
          <w:sz w:val="24"/>
          <w:szCs w:val="24"/>
        </w:rPr>
        <w:t xml:space="preserve">Please find below the responses of IEEE 802 LMSC to </w:t>
      </w:r>
      <w:r w:rsidR="00133965">
        <w:rPr>
          <w:sz w:val="24"/>
          <w:szCs w:val="24"/>
        </w:rPr>
        <w:t xml:space="preserve">selected questions of </w:t>
      </w:r>
      <w:r w:rsidR="00C6489A" w:rsidRPr="00C6489A">
        <w:rPr>
          <w:sz w:val="24"/>
          <w:szCs w:val="24"/>
        </w:rPr>
        <w:t>this consultation.</w:t>
      </w:r>
    </w:p>
    <w:p w14:paraId="65F5DE97" w14:textId="77777777" w:rsidR="00FC20DA" w:rsidRDefault="00FC20DA" w:rsidP="007C1BD0">
      <w:pPr>
        <w:jc w:val="both"/>
        <w:rPr>
          <w:sz w:val="24"/>
          <w:szCs w:val="24"/>
        </w:rPr>
      </w:pPr>
    </w:p>
    <w:p w14:paraId="755D43D7" w14:textId="167982F3" w:rsidR="00771DF5" w:rsidRPr="00771DF5" w:rsidRDefault="00771DF5" w:rsidP="007C1BD0">
      <w:pPr>
        <w:jc w:val="both"/>
        <w:rPr>
          <w:b/>
          <w:sz w:val="24"/>
          <w:szCs w:val="24"/>
        </w:rPr>
      </w:pPr>
      <w:r w:rsidRPr="00771DF5">
        <w:rPr>
          <w:b/>
          <w:sz w:val="24"/>
          <w:szCs w:val="24"/>
        </w:rPr>
        <w:t>Question 2:  Are there any other matters related to the Eligibility section that CST should consider?</w:t>
      </w:r>
    </w:p>
    <w:p w14:paraId="3A914754" w14:textId="77777777" w:rsidR="00771DF5" w:rsidRDefault="00771DF5" w:rsidP="007C1BD0">
      <w:pPr>
        <w:jc w:val="both"/>
        <w:rPr>
          <w:sz w:val="24"/>
          <w:szCs w:val="24"/>
        </w:rPr>
      </w:pPr>
    </w:p>
    <w:p w14:paraId="6FDF9F9B" w14:textId="21C49E00" w:rsidR="00202872" w:rsidRDefault="00202872" w:rsidP="007C1BD0">
      <w:pPr>
        <w:jc w:val="both"/>
        <w:rPr>
          <w:sz w:val="24"/>
          <w:szCs w:val="24"/>
        </w:rPr>
      </w:pPr>
      <w:r>
        <w:rPr>
          <w:sz w:val="24"/>
          <w:szCs w:val="24"/>
        </w:rPr>
        <w:t>IEEE 802 LMSC comm</w:t>
      </w:r>
      <w:r w:rsidR="00D7087C">
        <w:rPr>
          <w:sz w:val="24"/>
          <w:szCs w:val="24"/>
        </w:rPr>
        <w:t>e</w:t>
      </w:r>
      <w:r>
        <w:rPr>
          <w:sz w:val="24"/>
          <w:szCs w:val="24"/>
        </w:rPr>
        <w:t xml:space="preserve">nds CST’s continuous leadership in empowering the latest Wi-Fi technology by allocating the 6 GHz band (i.e., 5925 MHz </w:t>
      </w:r>
      <w:r w:rsidR="00D7087C">
        <w:rPr>
          <w:sz w:val="24"/>
          <w:szCs w:val="24"/>
        </w:rPr>
        <w:t>to</w:t>
      </w:r>
      <w:r>
        <w:rPr>
          <w:sz w:val="24"/>
          <w:szCs w:val="24"/>
        </w:rPr>
        <w:t xml:space="preserve"> 7125 MHz) for </w:t>
      </w:r>
      <w:r w:rsidR="00D7087C">
        <w:rPr>
          <w:sz w:val="24"/>
          <w:szCs w:val="24"/>
        </w:rPr>
        <w:t xml:space="preserve">lightly </w:t>
      </w:r>
      <w:r>
        <w:rPr>
          <w:sz w:val="24"/>
          <w:szCs w:val="24"/>
        </w:rPr>
        <w:t>license</w:t>
      </w:r>
      <w:r w:rsidR="00D7087C">
        <w:rPr>
          <w:sz w:val="24"/>
          <w:szCs w:val="24"/>
        </w:rPr>
        <w:t>d</w:t>
      </w:r>
      <w:r>
        <w:rPr>
          <w:sz w:val="24"/>
          <w:szCs w:val="24"/>
        </w:rPr>
        <w:t xml:space="preserve"> operation.  </w:t>
      </w:r>
    </w:p>
    <w:p w14:paraId="521E2B28" w14:textId="77777777" w:rsidR="00202872" w:rsidRDefault="00202872" w:rsidP="007C1BD0">
      <w:pPr>
        <w:jc w:val="both"/>
        <w:rPr>
          <w:sz w:val="24"/>
          <w:szCs w:val="24"/>
        </w:rPr>
      </w:pPr>
    </w:p>
    <w:p w14:paraId="16A09527" w14:textId="6ACF710C" w:rsidR="00202872" w:rsidRDefault="00202872" w:rsidP="007C1BD0">
      <w:pPr>
        <w:jc w:val="both"/>
        <w:rPr>
          <w:sz w:val="24"/>
          <w:szCs w:val="24"/>
        </w:rPr>
      </w:pPr>
      <w:r>
        <w:rPr>
          <w:sz w:val="24"/>
          <w:szCs w:val="24"/>
        </w:rPr>
        <w:t xml:space="preserve">IEEE 802 LMSC supports CST’s proposal in requiring any light license user in the 6 GHz band to deploy the 6 GHz WLAN Standard Power </w:t>
      </w:r>
      <w:r w:rsidR="00B75193">
        <w:rPr>
          <w:sz w:val="24"/>
          <w:szCs w:val="24"/>
        </w:rPr>
        <w:t xml:space="preserve">(SP) </w:t>
      </w:r>
      <w:r>
        <w:rPr>
          <w:sz w:val="24"/>
          <w:szCs w:val="24"/>
        </w:rPr>
        <w:t xml:space="preserve">Access Points and Fixed Client devices under the control of an Automated Frequency Control (AFC) system. </w:t>
      </w:r>
    </w:p>
    <w:p w14:paraId="798704FB" w14:textId="77777777" w:rsidR="00771DF5" w:rsidRDefault="00771DF5" w:rsidP="007C1BD0">
      <w:pPr>
        <w:jc w:val="both"/>
        <w:rPr>
          <w:sz w:val="24"/>
          <w:szCs w:val="24"/>
        </w:rPr>
      </w:pPr>
    </w:p>
    <w:p w14:paraId="16793344" w14:textId="6604BDC9" w:rsidR="00512AAC" w:rsidRPr="00512AAC" w:rsidRDefault="00512AAC" w:rsidP="00512AAC">
      <w:pPr>
        <w:jc w:val="both"/>
        <w:rPr>
          <w:b/>
          <w:sz w:val="24"/>
          <w:szCs w:val="24"/>
        </w:rPr>
      </w:pPr>
      <w:r w:rsidRPr="00512AAC">
        <w:rPr>
          <w:b/>
          <w:sz w:val="24"/>
          <w:szCs w:val="24"/>
        </w:rPr>
        <w:t>Question 9:  Are there any other matters related to the Technical Requirements for Standard Power Access Points and Client Devices section that CST should consider</w:t>
      </w:r>
      <w:r>
        <w:rPr>
          <w:b/>
          <w:sz w:val="24"/>
          <w:szCs w:val="24"/>
        </w:rPr>
        <w:t>?</w:t>
      </w:r>
    </w:p>
    <w:p w14:paraId="3A2E71DB" w14:textId="77777777" w:rsidR="00512AAC" w:rsidRDefault="00512AAC" w:rsidP="00AB1B3A">
      <w:pPr>
        <w:pStyle w:val="ListParagraph"/>
        <w:jc w:val="both"/>
        <w:rPr>
          <w:rFonts w:ascii="Times New Roman" w:eastAsia="Times New Roman" w:hAnsi="Times New Roman"/>
          <w:b/>
          <w:sz w:val="24"/>
          <w:szCs w:val="24"/>
        </w:rPr>
      </w:pPr>
    </w:p>
    <w:p w14:paraId="24BEA366" w14:textId="0774D402" w:rsidR="006604CA" w:rsidRDefault="00512AAC" w:rsidP="00A200BA">
      <w:pPr>
        <w:jc w:val="both"/>
        <w:rPr>
          <w:sz w:val="24"/>
          <w:szCs w:val="24"/>
        </w:rPr>
      </w:pPr>
      <w:r>
        <w:rPr>
          <w:sz w:val="24"/>
          <w:szCs w:val="24"/>
        </w:rPr>
        <w:lastRenderedPageBreak/>
        <w:t>A</w:t>
      </w:r>
      <w:r w:rsidR="00373C0B">
        <w:rPr>
          <w:sz w:val="24"/>
          <w:szCs w:val="24"/>
        </w:rPr>
        <w:t>s we believe the indoor SP</w:t>
      </w:r>
      <w:r w:rsidR="00A200BA" w:rsidRPr="00A200BA">
        <w:rPr>
          <w:sz w:val="24"/>
          <w:szCs w:val="24"/>
        </w:rPr>
        <w:t xml:space="preserve"> mode could be important in </w:t>
      </w:r>
      <w:r w:rsidR="00373C0B">
        <w:rPr>
          <w:sz w:val="24"/>
          <w:szCs w:val="24"/>
        </w:rPr>
        <w:t xml:space="preserve">Saudi Arabia </w:t>
      </w:r>
      <w:r w:rsidR="00A200BA" w:rsidRPr="00A200BA">
        <w:rPr>
          <w:sz w:val="24"/>
          <w:szCs w:val="24"/>
        </w:rPr>
        <w:t>because of e</w:t>
      </w:r>
      <w:r w:rsidR="007F5D79">
        <w:rPr>
          <w:sz w:val="24"/>
          <w:szCs w:val="24"/>
        </w:rPr>
        <w:t>xtensive indoor WLAN facilities</w:t>
      </w:r>
      <w:r w:rsidR="007F5D79">
        <w:rPr>
          <w:rStyle w:val="FootnoteReference"/>
          <w:sz w:val="24"/>
          <w:szCs w:val="24"/>
        </w:rPr>
        <w:footnoteReference w:id="2"/>
      </w:r>
      <w:r w:rsidR="00A200BA" w:rsidRPr="00A200BA">
        <w:rPr>
          <w:sz w:val="24"/>
          <w:szCs w:val="24"/>
        </w:rPr>
        <w:t>, IEEE 802 LMSC recommends</w:t>
      </w:r>
      <w:r w:rsidR="00A2061C">
        <w:rPr>
          <w:sz w:val="24"/>
          <w:szCs w:val="24"/>
        </w:rPr>
        <w:t xml:space="preserve"> that</w:t>
      </w:r>
      <w:r w:rsidR="00A200BA" w:rsidRPr="00A200BA">
        <w:rPr>
          <w:sz w:val="24"/>
          <w:szCs w:val="24"/>
        </w:rPr>
        <w:t xml:space="preserve"> </w:t>
      </w:r>
      <w:r w:rsidR="00373C0B">
        <w:rPr>
          <w:sz w:val="24"/>
          <w:szCs w:val="24"/>
        </w:rPr>
        <w:t>CST</w:t>
      </w:r>
      <w:r w:rsidR="00A200BA" w:rsidRPr="00A200BA">
        <w:rPr>
          <w:sz w:val="24"/>
          <w:szCs w:val="24"/>
        </w:rPr>
        <w:t xml:space="preserve"> include</w:t>
      </w:r>
      <w:r w:rsidR="006B3EA9">
        <w:rPr>
          <w:sz w:val="24"/>
          <w:szCs w:val="24"/>
        </w:rPr>
        <w:t xml:space="preserve"> </w:t>
      </w:r>
      <w:r w:rsidR="00D7087C">
        <w:rPr>
          <w:sz w:val="24"/>
          <w:szCs w:val="24"/>
        </w:rPr>
        <w:t xml:space="preserve">the </w:t>
      </w:r>
      <w:r w:rsidR="00A200BA" w:rsidRPr="00A200BA">
        <w:rPr>
          <w:sz w:val="24"/>
          <w:szCs w:val="24"/>
        </w:rPr>
        <w:t xml:space="preserve">indoor SP mode </w:t>
      </w:r>
      <w:r w:rsidR="00D7087C">
        <w:rPr>
          <w:sz w:val="24"/>
          <w:szCs w:val="24"/>
        </w:rPr>
        <w:t>in</w:t>
      </w:r>
      <w:r w:rsidR="00D7087C" w:rsidRPr="00A200BA">
        <w:rPr>
          <w:sz w:val="24"/>
          <w:szCs w:val="24"/>
        </w:rPr>
        <w:t xml:space="preserve"> </w:t>
      </w:r>
      <w:r w:rsidR="00A200BA" w:rsidRPr="00A200BA">
        <w:rPr>
          <w:sz w:val="24"/>
          <w:szCs w:val="24"/>
        </w:rPr>
        <w:t xml:space="preserve">its proceedings </w:t>
      </w:r>
      <w:r w:rsidR="00132E4C">
        <w:rPr>
          <w:sz w:val="24"/>
          <w:szCs w:val="24"/>
        </w:rPr>
        <w:t>related to</w:t>
      </w:r>
      <w:r w:rsidR="00A200BA" w:rsidRPr="00A200BA">
        <w:rPr>
          <w:sz w:val="24"/>
          <w:szCs w:val="24"/>
        </w:rPr>
        <w:t xml:space="preserve"> AFC systems and SP regulation. AFC systems are designed not only to enable SP mode for outdoor operation but also to improve the performance of indoor WLAN systems. Considering this, IEEE 802 LMSC recommends </w:t>
      </w:r>
      <w:r w:rsidR="00373C0B">
        <w:rPr>
          <w:sz w:val="24"/>
          <w:szCs w:val="24"/>
        </w:rPr>
        <w:t>CST</w:t>
      </w:r>
      <w:r w:rsidR="003D3269" w:rsidRPr="00A200BA">
        <w:rPr>
          <w:sz w:val="24"/>
          <w:szCs w:val="24"/>
        </w:rPr>
        <w:t xml:space="preserve"> </w:t>
      </w:r>
      <w:r w:rsidR="00A200BA" w:rsidRPr="00A200BA">
        <w:rPr>
          <w:sz w:val="24"/>
          <w:szCs w:val="24"/>
        </w:rPr>
        <w:t xml:space="preserve">to consider authorizing indoor SP mode and </w:t>
      </w:r>
      <w:r w:rsidR="00373C0B">
        <w:rPr>
          <w:sz w:val="24"/>
          <w:szCs w:val="24"/>
        </w:rPr>
        <w:t>relaxing the requirement in (2.1.6) of Appendix A to allow</w:t>
      </w:r>
      <w:r w:rsidR="00A200BA" w:rsidRPr="00A200BA">
        <w:rPr>
          <w:sz w:val="24"/>
          <w:szCs w:val="24"/>
        </w:rPr>
        <w:t xml:space="preserve"> AFC systems to incorporate associated Building Entry Loss (BEL) in AFC system calculations. As an example, FCC already accepts request</w:t>
      </w:r>
      <w:r w:rsidR="00132E4C">
        <w:rPr>
          <w:sz w:val="24"/>
          <w:szCs w:val="24"/>
        </w:rPr>
        <w:t>s</w:t>
      </w:r>
      <w:r w:rsidR="00A200BA" w:rsidRPr="00A200BA">
        <w:rPr>
          <w:sz w:val="24"/>
          <w:szCs w:val="24"/>
        </w:rPr>
        <w:t xml:space="preserve"> for </w:t>
      </w:r>
      <w:r w:rsidR="00132E4C">
        <w:rPr>
          <w:sz w:val="24"/>
          <w:szCs w:val="24"/>
        </w:rPr>
        <w:t xml:space="preserve">the </w:t>
      </w:r>
      <w:r w:rsidR="00A200BA" w:rsidRPr="00A200BA">
        <w:rPr>
          <w:sz w:val="24"/>
          <w:szCs w:val="24"/>
        </w:rPr>
        <w:t xml:space="preserve">inclusion of BEL through various waiver </w:t>
      </w:r>
      <w:r w:rsidR="007F5D79" w:rsidRPr="00834288">
        <w:rPr>
          <w:sz w:val="24"/>
          <w:szCs w:val="24"/>
        </w:rPr>
        <w:t>requests</w:t>
      </w:r>
      <w:r w:rsidR="007F5D79">
        <w:rPr>
          <w:rStyle w:val="FootnoteReference"/>
          <w:sz w:val="24"/>
          <w:szCs w:val="24"/>
        </w:rPr>
        <w:footnoteReference w:id="3"/>
      </w:r>
      <w:r w:rsidR="007F5D79">
        <w:rPr>
          <w:sz w:val="24"/>
          <w:szCs w:val="24"/>
        </w:rPr>
        <w:t>.</w:t>
      </w:r>
    </w:p>
    <w:p w14:paraId="0DF7C0FB" w14:textId="77777777" w:rsidR="00A200BA" w:rsidRDefault="00A200BA" w:rsidP="006604CA">
      <w:pPr>
        <w:jc w:val="both"/>
        <w:rPr>
          <w:sz w:val="24"/>
          <w:szCs w:val="24"/>
        </w:rPr>
      </w:pPr>
    </w:p>
    <w:p w14:paraId="5DE3EFAE" w14:textId="77777777" w:rsidR="003F0A1E" w:rsidRPr="00E03CE2" w:rsidRDefault="003F0A1E" w:rsidP="003F0A1E">
      <w:pPr>
        <w:jc w:val="both"/>
        <w:rPr>
          <w:b/>
          <w:sz w:val="24"/>
          <w:szCs w:val="24"/>
        </w:rPr>
      </w:pPr>
      <w:r>
        <w:rPr>
          <w:b/>
          <w:sz w:val="24"/>
          <w:szCs w:val="24"/>
        </w:rPr>
        <w:t>Question 10</w:t>
      </w:r>
      <w:r w:rsidRPr="00E03CE2">
        <w:rPr>
          <w:b/>
          <w:sz w:val="24"/>
          <w:szCs w:val="24"/>
        </w:rPr>
        <w:t>:  Does the AFC have the necessary capabilities to collect the required data mentioned in section (8.1)?</w:t>
      </w:r>
    </w:p>
    <w:p w14:paraId="0C6ECCCB" w14:textId="77777777" w:rsidR="003F0A1E" w:rsidRDefault="003F0A1E" w:rsidP="003F0A1E">
      <w:pPr>
        <w:jc w:val="both"/>
        <w:rPr>
          <w:sz w:val="24"/>
          <w:szCs w:val="24"/>
        </w:rPr>
      </w:pPr>
    </w:p>
    <w:p w14:paraId="11B32E6A" w14:textId="769B5018" w:rsidR="003F0A1E" w:rsidRDefault="00A90E06" w:rsidP="003F0A1E">
      <w:pPr>
        <w:jc w:val="both"/>
        <w:rPr>
          <w:sz w:val="24"/>
          <w:szCs w:val="24"/>
        </w:rPr>
      </w:pPr>
      <w:r>
        <w:rPr>
          <w:sz w:val="24"/>
          <w:szCs w:val="24"/>
        </w:rPr>
        <w:t xml:space="preserve">IEEE 802 LMSC </w:t>
      </w:r>
      <w:r w:rsidR="003F0A1E">
        <w:rPr>
          <w:sz w:val="24"/>
          <w:szCs w:val="24"/>
        </w:rPr>
        <w:t>suggest</w:t>
      </w:r>
      <w:r>
        <w:rPr>
          <w:sz w:val="24"/>
          <w:szCs w:val="24"/>
        </w:rPr>
        <w:t>s</w:t>
      </w:r>
      <w:r w:rsidR="003F0A1E">
        <w:rPr>
          <w:sz w:val="24"/>
          <w:szCs w:val="24"/>
        </w:rPr>
        <w:t xml:space="preserve"> replacing “Location confidence level (percentage)” in (8.1.3.2) with “L</w:t>
      </w:r>
      <w:r w:rsidR="003F0A1E" w:rsidRPr="00D35583">
        <w:rPr>
          <w:sz w:val="24"/>
          <w:szCs w:val="24"/>
        </w:rPr>
        <w:t>ocation uncertainty (in meters), with a confidence level of 95%</w:t>
      </w:r>
      <w:r w:rsidR="003F0A1E">
        <w:rPr>
          <w:sz w:val="24"/>
          <w:szCs w:val="24"/>
        </w:rPr>
        <w:t>”, which aligns with the requirement in (7.5.1), as well as the regulations of the Federal Communications Commission</w:t>
      </w:r>
      <w:r w:rsidR="003F0A1E">
        <w:rPr>
          <w:rStyle w:val="FootnoteReference"/>
          <w:sz w:val="24"/>
          <w:szCs w:val="24"/>
        </w:rPr>
        <w:footnoteReference w:id="4"/>
      </w:r>
      <w:r w:rsidR="003F0A1E">
        <w:rPr>
          <w:sz w:val="24"/>
          <w:szCs w:val="24"/>
        </w:rPr>
        <w:t xml:space="preserve"> and </w:t>
      </w:r>
      <w:r w:rsidR="003F0A1E" w:rsidRPr="00BD67BC">
        <w:rPr>
          <w:sz w:val="24"/>
          <w:szCs w:val="24"/>
        </w:rPr>
        <w:t>Innovation, Science and Economic Development Canada</w:t>
      </w:r>
      <w:r w:rsidR="003F0A1E">
        <w:rPr>
          <w:rStyle w:val="FootnoteReference"/>
          <w:sz w:val="24"/>
          <w:szCs w:val="24"/>
        </w:rPr>
        <w:footnoteReference w:id="5"/>
      </w:r>
      <w:r w:rsidR="003F0A1E">
        <w:rPr>
          <w:sz w:val="24"/>
          <w:szCs w:val="24"/>
        </w:rPr>
        <w:t>.</w:t>
      </w:r>
    </w:p>
    <w:p w14:paraId="1C493132" w14:textId="77777777" w:rsidR="00642106" w:rsidRDefault="00642106" w:rsidP="003F0A1E">
      <w:pPr>
        <w:jc w:val="both"/>
        <w:rPr>
          <w:sz w:val="24"/>
          <w:szCs w:val="24"/>
        </w:rPr>
      </w:pPr>
    </w:p>
    <w:p w14:paraId="02787E50" w14:textId="143EDDEA" w:rsidR="00642106" w:rsidRDefault="00642106" w:rsidP="003F0A1E">
      <w:pPr>
        <w:jc w:val="both"/>
        <w:rPr>
          <w:sz w:val="24"/>
          <w:szCs w:val="24"/>
        </w:rPr>
      </w:pPr>
      <w:r>
        <w:rPr>
          <w:sz w:val="24"/>
          <w:szCs w:val="24"/>
        </w:rPr>
        <w:t xml:space="preserve">In addition, SP devices typically do not have information listed in (8.1.3.6). </w:t>
      </w:r>
      <w:r w:rsidR="00841D40">
        <w:rPr>
          <w:sz w:val="24"/>
          <w:szCs w:val="24"/>
        </w:rPr>
        <w:t>However, i</w:t>
      </w:r>
      <w:r w:rsidR="00841D40">
        <w:rPr>
          <w:sz w:val="24"/>
          <w:szCs w:val="24"/>
        </w:rPr>
        <w:t>t would be very difficult to require this information from the end users or the device manufacturers.</w:t>
      </w:r>
      <w:r w:rsidR="00841D40">
        <w:rPr>
          <w:sz w:val="24"/>
          <w:szCs w:val="24"/>
        </w:rPr>
        <w:t xml:space="preserve"> </w:t>
      </w:r>
      <w:r>
        <w:rPr>
          <w:sz w:val="24"/>
          <w:szCs w:val="24"/>
        </w:rPr>
        <w:t>AFC systems can be required to c</w:t>
      </w:r>
      <w:r w:rsidR="00CC3052">
        <w:rPr>
          <w:sz w:val="24"/>
          <w:szCs w:val="24"/>
        </w:rPr>
        <w:t>o</w:t>
      </w:r>
      <w:r>
        <w:rPr>
          <w:sz w:val="24"/>
          <w:szCs w:val="24"/>
        </w:rPr>
        <w:t>llect this information from the party responsible for operating the AFC system.</w:t>
      </w:r>
      <w:r w:rsidR="00CC3052">
        <w:rPr>
          <w:sz w:val="24"/>
          <w:szCs w:val="24"/>
        </w:rPr>
        <w:t xml:space="preserve"> </w:t>
      </w:r>
    </w:p>
    <w:p w14:paraId="2208417F" w14:textId="77777777" w:rsidR="003F0A1E" w:rsidRDefault="003F0A1E" w:rsidP="003F0A1E">
      <w:pPr>
        <w:jc w:val="both"/>
        <w:rPr>
          <w:sz w:val="24"/>
          <w:szCs w:val="24"/>
        </w:rPr>
      </w:pPr>
    </w:p>
    <w:p w14:paraId="2A427742" w14:textId="58E7F6E1" w:rsidR="003F0A1E" w:rsidRPr="00ED4983" w:rsidRDefault="003F0A1E" w:rsidP="006604CA">
      <w:pPr>
        <w:jc w:val="both"/>
        <w:rPr>
          <w:b/>
          <w:sz w:val="24"/>
          <w:szCs w:val="24"/>
        </w:rPr>
      </w:pPr>
      <w:r w:rsidRPr="00ED4983">
        <w:rPr>
          <w:b/>
          <w:sz w:val="24"/>
          <w:szCs w:val="24"/>
        </w:rPr>
        <w:t xml:space="preserve">Question 11:  </w:t>
      </w:r>
      <w:r w:rsidR="00ED4983" w:rsidRPr="00ED4983">
        <w:rPr>
          <w:b/>
          <w:sz w:val="24"/>
          <w:szCs w:val="24"/>
        </w:rPr>
        <w:t>Are there any other matters related to the communication between an AFC and Standard Power Access Points and Fixed Client Devices section that CST should consider?</w:t>
      </w:r>
    </w:p>
    <w:p w14:paraId="07834BD4" w14:textId="77777777" w:rsidR="003F0A1E" w:rsidRDefault="003F0A1E" w:rsidP="006604CA">
      <w:pPr>
        <w:jc w:val="both"/>
        <w:rPr>
          <w:sz w:val="24"/>
          <w:szCs w:val="24"/>
        </w:rPr>
      </w:pPr>
    </w:p>
    <w:p w14:paraId="29A3B014" w14:textId="73D53024" w:rsidR="00A20388" w:rsidRDefault="00A20388" w:rsidP="006604CA">
      <w:pPr>
        <w:jc w:val="both"/>
        <w:rPr>
          <w:sz w:val="24"/>
          <w:szCs w:val="24"/>
        </w:rPr>
      </w:pPr>
      <w:r>
        <w:rPr>
          <w:sz w:val="24"/>
          <w:szCs w:val="24"/>
        </w:rPr>
        <w:t>T</w:t>
      </w:r>
      <w:r w:rsidR="00ED4983">
        <w:rPr>
          <w:sz w:val="24"/>
          <w:szCs w:val="24"/>
        </w:rPr>
        <w:t xml:space="preserve">he requirement in </w:t>
      </w:r>
      <w:r>
        <w:rPr>
          <w:sz w:val="24"/>
          <w:szCs w:val="24"/>
        </w:rPr>
        <w:t>(8.3.2) states that if a SP device fails to reach an AFC system, it can operate under 11:59 PM KSA time of that day.</w:t>
      </w:r>
      <w:r w:rsidR="001E487C">
        <w:rPr>
          <w:sz w:val="24"/>
          <w:szCs w:val="24"/>
        </w:rPr>
        <w:t xml:space="preserve"> IEEE 802 LMSC</w:t>
      </w:r>
      <w:r>
        <w:rPr>
          <w:sz w:val="24"/>
          <w:szCs w:val="24"/>
        </w:rPr>
        <w:t xml:space="preserve"> would like to note that this is a stricter requirement than </w:t>
      </w:r>
      <w:r w:rsidR="001E487C">
        <w:rPr>
          <w:sz w:val="24"/>
          <w:szCs w:val="24"/>
        </w:rPr>
        <w:t xml:space="preserve">the </w:t>
      </w:r>
      <w:r>
        <w:rPr>
          <w:sz w:val="24"/>
          <w:szCs w:val="24"/>
        </w:rPr>
        <w:t>FCC</w:t>
      </w:r>
      <w:r w:rsidR="007506F9">
        <w:rPr>
          <w:rStyle w:val="FootnoteReference"/>
          <w:sz w:val="24"/>
          <w:szCs w:val="24"/>
        </w:rPr>
        <w:footnoteReference w:id="6"/>
      </w:r>
      <w:r>
        <w:rPr>
          <w:sz w:val="24"/>
          <w:szCs w:val="24"/>
        </w:rPr>
        <w:t xml:space="preserve"> where devices are allowed to operate until the midnight of the following day.</w:t>
      </w:r>
      <w:r w:rsidR="001E487C">
        <w:rPr>
          <w:sz w:val="24"/>
          <w:szCs w:val="24"/>
        </w:rPr>
        <w:t xml:space="preserve"> We would suggest to align the timing requirement with the regulations of the FCC.</w:t>
      </w:r>
    </w:p>
    <w:p w14:paraId="0C7308EB" w14:textId="16B61AFD" w:rsidR="00ED4983" w:rsidRDefault="00ED4983" w:rsidP="006604CA">
      <w:pPr>
        <w:jc w:val="both"/>
        <w:rPr>
          <w:sz w:val="24"/>
          <w:szCs w:val="24"/>
        </w:rPr>
      </w:pPr>
    </w:p>
    <w:p w14:paraId="341838C4" w14:textId="0E5F3471" w:rsidR="00C56949" w:rsidRPr="00C56949" w:rsidRDefault="00C56949" w:rsidP="006604CA">
      <w:pPr>
        <w:jc w:val="both"/>
        <w:rPr>
          <w:b/>
          <w:sz w:val="24"/>
          <w:szCs w:val="24"/>
        </w:rPr>
      </w:pPr>
      <w:r w:rsidRPr="00C56949">
        <w:rPr>
          <w:b/>
          <w:sz w:val="24"/>
          <w:szCs w:val="24"/>
        </w:rPr>
        <w:t>Question 17:  Are there any other matters related to AFC System Data Retention and Sharing section that CST should consider?</w:t>
      </w:r>
    </w:p>
    <w:p w14:paraId="0E7437BB" w14:textId="77777777" w:rsidR="00C56949" w:rsidRDefault="00C56949" w:rsidP="006604CA">
      <w:pPr>
        <w:jc w:val="both"/>
        <w:rPr>
          <w:sz w:val="24"/>
          <w:szCs w:val="24"/>
        </w:rPr>
      </w:pPr>
    </w:p>
    <w:p w14:paraId="63199E98" w14:textId="53F8E6C5" w:rsidR="00C56949" w:rsidRDefault="00C56949" w:rsidP="006604CA">
      <w:pPr>
        <w:jc w:val="both"/>
        <w:rPr>
          <w:sz w:val="24"/>
          <w:szCs w:val="24"/>
        </w:rPr>
      </w:pPr>
      <w:r>
        <w:rPr>
          <w:sz w:val="24"/>
          <w:szCs w:val="24"/>
        </w:rPr>
        <w:t>While the IEEE 802 LMSC agrees with CST’s</w:t>
      </w:r>
      <w:r w:rsidRPr="00C56949">
        <w:rPr>
          <w:sz w:val="24"/>
          <w:szCs w:val="24"/>
        </w:rPr>
        <w:t xml:space="preserve"> non-burdensome security obligations on AFC system and standard power devices</w:t>
      </w:r>
      <w:r>
        <w:rPr>
          <w:sz w:val="24"/>
          <w:szCs w:val="24"/>
        </w:rPr>
        <w:t>, we would like to respectfully ask CST to clarify how long collected data should be retained. In other geographies, data needs to be stored at least 90 days</w:t>
      </w:r>
      <w:r w:rsidR="007877CA">
        <w:rPr>
          <w:rStyle w:val="FootnoteReference"/>
          <w:sz w:val="24"/>
          <w:szCs w:val="24"/>
        </w:rPr>
        <w:footnoteReference w:id="7"/>
      </w:r>
      <w:r>
        <w:rPr>
          <w:sz w:val="24"/>
          <w:szCs w:val="24"/>
        </w:rPr>
        <w:t xml:space="preserve"> after the last inquiry from a SP device. Clarification of the retention duration would be useful as a lack of this duration may imply retention indefinitely. </w:t>
      </w:r>
    </w:p>
    <w:p w14:paraId="1D252512" w14:textId="77777777" w:rsidR="00C56949" w:rsidRDefault="00C56949" w:rsidP="006604CA">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094AFB16" w:rsidR="00435292" w:rsidRPr="00662551" w:rsidRDefault="00435292" w:rsidP="00435292">
      <w:pPr>
        <w:jc w:val="both"/>
        <w:rPr>
          <w:sz w:val="24"/>
          <w:szCs w:val="24"/>
        </w:rPr>
      </w:pPr>
      <w:r w:rsidRPr="00435292">
        <w:rPr>
          <w:sz w:val="24"/>
          <w:szCs w:val="24"/>
        </w:rPr>
        <w:t xml:space="preserve">IEEE 802 LMSC thanks </w:t>
      </w:r>
      <w:r w:rsidR="00571995">
        <w:rPr>
          <w:sz w:val="24"/>
          <w:szCs w:val="24"/>
        </w:rPr>
        <w:t>CST</w:t>
      </w:r>
      <w:r w:rsidRPr="00435292">
        <w:rPr>
          <w:sz w:val="24"/>
          <w:szCs w:val="24"/>
        </w:rPr>
        <w:t xml:space="preserve"> for the opportunit</w:t>
      </w:r>
      <w:r w:rsidR="00EF1147">
        <w:rPr>
          <w:sz w:val="24"/>
          <w:szCs w:val="24"/>
        </w:rPr>
        <w:t xml:space="preserve">y to provide this submission and </w:t>
      </w:r>
      <w:r w:rsidR="00E34C6E">
        <w:rPr>
          <w:sz w:val="24"/>
          <w:szCs w:val="24"/>
        </w:rPr>
        <w:t xml:space="preserve">respectfully requests </w:t>
      </w:r>
      <w:r w:rsidR="005A4113">
        <w:rPr>
          <w:sz w:val="24"/>
          <w:szCs w:val="24"/>
        </w:rPr>
        <w:t>that C</w:t>
      </w:r>
      <w:r w:rsidR="00586D4C">
        <w:rPr>
          <w:sz w:val="24"/>
          <w:szCs w:val="24"/>
        </w:rPr>
        <w:t>ST</w:t>
      </w:r>
      <w:r w:rsidR="005A4113">
        <w:rPr>
          <w:sz w:val="24"/>
          <w:szCs w:val="24"/>
        </w:rPr>
        <w:t xml:space="preserve"> </w:t>
      </w:r>
      <w:r w:rsidR="00013A3C">
        <w:rPr>
          <w:sz w:val="24"/>
          <w:szCs w:val="24"/>
        </w:rPr>
        <w:t>investigate the possibility of authorizing indoor SP mode</w:t>
      </w:r>
      <w:r w:rsidR="00571995">
        <w:rPr>
          <w:sz w:val="24"/>
          <w:szCs w:val="24"/>
        </w:rPr>
        <w:t xml:space="preserve">, </w:t>
      </w:r>
      <w:r w:rsidR="00571995">
        <w:rPr>
          <w:sz w:val="24"/>
          <w:szCs w:val="24"/>
        </w:rPr>
        <w:t xml:space="preserve">consider </w:t>
      </w:r>
      <w:r w:rsidR="00571995">
        <w:rPr>
          <w:sz w:val="24"/>
          <w:szCs w:val="24"/>
        </w:rPr>
        <w:t>updating the requirements in (8.1.3.2), (8.1.3.6), and (8.3.2), and provide a clarification on the duration of data retention</w:t>
      </w:r>
      <w:r w:rsidR="00966F84">
        <w:rPr>
          <w:sz w:val="24"/>
          <w:szCs w:val="24"/>
        </w:rPr>
        <w:t>.</w:t>
      </w:r>
      <w:bookmarkStart w:id="0" w:name="_GoBack"/>
      <w:bookmarkEnd w:id="0"/>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69C0F" w14:textId="77777777" w:rsidR="00DC7058" w:rsidRDefault="00DC7058">
      <w:r>
        <w:separator/>
      </w:r>
    </w:p>
  </w:endnote>
  <w:endnote w:type="continuationSeparator" w:id="0">
    <w:p w14:paraId="67641C36" w14:textId="77777777" w:rsidR="00DC7058" w:rsidRDefault="00DC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996BCE9" w:rsidR="002E0A70" w:rsidRDefault="00DC7058">
    <w:pPr>
      <w:pStyle w:val="Footer"/>
      <w:tabs>
        <w:tab w:val="clear" w:pos="6480"/>
        <w:tab w:val="center" w:pos="4680"/>
        <w:tab w:val="right" w:pos="9360"/>
      </w:tabs>
      <w:rPr>
        <w:lang w:val="fr-CA"/>
      </w:rPr>
    </w:pPr>
    <w:r>
      <w:fldChar w:fldCharType="begin"/>
    </w:r>
    <w:r>
      <w:instrText xml:space="preserve"> SUBJECT </w:instrText>
    </w:r>
    <w:r>
      <w:fldChar w:fldCharType="separate"/>
    </w:r>
    <w:r w:rsidR="00A2061C">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966F84">
      <w:rPr>
        <w:noProof/>
      </w:rPr>
      <w:t>4</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4E0F3" w14:textId="77777777" w:rsidR="00DC7058" w:rsidRDefault="00DC7058">
      <w:pPr>
        <w:rPr>
          <w:sz w:val="12"/>
        </w:rPr>
      </w:pPr>
      <w:r>
        <w:separator/>
      </w:r>
    </w:p>
  </w:footnote>
  <w:footnote w:type="continuationSeparator" w:id="0">
    <w:p w14:paraId="1E3D1007" w14:textId="77777777" w:rsidR="00DC7058" w:rsidRDefault="00DC7058">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4DF82B5C" w14:textId="004447A2" w:rsidR="007F5D79" w:rsidRPr="00106288" w:rsidRDefault="007F5D79" w:rsidP="007F5D79">
      <w:pPr>
        <w:pStyle w:val="FootnoteText"/>
        <w:jc w:val="both"/>
        <w:rPr>
          <w:sz w:val="16"/>
          <w:szCs w:val="16"/>
        </w:rPr>
      </w:pPr>
      <w:r w:rsidRPr="00106288">
        <w:rPr>
          <w:rStyle w:val="FootnoteReference"/>
          <w:sz w:val="16"/>
          <w:szCs w:val="16"/>
        </w:rPr>
        <w:footnoteRef/>
      </w:r>
      <w:r w:rsidRPr="00106288">
        <w:rPr>
          <w:sz w:val="16"/>
          <w:szCs w:val="16"/>
        </w:rPr>
        <w:t xml:space="preserve"> Some examples of deployment where indoor SP is beneficial are where propagation environment requires additional link budget, such as airports, sport venues, concert halls, and warehouses.</w:t>
      </w:r>
    </w:p>
  </w:footnote>
  <w:footnote w:id="3">
    <w:p w14:paraId="3938DFD0" w14:textId="0156264A" w:rsidR="007F5D79" w:rsidRPr="00106288" w:rsidRDefault="007F5D79" w:rsidP="007F5D79">
      <w:pPr>
        <w:pStyle w:val="FootnoteText"/>
        <w:jc w:val="both"/>
        <w:rPr>
          <w:sz w:val="16"/>
          <w:szCs w:val="16"/>
        </w:rPr>
      </w:pPr>
      <w:r w:rsidRPr="00106288">
        <w:rPr>
          <w:rStyle w:val="None"/>
          <w:sz w:val="16"/>
          <w:szCs w:val="16"/>
          <w:vertAlign w:val="superscript"/>
        </w:rPr>
        <w:footnoteRef/>
      </w:r>
      <w:r w:rsidRPr="00106288">
        <w:rPr>
          <w:rStyle w:val="None"/>
          <w:sz w:val="16"/>
          <w:szCs w:val="16"/>
          <w:vertAlign w:val="superscript"/>
        </w:rPr>
        <w:t xml:space="preserve"> </w:t>
      </w:r>
      <w:r w:rsidRPr="00106288">
        <w:rPr>
          <w:rStyle w:val="None"/>
          <w:sz w:val="16"/>
          <w:szCs w:val="16"/>
        </w:rPr>
        <w:t xml:space="preserve">See Federal Communications Commission: OET Announces Conditional Approval for 6 GHz Band AFC Systems, </w:t>
      </w:r>
      <w:hyperlink r:id="rId1" w:history="1">
        <w:r w:rsidRPr="00106288">
          <w:rPr>
            <w:rStyle w:val="Hyperlink"/>
            <w:sz w:val="16"/>
            <w:szCs w:val="16"/>
          </w:rPr>
          <w:t>https://www.fcc.gov/document/oet-announces-conditional-approval-6-ghz-band-afc-systems</w:t>
        </w:r>
      </w:hyperlink>
      <w:r w:rsidRPr="00106288">
        <w:rPr>
          <w:rStyle w:val="None"/>
          <w:sz w:val="16"/>
          <w:szCs w:val="16"/>
        </w:rPr>
        <w:t xml:space="preserve"> [accessed:</w:t>
      </w:r>
      <w:r w:rsidR="007877CA" w:rsidRPr="00106288">
        <w:rPr>
          <w:rStyle w:val="None"/>
          <w:sz w:val="16"/>
          <w:szCs w:val="16"/>
        </w:rPr>
        <w:t xml:space="preserve"> 12</w:t>
      </w:r>
      <w:r w:rsidR="003F1F0D" w:rsidRPr="00106288">
        <w:rPr>
          <w:rStyle w:val="None"/>
          <w:sz w:val="16"/>
          <w:szCs w:val="16"/>
        </w:rPr>
        <w:t xml:space="preserve"> November</w:t>
      </w:r>
      <w:r w:rsidRPr="00106288">
        <w:rPr>
          <w:rStyle w:val="None"/>
          <w:sz w:val="16"/>
          <w:szCs w:val="16"/>
        </w:rPr>
        <w:t xml:space="preserve"> 2024]</w:t>
      </w:r>
    </w:p>
  </w:footnote>
  <w:footnote w:id="4">
    <w:p w14:paraId="31C56653" w14:textId="3381458E" w:rsidR="003F0A1E" w:rsidRPr="00106288" w:rsidRDefault="003F0A1E" w:rsidP="003F0A1E">
      <w:pPr>
        <w:pStyle w:val="FootnoteText"/>
        <w:jc w:val="both"/>
        <w:rPr>
          <w:sz w:val="16"/>
          <w:szCs w:val="16"/>
        </w:rPr>
      </w:pPr>
      <w:r w:rsidRPr="00106288">
        <w:rPr>
          <w:rStyle w:val="FootnoteReference"/>
          <w:sz w:val="16"/>
          <w:szCs w:val="16"/>
        </w:rPr>
        <w:footnoteRef/>
      </w:r>
      <w:r w:rsidRPr="00106288">
        <w:rPr>
          <w:sz w:val="16"/>
          <w:szCs w:val="16"/>
        </w:rPr>
        <w:t xml:space="preserve"> See 47 CFR §§ 15.407 (k)(9)(i), the Code of Federal Regulations, Office of the Federal Register, United States of America, </w:t>
      </w:r>
      <w:hyperlink r:id="rId2" w:history="1">
        <w:r w:rsidRPr="00106288">
          <w:rPr>
            <w:rStyle w:val="Hyperlink"/>
            <w:sz w:val="16"/>
            <w:szCs w:val="16"/>
          </w:rPr>
          <w:t>https://www.ecfr.gov/current/title-47/chapter-I/subchapter-A/part-15/subpart-E/section-15.407</w:t>
        </w:r>
      </w:hyperlink>
      <w:r w:rsidRPr="00106288">
        <w:rPr>
          <w:sz w:val="16"/>
          <w:szCs w:val="16"/>
        </w:rPr>
        <w:t xml:space="preserve"> [accessed: </w:t>
      </w:r>
      <w:r w:rsidR="007877CA" w:rsidRPr="00106288">
        <w:rPr>
          <w:sz w:val="16"/>
          <w:szCs w:val="16"/>
        </w:rPr>
        <w:t>12</w:t>
      </w:r>
      <w:r w:rsidRPr="00106288">
        <w:rPr>
          <w:sz w:val="16"/>
          <w:szCs w:val="16"/>
        </w:rPr>
        <w:t xml:space="preserve"> November 2024].</w:t>
      </w:r>
    </w:p>
  </w:footnote>
  <w:footnote w:id="5">
    <w:p w14:paraId="7CF35909" w14:textId="49CDAA58" w:rsidR="003F0A1E" w:rsidRPr="00106288" w:rsidRDefault="003F0A1E" w:rsidP="003F0A1E">
      <w:pPr>
        <w:pStyle w:val="FootnoteText"/>
        <w:jc w:val="both"/>
        <w:rPr>
          <w:sz w:val="16"/>
          <w:szCs w:val="16"/>
        </w:rPr>
      </w:pPr>
      <w:r w:rsidRPr="00106288">
        <w:rPr>
          <w:rStyle w:val="FootnoteReference"/>
          <w:sz w:val="16"/>
          <w:szCs w:val="16"/>
        </w:rPr>
        <w:footnoteRef/>
      </w:r>
      <w:r w:rsidRPr="00106288">
        <w:rPr>
          <w:sz w:val="16"/>
          <w:szCs w:val="16"/>
        </w:rPr>
        <w:t xml:space="preserve"> See 9.1.1, DBS-06 — Automated Frequency Coordination (AFC) System Specifications for the 6 GHz (5925-6875 MHz) Frequency Band, Innovation, Science and Economic Development Canada, </w:t>
      </w:r>
      <w:hyperlink r:id="rId3" w:history="1">
        <w:r w:rsidRPr="00106288">
          <w:rPr>
            <w:rStyle w:val="Hyperlink"/>
            <w:sz w:val="16"/>
            <w:szCs w:val="16"/>
          </w:rPr>
          <w:t>https://ised-isde.canada.ca/site/spectrum-management-telecommunications/en/devices-and-equipment/radio-equipment-standards/database-specifications-dbs/dbs-06-automated-frequency-coordination-afc-system-specifications-6-ghz-5925-6875-mhz-frequency-band</w:t>
        </w:r>
      </w:hyperlink>
      <w:r w:rsidRPr="00106288">
        <w:rPr>
          <w:sz w:val="16"/>
          <w:szCs w:val="16"/>
        </w:rPr>
        <w:t xml:space="preserve"> [accessed: </w:t>
      </w:r>
      <w:r w:rsidR="007877CA" w:rsidRPr="00106288">
        <w:rPr>
          <w:sz w:val="16"/>
          <w:szCs w:val="16"/>
        </w:rPr>
        <w:t>12</w:t>
      </w:r>
      <w:r w:rsidRPr="00106288">
        <w:rPr>
          <w:sz w:val="16"/>
          <w:szCs w:val="16"/>
        </w:rPr>
        <w:t xml:space="preserve"> November 2024].</w:t>
      </w:r>
    </w:p>
  </w:footnote>
  <w:footnote w:id="6">
    <w:p w14:paraId="2E92FF40" w14:textId="58541CAC" w:rsidR="007506F9" w:rsidRPr="00106288" w:rsidRDefault="007506F9">
      <w:pPr>
        <w:pStyle w:val="FootnoteText"/>
        <w:rPr>
          <w:sz w:val="16"/>
          <w:szCs w:val="16"/>
        </w:rPr>
      </w:pPr>
      <w:r w:rsidRPr="00106288">
        <w:rPr>
          <w:rStyle w:val="FootnoteReference"/>
          <w:sz w:val="16"/>
          <w:szCs w:val="16"/>
        </w:rPr>
        <w:footnoteRef/>
      </w:r>
      <w:r w:rsidRPr="00106288">
        <w:rPr>
          <w:sz w:val="16"/>
          <w:szCs w:val="16"/>
        </w:rPr>
        <w:t xml:space="preserve"> </w:t>
      </w:r>
      <w:r w:rsidRPr="00106288">
        <w:rPr>
          <w:sz w:val="16"/>
          <w:szCs w:val="16"/>
        </w:rPr>
        <w:t>See 47 CFR §§ 15.407 (k)(</w:t>
      </w:r>
      <w:r w:rsidRPr="00106288">
        <w:rPr>
          <w:sz w:val="16"/>
          <w:szCs w:val="16"/>
        </w:rPr>
        <w:t>8</w:t>
      </w:r>
      <w:r w:rsidRPr="00106288">
        <w:rPr>
          <w:sz w:val="16"/>
          <w:szCs w:val="16"/>
        </w:rPr>
        <w:t>)(i</w:t>
      </w:r>
      <w:r w:rsidRPr="00106288">
        <w:rPr>
          <w:sz w:val="16"/>
          <w:szCs w:val="16"/>
        </w:rPr>
        <w:t>v</w:t>
      </w:r>
      <w:r w:rsidRPr="00106288">
        <w:rPr>
          <w:sz w:val="16"/>
          <w:szCs w:val="16"/>
        </w:rPr>
        <w:t>), the Code of Federal Regulations, Office of the Federal Register, United States of America.</w:t>
      </w:r>
    </w:p>
  </w:footnote>
  <w:footnote w:id="7">
    <w:p w14:paraId="0EB9FE7E" w14:textId="6F2A81EA" w:rsidR="007877CA" w:rsidRPr="00106288" w:rsidRDefault="007877CA">
      <w:pPr>
        <w:pStyle w:val="FootnoteText"/>
        <w:rPr>
          <w:sz w:val="16"/>
          <w:szCs w:val="16"/>
        </w:rPr>
      </w:pPr>
      <w:r w:rsidRPr="00106288">
        <w:rPr>
          <w:rStyle w:val="FootnoteReference"/>
          <w:sz w:val="16"/>
          <w:szCs w:val="16"/>
        </w:rPr>
        <w:footnoteRef/>
      </w:r>
      <w:r w:rsidRPr="00106288">
        <w:rPr>
          <w:sz w:val="16"/>
          <w:szCs w:val="16"/>
        </w:rPr>
        <w:t xml:space="preserve"> </w:t>
      </w:r>
      <w:r w:rsidRPr="00106288">
        <w:rPr>
          <w:sz w:val="16"/>
          <w:szCs w:val="16"/>
        </w:rPr>
        <w:t>See 9.</w:t>
      </w:r>
      <w:r w:rsidRPr="00106288">
        <w:rPr>
          <w:sz w:val="16"/>
          <w:szCs w:val="16"/>
        </w:rPr>
        <w:t>3</w:t>
      </w:r>
      <w:r w:rsidRPr="00106288">
        <w:rPr>
          <w:sz w:val="16"/>
          <w:szCs w:val="16"/>
        </w:rPr>
        <w:t>, DBS-06 — Automated Frequency Coordination (AFC) System Specifications for the 6 GHz (5925-6875 MHz) Frequency Band, Innovation, Science and Economic Development Canada.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6CE7E892" w:rsidR="002E0A70" w:rsidRDefault="000B24C7">
    <w:pPr>
      <w:pStyle w:val="Header"/>
      <w:tabs>
        <w:tab w:val="clear" w:pos="6480"/>
        <w:tab w:val="center" w:pos="4680"/>
        <w:tab w:val="right" w:pos="9360"/>
      </w:tabs>
    </w:pPr>
    <w:r>
      <w:t xml:space="preserve">November </w:t>
    </w:r>
    <w:r w:rsidR="002E0A70">
      <w:t xml:space="preserve">2024 </w:t>
    </w:r>
    <w:r w:rsidR="002E0A70">
      <w:tab/>
    </w:r>
    <w:r w:rsidR="002E0A70">
      <w:tab/>
      <w:t>doc.: IEEE 802.18-24/0</w:t>
    </w:r>
    <w:r w:rsidR="00B06B90">
      <w:t>1</w:t>
    </w:r>
    <w:r w:rsidR="00C7299F">
      <w:t>12</w:t>
    </w:r>
    <w:r w:rsidR="002E0A70">
      <w:t>r</w:t>
    </w:r>
    <w:r w:rsidR="002669E8">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7"/>
  </w:num>
  <w:num w:numId="4">
    <w:abstractNumId w:val="4"/>
  </w:num>
  <w:num w:numId="5">
    <w:abstractNumId w:val="3"/>
  </w:num>
  <w:num w:numId="6">
    <w:abstractNumId w:val="19"/>
  </w:num>
  <w:num w:numId="7">
    <w:abstractNumId w:val="13"/>
  </w:num>
  <w:num w:numId="8">
    <w:abstractNumId w:val="14"/>
  </w:num>
  <w:num w:numId="9">
    <w:abstractNumId w:val="23"/>
  </w:num>
  <w:num w:numId="10">
    <w:abstractNumId w:val="21"/>
  </w:num>
  <w:num w:numId="11">
    <w:abstractNumId w:val="20"/>
  </w:num>
  <w:num w:numId="12">
    <w:abstractNumId w:val="10"/>
  </w:num>
  <w:num w:numId="13">
    <w:abstractNumId w:val="6"/>
  </w:num>
  <w:num w:numId="14">
    <w:abstractNumId w:val="0"/>
  </w:num>
  <w:num w:numId="15">
    <w:abstractNumId w:val="8"/>
  </w:num>
  <w:num w:numId="16">
    <w:abstractNumId w:val="11"/>
  </w:num>
  <w:num w:numId="17">
    <w:abstractNumId w:val="17"/>
  </w:num>
  <w:num w:numId="18">
    <w:abstractNumId w:val="15"/>
  </w:num>
  <w:num w:numId="19">
    <w:abstractNumId w:val="16"/>
  </w:num>
  <w:num w:numId="20">
    <w:abstractNumId w:val="2"/>
  </w:num>
  <w:num w:numId="21">
    <w:abstractNumId w:val="1"/>
  </w:num>
  <w:num w:numId="22">
    <w:abstractNumId w:val="12"/>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288"/>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83D"/>
    <w:rsid w:val="00180622"/>
    <w:rsid w:val="001814B5"/>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F1F"/>
    <w:rsid w:val="001D3C24"/>
    <w:rsid w:val="001D49EB"/>
    <w:rsid w:val="001D61C2"/>
    <w:rsid w:val="001D7850"/>
    <w:rsid w:val="001E00AB"/>
    <w:rsid w:val="001E1590"/>
    <w:rsid w:val="001E15BE"/>
    <w:rsid w:val="001E1B42"/>
    <w:rsid w:val="001E1EDE"/>
    <w:rsid w:val="001E29F7"/>
    <w:rsid w:val="001E367A"/>
    <w:rsid w:val="001E3C0B"/>
    <w:rsid w:val="001E3E9F"/>
    <w:rsid w:val="001E452D"/>
    <w:rsid w:val="001E487C"/>
    <w:rsid w:val="001E4E13"/>
    <w:rsid w:val="001E4ECB"/>
    <w:rsid w:val="001E6566"/>
    <w:rsid w:val="001E729A"/>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34"/>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669E8"/>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5561"/>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509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A1E"/>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3F50"/>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199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80F"/>
    <w:rsid w:val="005A4CFB"/>
    <w:rsid w:val="005A7037"/>
    <w:rsid w:val="005B008B"/>
    <w:rsid w:val="005B042F"/>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37DE0"/>
    <w:rsid w:val="006406E2"/>
    <w:rsid w:val="00641E4A"/>
    <w:rsid w:val="00642101"/>
    <w:rsid w:val="00642106"/>
    <w:rsid w:val="00642409"/>
    <w:rsid w:val="00642473"/>
    <w:rsid w:val="00642A1B"/>
    <w:rsid w:val="00645ABF"/>
    <w:rsid w:val="00646330"/>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06F9"/>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5E0B"/>
    <w:rsid w:val="00776976"/>
    <w:rsid w:val="00777405"/>
    <w:rsid w:val="00777418"/>
    <w:rsid w:val="00780788"/>
    <w:rsid w:val="00782007"/>
    <w:rsid w:val="00782CA4"/>
    <w:rsid w:val="0078363F"/>
    <w:rsid w:val="00784130"/>
    <w:rsid w:val="0078704E"/>
    <w:rsid w:val="007877CA"/>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1D40"/>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6F84"/>
    <w:rsid w:val="00971471"/>
    <w:rsid w:val="00972657"/>
    <w:rsid w:val="00972CF4"/>
    <w:rsid w:val="00972E75"/>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388"/>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0E06"/>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347B"/>
    <w:rsid w:val="00AC48F6"/>
    <w:rsid w:val="00AC4C84"/>
    <w:rsid w:val="00AC5AF5"/>
    <w:rsid w:val="00AC659E"/>
    <w:rsid w:val="00AC67F9"/>
    <w:rsid w:val="00AC6B24"/>
    <w:rsid w:val="00AD116F"/>
    <w:rsid w:val="00AD20E1"/>
    <w:rsid w:val="00AD340E"/>
    <w:rsid w:val="00AD3481"/>
    <w:rsid w:val="00AD4D84"/>
    <w:rsid w:val="00AD7147"/>
    <w:rsid w:val="00AD7308"/>
    <w:rsid w:val="00AE16D7"/>
    <w:rsid w:val="00AE1AFA"/>
    <w:rsid w:val="00AE1B9C"/>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6159"/>
    <w:rsid w:val="00B4631F"/>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682"/>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6949"/>
    <w:rsid w:val="00C5798D"/>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052"/>
    <w:rsid w:val="00CC3A9D"/>
    <w:rsid w:val="00CC4878"/>
    <w:rsid w:val="00CC515F"/>
    <w:rsid w:val="00CC630D"/>
    <w:rsid w:val="00CC7169"/>
    <w:rsid w:val="00CD0480"/>
    <w:rsid w:val="00CD1B34"/>
    <w:rsid w:val="00CD39C9"/>
    <w:rsid w:val="00CD4491"/>
    <w:rsid w:val="00CD44C0"/>
    <w:rsid w:val="00CD47D5"/>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087C"/>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A343B"/>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058"/>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430B"/>
    <w:rsid w:val="00DE5D6F"/>
    <w:rsid w:val="00DE6F13"/>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983"/>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sed-isde.canada.ca/site/spectrum-management-telecommunications/en/devices-and-equipment/radio-equipment-standards/database-specifications-dbs/dbs-06-automated-frequency-coordination-afc-system-specifications-6-ghz-5925-6875-mhz-frequency-band" TargetMode="External"/><Relationship Id="rId2" Type="http://schemas.openxmlformats.org/officeDocument/2006/relationships/hyperlink" Target="https://www.ecfr.gov/current/title-47/chapter-I/subchapter-A/part-15/subpart-E/section-15.407" TargetMode="External"/><Relationship Id="rId1" Type="http://schemas.openxmlformats.org/officeDocument/2006/relationships/hyperlink" Target="https://www.fcc.gov/document/oet-announces-conditional-approval-6-ghz-band-afc-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D7C58-7CEB-4175-A2CA-940D40FF932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28</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18-24/0112r1</vt:lpstr>
    </vt:vector>
  </TitlesOfParts>
  <Company>Some Company</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18-24/0112r2</dc:title>
  <dc:subject>Submission</dc:subject>
  <dc:creator>Editor</dc:creator>
  <dc:description>Proposed response to Saudi Arabia CST's consultation re 6 GHz AFC</dc:description>
  <cp:lastModifiedBy>Edward Au</cp:lastModifiedBy>
  <cp:revision>17</cp:revision>
  <cp:lastPrinted>2024-10-31T14:30:00Z</cp:lastPrinted>
  <dcterms:created xsi:type="dcterms:W3CDTF">2024-11-12T00:44:00Z</dcterms:created>
  <dcterms:modified xsi:type="dcterms:W3CDTF">2024-11-12T18:04:00Z</dcterms:modified>
  <dc:language>sv-SE</dc:language>
</cp:coreProperties>
</file>