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0A364CB" w:rsidR="002E16F1" w:rsidRDefault="001B321C" w:rsidP="007C5F7C">
            <w:pPr>
              <w:pStyle w:val="T2"/>
              <w:widowControl w:val="0"/>
              <w:rPr>
                <w:b w:val="0"/>
              </w:rPr>
            </w:pPr>
            <w:r>
              <w:rPr>
                <w:b w:val="0"/>
                <w:bCs/>
              </w:rPr>
              <w:t>Draft</w:t>
            </w:r>
            <w:r w:rsidR="00697BD5">
              <w:rPr>
                <w:b w:val="0"/>
                <w:bCs/>
              </w:rPr>
              <w:t xml:space="preserve"> </w:t>
            </w:r>
            <w:r w:rsidR="00E640DE" w:rsidRPr="00E640DE">
              <w:rPr>
                <w:b w:val="0"/>
                <w:bCs/>
              </w:rPr>
              <w:t>response to</w:t>
            </w:r>
            <w:r w:rsidR="00697BD5">
              <w:rPr>
                <w:b w:val="0"/>
                <w:bCs/>
              </w:rPr>
              <w:t xml:space="preserve"> </w:t>
            </w:r>
            <w:r w:rsidR="007C5F7C">
              <w:rPr>
                <w:b w:val="0"/>
                <w:bCs/>
              </w:rPr>
              <w:t>Czech CTU’s consultation on draft Radio Spectrum Management Strategy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B456535" w:rsidR="002E16F1" w:rsidRDefault="007C1BD0" w:rsidP="00DF5128">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180622">
              <w:rPr>
                <w:b w:val="0"/>
                <w:sz w:val="20"/>
              </w:rPr>
              <w:t>27</w:t>
            </w:r>
            <w:bookmarkStart w:id="0" w:name="_GoBack"/>
            <w:bookmarkEnd w:id="0"/>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66652B44"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80C31" w:rsidRPr="00A80C31">
                              <w:rPr>
                                <w:color w:val="000000"/>
                              </w:rPr>
                              <w:t>Czech Telecommunication Office</w:t>
                            </w:r>
                            <w:r w:rsidR="00A80C31">
                              <w:rPr>
                                <w:color w:val="000000"/>
                              </w:rPr>
                              <w:t xml:space="preserve"> (CTU)</w:t>
                            </w:r>
                            <w:r w:rsidR="00A80C31" w:rsidRPr="00A80C31">
                              <w:rPr>
                                <w:color w:val="000000"/>
                              </w:rPr>
                              <w:t xml:space="preserve">’s </w:t>
                            </w:r>
                            <w:r w:rsidR="00CD4962">
                              <w:rPr>
                                <w:color w:val="000000"/>
                              </w:rPr>
                              <w:t>c</w:t>
                            </w:r>
                            <w:r w:rsidR="00CD4962" w:rsidRPr="00CD4962">
                              <w:rPr>
                                <w:color w:val="000000"/>
                              </w:rPr>
                              <w:t>onsultation “Call for comments on draft Radio Spectrum Management Strategy”</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66652B44"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80C31" w:rsidRPr="00A80C31">
                        <w:rPr>
                          <w:color w:val="000000"/>
                        </w:rPr>
                        <w:t>Czech Telecommunication Office</w:t>
                      </w:r>
                      <w:r w:rsidR="00A80C31">
                        <w:rPr>
                          <w:color w:val="000000"/>
                        </w:rPr>
                        <w:t xml:space="preserve"> (CTU)</w:t>
                      </w:r>
                      <w:r w:rsidR="00A80C31" w:rsidRPr="00A80C31">
                        <w:rPr>
                          <w:color w:val="000000"/>
                        </w:rPr>
                        <w:t xml:space="preserve">’s </w:t>
                      </w:r>
                      <w:r w:rsidR="00CD4962">
                        <w:rPr>
                          <w:color w:val="000000"/>
                        </w:rPr>
                        <w:t>c</w:t>
                      </w:r>
                      <w:r w:rsidR="00CD4962" w:rsidRPr="00CD4962">
                        <w:rPr>
                          <w:color w:val="000000"/>
                        </w:rPr>
                        <w:t>onsultation “Call for comments on draft Radio Spectrum Management Strategy”</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8B9ABC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CD4962">
        <w:rPr>
          <w:sz w:val="24"/>
          <w:szCs w:val="24"/>
        </w:rPr>
        <w:t>November 11</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631FF016"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“Call for comments</w:t>
      </w:r>
      <w:r w:rsidR="001B321C" w:rsidRPr="001B321C">
        <w:rPr>
          <w:sz w:val="24"/>
          <w:szCs w:val="24"/>
        </w:rPr>
        <w:t xml:space="preserve"> on draft Radio Spectrum Management Strategy</w:t>
      </w:r>
      <w:r w:rsidR="002A548E">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70B39FAE"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CD4962" w:rsidRPr="00CD4962">
        <w:rPr>
          <w:rStyle w:val="None"/>
          <w:sz w:val="24"/>
          <w:szCs w:val="24"/>
        </w:rPr>
        <w:t>Czech Telecommunication Office (CTU)</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CD4962" w:rsidRPr="001B321C">
        <w:rPr>
          <w:sz w:val="24"/>
          <w:szCs w:val="24"/>
        </w:rPr>
        <w:t xml:space="preserve">on </w:t>
      </w:r>
      <w:r w:rsidR="00CD4962">
        <w:rPr>
          <w:sz w:val="24"/>
          <w:szCs w:val="24"/>
        </w:rPr>
        <w:t xml:space="preserve">the </w:t>
      </w:r>
      <w:r w:rsidR="00CD4962" w:rsidRPr="001B321C">
        <w:rPr>
          <w:sz w:val="24"/>
          <w:szCs w:val="24"/>
        </w:rPr>
        <w:t>draft Radio Spectrum Management Strategy</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101EDE17"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sidR="004244D7">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3F315CFD" w:rsidR="007C1BD0" w:rsidRDefault="00B41850" w:rsidP="007C1BD0">
      <w:pPr>
        <w:jc w:val="both"/>
        <w:rPr>
          <w:sz w:val="24"/>
          <w:szCs w:val="24"/>
        </w:rPr>
      </w:pPr>
      <w:r w:rsidRPr="00B41850">
        <w:rPr>
          <w:sz w:val="24"/>
          <w:szCs w:val="24"/>
        </w:rPr>
        <w:t xml:space="preserve">IEEE 802 LMSC follows </w:t>
      </w:r>
      <w:r>
        <w:rPr>
          <w:sz w:val="24"/>
          <w:szCs w:val="24"/>
        </w:rPr>
        <w:t>Czech</w:t>
      </w:r>
      <w:r w:rsidRPr="00B41850">
        <w:rPr>
          <w:sz w:val="24"/>
          <w:szCs w:val="24"/>
        </w:rPr>
        <w:t xml:space="preserve">’s regulatory activities regarding </w:t>
      </w:r>
      <w:r>
        <w:rPr>
          <w:sz w:val="24"/>
          <w:szCs w:val="24"/>
        </w:rPr>
        <w:t>license-exempt short-range devices closely and applauds CTU for developing the latest version of the Radio Spectrum Management Strategy.</w:t>
      </w:r>
      <w:r w:rsidRPr="00B41850">
        <w:rPr>
          <w:sz w:val="24"/>
          <w:szCs w:val="24"/>
        </w:rPr>
        <w:t xml:space="preserve"> </w:t>
      </w:r>
      <w:r>
        <w:rPr>
          <w:sz w:val="24"/>
          <w:szCs w:val="24"/>
        </w:rPr>
        <w:t xml:space="preserve"> </w:t>
      </w:r>
      <w:r w:rsidR="00C6489A"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3EDBD2D4" w14:textId="608CC275" w:rsidR="00A200BA" w:rsidRPr="00A200BA" w:rsidRDefault="00A200BA" w:rsidP="00A200BA">
      <w:pPr>
        <w:jc w:val="both"/>
        <w:rPr>
          <w:b/>
          <w:sz w:val="24"/>
          <w:szCs w:val="24"/>
        </w:rPr>
      </w:pPr>
      <w:r w:rsidRPr="00A200BA">
        <w:rPr>
          <w:b/>
          <w:sz w:val="24"/>
          <w:szCs w:val="24"/>
        </w:rPr>
        <w:t xml:space="preserve">The use of AFC technology for outdoor and indoor </w:t>
      </w:r>
      <w:r w:rsidR="00E34C6E">
        <w:rPr>
          <w:b/>
          <w:sz w:val="24"/>
          <w:szCs w:val="24"/>
        </w:rPr>
        <w:t xml:space="preserve">WLAN </w:t>
      </w:r>
      <w:r w:rsidRPr="00A200BA">
        <w:rPr>
          <w:b/>
          <w:sz w:val="24"/>
          <w:szCs w:val="24"/>
        </w:rPr>
        <w:t>operations</w:t>
      </w:r>
    </w:p>
    <w:p w14:paraId="1233E962" w14:textId="77777777" w:rsidR="00A200BA" w:rsidRPr="00A200BA" w:rsidRDefault="00A200BA" w:rsidP="00A200BA">
      <w:pPr>
        <w:jc w:val="both"/>
        <w:rPr>
          <w:sz w:val="24"/>
          <w:szCs w:val="24"/>
        </w:rPr>
      </w:pPr>
    </w:p>
    <w:p w14:paraId="6C8D0A53" w14:textId="63479856" w:rsidR="00A200BA" w:rsidRPr="00A200BA" w:rsidRDefault="00A200BA" w:rsidP="00A200BA">
      <w:pPr>
        <w:jc w:val="both"/>
        <w:rPr>
          <w:sz w:val="24"/>
          <w:szCs w:val="24"/>
        </w:rPr>
      </w:pPr>
      <w:r w:rsidRPr="00A200BA">
        <w:rPr>
          <w:sz w:val="24"/>
          <w:szCs w:val="24"/>
        </w:rPr>
        <w:t xml:space="preserve">Automatic Frequency Control (AFC) technology is a technique that may be used to protect incumbent services for outdoor and indoor operation at standard power (SP) level. IEEE 802 LMSC believes that an AFC system can provide effective automated spectrum sharing to enable essential Wi-Fi technology applications and use cases not only for outdoor operation but also indoor operation for the SP level over </w:t>
      </w:r>
      <w:r w:rsidR="00DE6F13">
        <w:rPr>
          <w:sz w:val="24"/>
          <w:szCs w:val="24"/>
        </w:rPr>
        <w:t>the lower 6 GHz band (i.e., 5925 MHz to 6425 MHz)</w:t>
      </w:r>
      <w:r w:rsidRPr="00A200BA">
        <w:rPr>
          <w:sz w:val="24"/>
          <w:szCs w:val="24"/>
        </w:rPr>
        <w:t xml:space="preserve">..  </w:t>
      </w:r>
    </w:p>
    <w:p w14:paraId="79D1F50E" w14:textId="77777777" w:rsidR="00A200BA" w:rsidRPr="00A200BA" w:rsidRDefault="00A200BA" w:rsidP="00A200BA">
      <w:pPr>
        <w:jc w:val="both"/>
        <w:rPr>
          <w:sz w:val="24"/>
          <w:szCs w:val="24"/>
        </w:rPr>
      </w:pPr>
    </w:p>
    <w:p w14:paraId="06B3114D" w14:textId="48C66FE9" w:rsidR="00A200BA" w:rsidRPr="00A200BA" w:rsidRDefault="00A200BA" w:rsidP="00A200BA">
      <w:pPr>
        <w:jc w:val="both"/>
        <w:rPr>
          <w:sz w:val="24"/>
          <w:szCs w:val="24"/>
        </w:rPr>
      </w:pPr>
      <w:r w:rsidRPr="00A200BA">
        <w:rPr>
          <w:sz w:val="24"/>
          <w:szCs w:val="24"/>
        </w:rPr>
        <w:t>The USA</w:t>
      </w:r>
      <w:r w:rsidR="00D936FC" w:rsidRPr="0097219D">
        <w:rPr>
          <w:rStyle w:val="None"/>
          <w:sz w:val="24"/>
          <w:szCs w:val="24"/>
          <w:vertAlign w:val="superscript"/>
        </w:rPr>
        <w:footnoteReference w:id="2"/>
      </w:r>
      <w:r w:rsidR="00D936FC">
        <w:rPr>
          <w:sz w:val="24"/>
          <w:szCs w:val="24"/>
        </w:rPr>
        <w:t xml:space="preserve"> </w:t>
      </w:r>
      <w:r w:rsidRPr="00A200BA">
        <w:rPr>
          <w:sz w:val="24"/>
          <w:szCs w:val="24"/>
        </w:rPr>
        <w:t>and Canada</w:t>
      </w:r>
      <w:r w:rsidR="007F5D79" w:rsidRPr="0097219D">
        <w:rPr>
          <w:rStyle w:val="None"/>
          <w:sz w:val="24"/>
          <w:szCs w:val="24"/>
          <w:vertAlign w:val="superscript"/>
        </w:rPr>
        <w:footnoteReference w:id="3"/>
      </w:r>
      <w:r w:rsidR="007F5D79">
        <w:rPr>
          <w:sz w:val="24"/>
          <w:szCs w:val="24"/>
        </w:rPr>
        <w:t xml:space="preserve"> </w:t>
      </w:r>
      <w:r w:rsidRPr="00A200BA">
        <w:rPr>
          <w:sz w:val="24"/>
          <w:szCs w:val="24"/>
        </w:rPr>
        <w:t xml:space="preserve">have already authorized SP operating mode and started certification of AFC systems. The certification process for AFC systems and devices is based on the industry </w:t>
      </w:r>
      <w:r w:rsidRPr="00A200BA">
        <w:rPr>
          <w:sz w:val="24"/>
          <w:szCs w:val="24"/>
        </w:rPr>
        <w:lastRenderedPageBreak/>
        <w:t>developed recommended compliance specifications</w:t>
      </w:r>
      <w:r w:rsidR="007F5D79" w:rsidRPr="0097219D">
        <w:rPr>
          <w:rStyle w:val="None"/>
          <w:sz w:val="24"/>
          <w:szCs w:val="24"/>
          <w:vertAlign w:val="superscript"/>
        </w:rPr>
        <w:footnoteReference w:id="4"/>
      </w:r>
      <w:r w:rsidR="007F5D79" w:rsidRPr="0097219D">
        <w:rPr>
          <w:rStyle w:val="None"/>
          <w:sz w:val="24"/>
          <w:szCs w:val="24"/>
          <w:vertAlign w:val="superscript"/>
        </w:rPr>
        <w:t>,</w:t>
      </w:r>
      <w:r w:rsidR="007F5D79" w:rsidRPr="0097219D">
        <w:rPr>
          <w:rStyle w:val="None"/>
          <w:sz w:val="24"/>
          <w:szCs w:val="24"/>
          <w:vertAlign w:val="superscript"/>
        </w:rPr>
        <w:footnoteReference w:id="5"/>
      </w:r>
      <w:r w:rsidRPr="00A200BA">
        <w:rPr>
          <w:sz w:val="24"/>
          <w:szCs w:val="24"/>
        </w:rPr>
        <w:t xml:space="preserve">. A number of AFC devices and fixed client devices are already certified. </w:t>
      </w:r>
    </w:p>
    <w:p w14:paraId="1EAB6A27" w14:textId="77777777" w:rsidR="00A200BA" w:rsidRPr="00A200BA" w:rsidRDefault="00A200BA" w:rsidP="00A200BA">
      <w:pPr>
        <w:jc w:val="both"/>
        <w:rPr>
          <w:sz w:val="24"/>
          <w:szCs w:val="24"/>
        </w:rPr>
      </w:pPr>
    </w:p>
    <w:p w14:paraId="31140FF8" w14:textId="2CA0894E" w:rsidR="00A200BA" w:rsidRPr="00A200BA" w:rsidRDefault="00A200BA" w:rsidP="00A200BA">
      <w:pPr>
        <w:jc w:val="both"/>
        <w:rPr>
          <w:sz w:val="24"/>
          <w:szCs w:val="24"/>
        </w:rPr>
      </w:pPr>
      <w:r w:rsidRPr="00A200BA">
        <w:rPr>
          <w:sz w:val="24"/>
          <w:szCs w:val="24"/>
        </w:rPr>
        <w:t xml:space="preserve">IEEE 802 LMSC notes the presence of different types of incumbent services in </w:t>
      </w:r>
      <w:r w:rsidR="007F5D79">
        <w:rPr>
          <w:sz w:val="24"/>
          <w:szCs w:val="24"/>
        </w:rPr>
        <w:t>Republic of Czech</w:t>
      </w:r>
      <w:r w:rsidRPr="00A200BA">
        <w:rPr>
          <w:sz w:val="24"/>
          <w:szCs w:val="24"/>
        </w:rPr>
        <w:t xml:space="preserve">. Our understanding is that existing AFC systems are designed with flexibility built-in specifically to enable the AFC system to be customized based on local requirements. Therefore, with proper consideration of protection criteria for the incumbent services, we believe that AFC systems can properly implement the frequency coordination and maximum allowable power settings for AFC devices. As an example, in the USA, AFC systems determine frequency and channel availability and maximum permissible power levels for AFC devices considering incumbent fixed services and radio astronomy services. AFC systems already taken into account neighboring countries incumbent services at the borders. </w:t>
      </w:r>
    </w:p>
    <w:p w14:paraId="69B5609A" w14:textId="77777777" w:rsidR="00A200BA" w:rsidRPr="00A200BA" w:rsidRDefault="00A200BA" w:rsidP="00A200BA">
      <w:pPr>
        <w:jc w:val="both"/>
        <w:rPr>
          <w:sz w:val="24"/>
          <w:szCs w:val="24"/>
        </w:rPr>
      </w:pPr>
    </w:p>
    <w:p w14:paraId="6E47E708" w14:textId="77777777" w:rsidR="00A200BA" w:rsidRPr="00A200BA" w:rsidRDefault="00A200BA" w:rsidP="00A200BA">
      <w:pPr>
        <w:jc w:val="both"/>
        <w:rPr>
          <w:sz w:val="24"/>
          <w:szCs w:val="24"/>
        </w:rPr>
      </w:pPr>
      <w:r w:rsidRPr="00A200BA">
        <w:rPr>
          <w:sz w:val="24"/>
          <w:szCs w:val="24"/>
        </w:rPr>
        <w:t>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the 6 GHz incumbents links are changed. This means that not only harmful interference to fixed services and broadcasting services are protected by AFC systems, any expansion of such incumbent services over time can be achieved without a need to redesign the AFC systems.</w:t>
      </w:r>
    </w:p>
    <w:p w14:paraId="57771E1C" w14:textId="77777777" w:rsidR="00A200BA" w:rsidRPr="00A200BA" w:rsidRDefault="00A200BA" w:rsidP="00A200BA">
      <w:pPr>
        <w:jc w:val="both"/>
        <w:rPr>
          <w:sz w:val="24"/>
          <w:szCs w:val="24"/>
        </w:rPr>
      </w:pPr>
    </w:p>
    <w:p w14:paraId="24BEA366" w14:textId="0FEE04BF" w:rsidR="006604CA" w:rsidRDefault="00A200BA" w:rsidP="00A200BA">
      <w:pPr>
        <w:jc w:val="both"/>
        <w:rPr>
          <w:sz w:val="24"/>
          <w:szCs w:val="24"/>
        </w:rPr>
      </w:pPr>
      <w:r w:rsidRPr="00A200BA">
        <w:rPr>
          <w:sz w:val="24"/>
          <w:szCs w:val="24"/>
        </w:rPr>
        <w:t xml:space="preserve">As we believe the indoor SP mode could be an important feature in </w:t>
      </w:r>
      <w:r w:rsidR="007F5D79">
        <w:rPr>
          <w:sz w:val="24"/>
          <w:szCs w:val="24"/>
        </w:rPr>
        <w:t>Republic of Czech</w:t>
      </w:r>
      <w:r w:rsidRPr="00A200BA">
        <w:rPr>
          <w:sz w:val="24"/>
          <w:szCs w:val="24"/>
        </w:rPr>
        <w:t xml:space="preserve"> because of e</w:t>
      </w:r>
      <w:r w:rsidR="007F5D79">
        <w:rPr>
          <w:sz w:val="24"/>
          <w:szCs w:val="24"/>
        </w:rPr>
        <w:t>xtensive indoor WLAN facilities</w:t>
      </w:r>
      <w:r w:rsidR="007F5D79">
        <w:rPr>
          <w:rStyle w:val="FootnoteReference"/>
          <w:sz w:val="24"/>
          <w:szCs w:val="24"/>
        </w:rPr>
        <w:footnoteReference w:id="6"/>
      </w:r>
      <w:r w:rsidRPr="00A200BA">
        <w:rPr>
          <w:sz w:val="24"/>
          <w:szCs w:val="24"/>
        </w:rPr>
        <w:t xml:space="preserve">, IEEE 802 LMSC recommends MIC to include indoor SP mode for its proceedings for AFC systems and SP regulation. AFC systems are designed not only to enable SP mode for outdoor operation but also to improve the performance of indoor WLAN systems. Considering this, IEEE 802 LMSC recommends MIC to consider authorizing indoor SP mode and allowing AFC systems to incorporate associated Building Entry Loss (BEL) in the AFC system calculations. As an example, FCC already accepts request for inclusion of BEL through various waiver </w:t>
      </w:r>
      <w:r w:rsidR="007F5D79" w:rsidRPr="00834288">
        <w:rPr>
          <w:sz w:val="24"/>
          <w:szCs w:val="24"/>
        </w:rPr>
        <w:t>requests</w:t>
      </w:r>
      <w:r w:rsidR="007F5D79">
        <w:rPr>
          <w:rStyle w:val="FootnoteReference"/>
          <w:sz w:val="24"/>
          <w:szCs w:val="24"/>
        </w:rPr>
        <w:footnoteReference w:id="7"/>
      </w:r>
      <w:r w:rsidR="007F5D79">
        <w:rPr>
          <w:sz w:val="24"/>
          <w:szCs w:val="24"/>
        </w:rPr>
        <w:t>.</w:t>
      </w:r>
    </w:p>
    <w:p w14:paraId="0DF7C0FB" w14:textId="77777777" w:rsidR="00A200BA" w:rsidRDefault="00A200BA" w:rsidP="006604CA">
      <w:pPr>
        <w:jc w:val="both"/>
        <w:rPr>
          <w:sz w:val="24"/>
          <w:szCs w:val="24"/>
        </w:rPr>
      </w:pPr>
    </w:p>
    <w:p w14:paraId="583CCE55" w14:textId="77777777" w:rsidR="000731B2" w:rsidRPr="000731B2" w:rsidRDefault="000731B2" w:rsidP="000731B2">
      <w:pPr>
        <w:jc w:val="both"/>
        <w:rPr>
          <w:b/>
          <w:sz w:val="24"/>
          <w:szCs w:val="24"/>
        </w:rPr>
      </w:pPr>
      <w:r w:rsidRPr="000731B2">
        <w:rPr>
          <w:b/>
          <w:sz w:val="24"/>
          <w:szCs w:val="24"/>
        </w:rPr>
        <w:t>6425 MHz to 7125 MHz for license-exempt operations</w:t>
      </w:r>
    </w:p>
    <w:p w14:paraId="2FC47064" w14:textId="77777777" w:rsidR="000731B2" w:rsidRPr="000731B2" w:rsidRDefault="000731B2" w:rsidP="000731B2">
      <w:pPr>
        <w:jc w:val="both"/>
        <w:rPr>
          <w:sz w:val="24"/>
          <w:szCs w:val="24"/>
        </w:rPr>
      </w:pPr>
    </w:p>
    <w:p w14:paraId="1E187A2E" w14:textId="020F2CDF" w:rsidR="000731B2" w:rsidRPr="000731B2" w:rsidRDefault="000731B2" w:rsidP="000731B2">
      <w:pPr>
        <w:jc w:val="both"/>
        <w:rPr>
          <w:sz w:val="24"/>
          <w:szCs w:val="24"/>
        </w:rPr>
      </w:pPr>
      <w:r w:rsidRPr="000731B2">
        <w:rPr>
          <w:sz w:val="24"/>
          <w:szCs w:val="24"/>
        </w:rPr>
        <w:t xml:space="preserve">IEEE 802 LMSC appreciates </w:t>
      </w:r>
      <w:r>
        <w:rPr>
          <w:sz w:val="24"/>
          <w:szCs w:val="24"/>
        </w:rPr>
        <w:t>CTU</w:t>
      </w:r>
      <w:r w:rsidRPr="000731B2">
        <w:rPr>
          <w:sz w:val="24"/>
          <w:szCs w:val="24"/>
        </w:rPr>
        <w:t>’s</w:t>
      </w:r>
      <w:r>
        <w:rPr>
          <w:sz w:val="24"/>
          <w:szCs w:val="24"/>
        </w:rPr>
        <w:t xml:space="preserve"> continuous effort </w:t>
      </w:r>
      <w:r w:rsidRPr="000731B2">
        <w:rPr>
          <w:sz w:val="24"/>
          <w:szCs w:val="24"/>
        </w:rPr>
        <w:t xml:space="preserve">on the </w:t>
      </w:r>
      <w:r>
        <w:rPr>
          <w:sz w:val="24"/>
          <w:szCs w:val="24"/>
        </w:rPr>
        <w:t xml:space="preserve">harmonization of conditions for </w:t>
      </w:r>
      <w:r w:rsidRPr="000731B2">
        <w:rPr>
          <w:sz w:val="24"/>
          <w:szCs w:val="24"/>
        </w:rPr>
        <w:t>the use of the radio spectrum</w:t>
      </w:r>
      <w:r>
        <w:rPr>
          <w:sz w:val="24"/>
          <w:szCs w:val="24"/>
        </w:rPr>
        <w:t xml:space="preserve"> in the upper 6 GHz band (i.e., 6425 MHz to 7125 MHz)</w:t>
      </w:r>
      <w:r w:rsidRPr="000731B2">
        <w:rPr>
          <w:sz w:val="24"/>
          <w:szCs w:val="24"/>
        </w:rPr>
        <w:t xml:space="preserve">. In considering further allocation in the </w:t>
      </w:r>
      <w:r>
        <w:rPr>
          <w:sz w:val="24"/>
          <w:szCs w:val="24"/>
        </w:rPr>
        <w:t>upper 6 GHz</w:t>
      </w:r>
      <w:r w:rsidRPr="000731B2">
        <w:rPr>
          <w:sz w:val="24"/>
          <w:szCs w:val="24"/>
        </w:rPr>
        <w:t xml:space="preserve"> frequency band, IEEE 802 LMSC respectfully asks MIC to consider the following points.</w:t>
      </w:r>
    </w:p>
    <w:p w14:paraId="2C1405FD" w14:textId="77777777" w:rsidR="000731B2" w:rsidRDefault="000731B2" w:rsidP="000731B2">
      <w:pPr>
        <w:jc w:val="both"/>
        <w:rPr>
          <w:sz w:val="24"/>
          <w:szCs w:val="24"/>
        </w:rPr>
      </w:pPr>
    </w:p>
    <w:p w14:paraId="3385462C" w14:textId="6402D78C" w:rsidR="0051513A" w:rsidRDefault="0051513A" w:rsidP="0051513A">
      <w:pPr>
        <w:jc w:val="both"/>
        <w:rPr>
          <w:sz w:val="24"/>
          <w:szCs w:val="24"/>
        </w:rPr>
      </w:pPr>
      <w:r w:rsidRPr="000731B2">
        <w:rPr>
          <w:sz w:val="24"/>
          <w:szCs w:val="24"/>
        </w:rPr>
        <w:t xml:space="preserve">In January 2024, Wi-Fi Alliance </w:t>
      </w:r>
      <w:r w:rsidRPr="00A411AE">
        <w:rPr>
          <w:rStyle w:val="None"/>
          <w:sz w:val="24"/>
          <w:szCs w:val="24"/>
        </w:rPr>
        <w:t>introduced</w:t>
      </w:r>
      <w:r w:rsidRPr="00A411AE">
        <w:rPr>
          <w:rStyle w:val="None"/>
          <w:sz w:val="24"/>
          <w:szCs w:val="24"/>
          <w:vertAlign w:val="superscript"/>
        </w:rPr>
        <w:footnoteReference w:id="8"/>
      </w:r>
      <w:r>
        <w:rPr>
          <w:sz w:val="24"/>
          <w:szCs w:val="24"/>
        </w:rPr>
        <w:t xml:space="preserve"> </w:t>
      </w:r>
      <w:r w:rsidRPr="000731B2">
        <w:rPr>
          <w:sz w:val="24"/>
          <w:szCs w:val="24"/>
        </w:rPr>
        <w:t xml:space="preserve">Wi-Fi CERTIFIED 7™ based on IEEE Std 802.11be-2024 </w:t>
      </w:r>
      <w:r w:rsidRPr="00A411AE">
        <w:rPr>
          <w:rStyle w:val="None"/>
          <w:sz w:val="24"/>
          <w:szCs w:val="24"/>
        </w:rPr>
        <w:t>technology</w:t>
      </w:r>
      <w:r w:rsidRPr="00A411AE">
        <w:rPr>
          <w:rStyle w:val="None"/>
          <w:sz w:val="24"/>
          <w:szCs w:val="24"/>
          <w:vertAlign w:val="superscript"/>
        </w:rPr>
        <w:footnoteReference w:id="9"/>
      </w:r>
      <w:r w:rsidRPr="000731B2">
        <w:rPr>
          <w:sz w:val="24"/>
          <w:szCs w:val="24"/>
        </w:rPr>
        <w:t xml:space="preserve">. With Wi-Fi 7 products already in the market, Wi-Fi deployments are going </w:t>
      </w:r>
      <w:r w:rsidRPr="000731B2">
        <w:rPr>
          <w:sz w:val="24"/>
          <w:szCs w:val="24"/>
        </w:rPr>
        <w:lastRenderedPageBreak/>
        <w:t xml:space="preserve">through a second generation upgrade supporting the entire 6 GHz band </w:t>
      </w:r>
      <w:r w:rsidRPr="00A411AE">
        <w:rPr>
          <w:rStyle w:val="None"/>
          <w:sz w:val="24"/>
          <w:szCs w:val="24"/>
        </w:rPr>
        <w:t>globally</w:t>
      </w:r>
      <w:r w:rsidRPr="00A411AE">
        <w:rPr>
          <w:rStyle w:val="None"/>
          <w:sz w:val="24"/>
          <w:szCs w:val="24"/>
          <w:vertAlign w:val="superscript"/>
        </w:rPr>
        <w:footnoteReference w:id="10"/>
      </w:r>
      <w:r w:rsidRPr="000731B2">
        <w:rPr>
          <w:sz w:val="24"/>
          <w:szCs w:val="24"/>
        </w:rPr>
        <w:t xml:space="preserve">. IEEE Std 802.11be-2024’s global 6 GHz channelization is designed to accommodate multiple 160 MHz and 320 MHz channels throughout the 5925 MHz to 7125 MHz band, where available. </w:t>
      </w:r>
      <w:r>
        <w:rPr>
          <w:sz w:val="24"/>
          <w:szCs w:val="24"/>
        </w:rPr>
        <w:t>CTU</w:t>
      </w:r>
      <w:r w:rsidRPr="000731B2">
        <w:rPr>
          <w:sz w:val="24"/>
          <w:szCs w:val="24"/>
        </w:rPr>
        <w:t xml:space="preserve">’s current designation of 500 MHz of </w:t>
      </w:r>
      <w:r>
        <w:rPr>
          <w:sz w:val="24"/>
          <w:szCs w:val="24"/>
        </w:rPr>
        <w:t>the lower 6 GHz band</w:t>
      </w:r>
      <w:r w:rsidRPr="000731B2">
        <w:rPr>
          <w:sz w:val="24"/>
          <w:szCs w:val="24"/>
        </w:rPr>
        <w:t xml:space="preserve"> for license-exempt operation provides for only one 320 MHz channel, while the 5925 MHz to 7125 MHz band would allow three such channels</w:t>
      </w:r>
      <w:r>
        <w:rPr>
          <w:sz w:val="24"/>
          <w:szCs w:val="24"/>
        </w:rPr>
        <w:t xml:space="preserve"> </w:t>
      </w:r>
      <w:r w:rsidRPr="0051513A">
        <w:rPr>
          <w:sz w:val="24"/>
          <w:szCs w:val="24"/>
        </w:rPr>
        <w:t>to fully utilize the advantages of the technology</w:t>
      </w:r>
      <w:r>
        <w:rPr>
          <w:sz w:val="24"/>
          <w:szCs w:val="24"/>
        </w:rPr>
        <w:t>.</w:t>
      </w:r>
    </w:p>
    <w:p w14:paraId="73859970" w14:textId="77777777" w:rsidR="0051513A" w:rsidRPr="000731B2" w:rsidRDefault="0051513A" w:rsidP="000731B2">
      <w:pPr>
        <w:jc w:val="both"/>
        <w:rPr>
          <w:sz w:val="24"/>
          <w:szCs w:val="24"/>
        </w:rPr>
      </w:pPr>
    </w:p>
    <w:p w14:paraId="1F385200" w14:textId="5A37F01B" w:rsidR="000731B2" w:rsidRPr="000731B2" w:rsidRDefault="000731B2" w:rsidP="000731B2">
      <w:pPr>
        <w:jc w:val="both"/>
        <w:rPr>
          <w:sz w:val="24"/>
          <w:szCs w:val="24"/>
        </w:rPr>
      </w:pPr>
      <w:r w:rsidRPr="000731B2">
        <w:rPr>
          <w:sz w:val="24"/>
          <w:szCs w:val="24"/>
        </w:rPr>
        <w:t xml:space="preserve">The ITU World Radiocommunications Conference 2023 (WRC-23) explicitly recognized that the </w:t>
      </w:r>
      <w:r w:rsidR="00EE2D95">
        <w:rPr>
          <w:sz w:val="24"/>
          <w:szCs w:val="24"/>
        </w:rPr>
        <w:t>uppoer 6 GHz band</w:t>
      </w:r>
      <w:r w:rsidRPr="000731B2">
        <w:rPr>
          <w:sz w:val="24"/>
          <w:szCs w:val="24"/>
        </w:rPr>
        <w:t xml:space="preserve"> is used for the implementation of wireless access systems (WAS), including radio local area networks (RLANs). Many countries including the USA, Canada, Brazil, South Korea, Kazakhstan, and Saudi Arabia have already allocated the entire 6 GHz band (i.e., 5925 MHz to 7125 MHz band) for license-exempt operation. Availability of the entire 6 GHz band for license-exempt use will create economies of scale and produce a robust equipment market, benefitting </w:t>
      </w:r>
      <w:r w:rsidR="0051513A">
        <w:rPr>
          <w:sz w:val="24"/>
          <w:szCs w:val="24"/>
        </w:rPr>
        <w:t>Republic of Czech</w:t>
      </w:r>
      <w:r w:rsidRPr="000731B2">
        <w:rPr>
          <w:sz w:val="24"/>
          <w:szCs w:val="24"/>
        </w:rPr>
        <w:t xml:space="preserve">’s businesses, consumers, and economy, while </w:t>
      </w:r>
      <w:r w:rsidR="0051513A">
        <w:rPr>
          <w:sz w:val="24"/>
          <w:szCs w:val="24"/>
        </w:rPr>
        <w:t xml:space="preserve">supporting CTU’s vision on </w:t>
      </w:r>
      <w:r w:rsidR="0051513A" w:rsidRPr="00633B0C">
        <w:rPr>
          <w:sz w:val="24"/>
          <w:szCs w:val="24"/>
        </w:rPr>
        <w:t>providi</w:t>
      </w:r>
      <w:r w:rsidR="0051513A">
        <w:rPr>
          <w:sz w:val="24"/>
          <w:szCs w:val="24"/>
        </w:rPr>
        <w:t>ng significant societal benefits</w:t>
      </w:r>
      <w:r w:rsidR="0051513A" w:rsidRPr="00633B0C">
        <w:rPr>
          <w:sz w:val="24"/>
          <w:szCs w:val="24"/>
        </w:rPr>
        <w:t xml:space="preserve"> from the eff</w:t>
      </w:r>
      <w:r w:rsidR="0051513A">
        <w:rPr>
          <w:sz w:val="24"/>
          <w:szCs w:val="24"/>
        </w:rPr>
        <w:t>ective use of the radio spectrum</w:t>
      </w:r>
      <w:r w:rsidR="00B372C6">
        <w:rPr>
          <w:sz w:val="24"/>
          <w:szCs w:val="24"/>
        </w:rPr>
        <w:t xml:space="preserve">.  </w:t>
      </w:r>
    </w:p>
    <w:p w14:paraId="193F85BF" w14:textId="77777777" w:rsidR="004F3BD9" w:rsidRDefault="004F3BD9" w:rsidP="000731B2">
      <w:pPr>
        <w:jc w:val="both"/>
        <w:rPr>
          <w:sz w:val="24"/>
          <w:szCs w:val="24"/>
        </w:rPr>
      </w:pPr>
    </w:p>
    <w:p w14:paraId="03CEA24D" w14:textId="6ECD07C1" w:rsidR="00B372C6" w:rsidRPr="000731B2" w:rsidRDefault="008F328C" w:rsidP="00B372C6">
      <w:pPr>
        <w:jc w:val="both"/>
        <w:rPr>
          <w:b/>
          <w:sz w:val="24"/>
          <w:szCs w:val="24"/>
        </w:rPr>
      </w:pPr>
      <w:r w:rsidRPr="008F328C">
        <w:rPr>
          <w:b/>
          <w:sz w:val="24"/>
          <w:szCs w:val="24"/>
        </w:rPr>
        <w:t>It is an appropriate time to develop a strategic plan for UWB</w:t>
      </w:r>
    </w:p>
    <w:p w14:paraId="21AF5451" w14:textId="77777777" w:rsidR="00B372C6" w:rsidRDefault="00B372C6" w:rsidP="000731B2">
      <w:pPr>
        <w:jc w:val="both"/>
        <w:rPr>
          <w:sz w:val="24"/>
          <w:szCs w:val="24"/>
        </w:rPr>
      </w:pPr>
    </w:p>
    <w:p w14:paraId="7C462EE7" w14:textId="05495AF0" w:rsidR="00512B42" w:rsidRPr="00512B42" w:rsidRDefault="000A7B0F" w:rsidP="00512B42">
      <w:pPr>
        <w:jc w:val="both"/>
        <w:rPr>
          <w:sz w:val="24"/>
          <w:szCs w:val="24"/>
        </w:rPr>
      </w:pPr>
      <w:r>
        <w:rPr>
          <w:sz w:val="24"/>
          <w:szCs w:val="24"/>
        </w:rPr>
        <w:t>It can be noted that the use</w:t>
      </w:r>
      <w:r w:rsidR="00512B42" w:rsidRPr="00512B42">
        <w:rPr>
          <w:sz w:val="24"/>
          <w:szCs w:val="24"/>
        </w:rPr>
        <w:t xml:space="preserve"> </w:t>
      </w:r>
      <w:r w:rsidR="00512B42">
        <w:rPr>
          <w:sz w:val="24"/>
          <w:szCs w:val="24"/>
        </w:rPr>
        <w:t xml:space="preserve">of ultra-wideband technologies (UWB) </w:t>
      </w:r>
      <w:r w:rsidR="00512B42" w:rsidRPr="00512B42">
        <w:rPr>
          <w:sz w:val="24"/>
          <w:szCs w:val="24"/>
        </w:rPr>
        <w:t xml:space="preserve">which the CTU identified in 2015 were, then and still today, critically important uses. UWB is still used for location tracking and material sensing in industrial environments extensively. The market has significantly expanded. Following completion of ECC Report 278 and </w:t>
      </w:r>
      <w:r w:rsidRPr="00BB58AC">
        <w:rPr>
          <w:bCs/>
          <w:iCs/>
          <w:color w:val="000000"/>
          <w:sz w:val="24"/>
          <w:szCs w:val="24"/>
        </w:rPr>
        <w:t>IEEE Std 802.15.4z-2020</w:t>
      </w:r>
      <w:r>
        <w:rPr>
          <w:rStyle w:val="FootnoteReference"/>
          <w:sz w:val="24"/>
          <w:szCs w:val="24"/>
        </w:rPr>
        <w:footnoteReference w:id="11"/>
      </w:r>
      <w:r w:rsidR="00512B42" w:rsidRPr="00512B42">
        <w:rPr>
          <w:sz w:val="24"/>
          <w:szCs w:val="24"/>
        </w:rPr>
        <w:t xml:space="preserve">, UWB has become ubiquitous and there are lots of active UWB development and deployments. For example, UWB is now used to secure passive keyless entry systems in many vehicles and for premises access. Mobile phone manufacturers have also been integrating UWB in their smart phones. </w:t>
      </w:r>
    </w:p>
    <w:p w14:paraId="2B824D01" w14:textId="77777777" w:rsidR="00512B42" w:rsidRPr="00512B42" w:rsidRDefault="00512B42" w:rsidP="00512B42">
      <w:pPr>
        <w:jc w:val="both"/>
        <w:rPr>
          <w:sz w:val="24"/>
          <w:szCs w:val="24"/>
        </w:rPr>
      </w:pPr>
    </w:p>
    <w:p w14:paraId="11AC54F2" w14:textId="569596B4" w:rsidR="00512B42" w:rsidRPr="00512B42" w:rsidRDefault="00512B42" w:rsidP="00512B42">
      <w:pPr>
        <w:jc w:val="both"/>
        <w:rPr>
          <w:sz w:val="24"/>
          <w:szCs w:val="24"/>
        </w:rPr>
      </w:pPr>
      <w:r w:rsidRPr="00512B42">
        <w:rPr>
          <w:sz w:val="24"/>
          <w:szCs w:val="24"/>
        </w:rPr>
        <w:t xml:space="preserve">Sensing based upon UWB is another area of explosive growth. The ultra-low transmit power (at or below unintentional emissions limits) and very high dynamic response of impulse radio-UWB (IR-UWB) enables precise, fast, and accurate sensing for uses such as presence detection </w:t>
      </w:r>
      <w:r>
        <w:rPr>
          <w:sz w:val="24"/>
          <w:szCs w:val="24"/>
        </w:rPr>
        <w:t xml:space="preserve">of children left in vehicles.  </w:t>
      </w:r>
      <w:r w:rsidRPr="00512B42">
        <w:rPr>
          <w:sz w:val="24"/>
          <w:szCs w:val="24"/>
        </w:rPr>
        <w:t xml:space="preserve">As another example of current market trends, UWB is emerging as a leading technology for ultra-low power, ultra-low latency moderate data rate communications such as real time audio and real-time ultra-low latency human interface devices for gaming.  </w:t>
      </w:r>
    </w:p>
    <w:p w14:paraId="1B4388F4" w14:textId="77777777" w:rsidR="00512B42" w:rsidRDefault="00512B42" w:rsidP="00512B42">
      <w:pPr>
        <w:jc w:val="both"/>
        <w:rPr>
          <w:sz w:val="24"/>
          <w:szCs w:val="24"/>
        </w:rPr>
      </w:pPr>
    </w:p>
    <w:p w14:paraId="092B07C1" w14:textId="4E681674" w:rsidR="008F328C" w:rsidRPr="008F328C" w:rsidRDefault="008F328C" w:rsidP="008F328C">
      <w:pPr>
        <w:jc w:val="both"/>
        <w:rPr>
          <w:sz w:val="24"/>
          <w:szCs w:val="24"/>
        </w:rPr>
      </w:pPr>
      <w:r w:rsidRPr="008F328C">
        <w:rPr>
          <w:sz w:val="24"/>
          <w:szCs w:val="24"/>
        </w:rPr>
        <w:t>The next generation of UWB technology, being d</w:t>
      </w:r>
      <w:r w:rsidR="00661500">
        <w:rPr>
          <w:sz w:val="24"/>
          <w:szCs w:val="24"/>
        </w:rPr>
        <w:t xml:space="preserve">eveloped under </w:t>
      </w:r>
      <w:r w:rsidR="0092586D">
        <w:rPr>
          <w:sz w:val="24"/>
          <w:szCs w:val="24"/>
        </w:rPr>
        <w:t xml:space="preserve">IEEE </w:t>
      </w:r>
      <w:r w:rsidR="0092586D">
        <w:rPr>
          <w:rStyle w:val="None"/>
          <w:sz w:val="24"/>
          <w:szCs w:val="24"/>
        </w:rPr>
        <w:t>P802.15.4ab</w:t>
      </w:r>
      <w:r w:rsidR="0092586D">
        <w:rPr>
          <w:rStyle w:val="FootnoteReference"/>
          <w:sz w:val="24"/>
          <w:szCs w:val="24"/>
        </w:rPr>
        <w:footnoteReference w:id="12"/>
      </w:r>
      <w:r w:rsidRPr="008F328C">
        <w:rPr>
          <w:sz w:val="24"/>
          <w:szCs w:val="24"/>
        </w:rPr>
        <w:t>, builds on IEEE Std 802.15.4z-2020.  Future developments supported by this project include:</w:t>
      </w:r>
    </w:p>
    <w:p w14:paraId="52D529FD" w14:textId="5D76F6C2"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Improved link budget and reduced air-time</w:t>
      </w:r>
    </w:p>
    <w:p w14:paraId="56B8B590" w14:textId="48D5D558"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Enhanced sensing capabilities for presence detection and environment mapping</w:t>
      </w:r>
    </w:p>
    <w:p w14:paraId="071A2950" w14:textId="1F8D0986"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Improved accuracy, precision, and reliability for high-integrity ranging</w:t>
      </w:r>
    </w:p>
    <w:p w14:paraId="11AF86EE" w14:textId="203481CA"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The use of interference mitigation techniques to support greater device density and higher traffic use cases</w:t>
      </w:r>
    </w:p>
    <w:p w14:paraId="15D81A07" w14:textId="6DD10056"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Improved coexistence with other services</w:t>
      </w:r>
    </w:p>
    <w:p w14:paraId="1E6B2F8C" w14:textId="6E42DE7A"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Reduced complexity and power consumption</w:t>
      </w:r>
    </w:p>
    <w:p w14:paraId="110BDFC2" w14:textId="42C7E7A0"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lastRenderedPageBreak/>
        <w:t>Enhanced support for ultra-low power, low latency streaming</w:t>
      </w:r>
    </w:p>
    <w:p w14:paraId="0F93DD69" w14:textId="71E54C1B"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Support for emerging applications such as high-definition audio</w:t>
      </w:r>
    </w:p>
    <w:p w14:paraId="644A86A4" w14:textId="77777777" w:rsidR="008F328C" w:rsidRDefault="008F328C" w:rsidP="00512B42">
      <w:pPr>
        <w:jc w:val="both"/>
        <w:rPr>
          <w:sz w:val="24"/>
          <w:szCs w:val="24"/>
        </w:rPr>
      </w:pPr>
    </w:p>
    <w:p w14:paraId="4E1D8819" w14:textId="12A79FFE" w:rsidR="00B372C6" w:rsidRDefault="00512B42" w:rsidP="00512B42">
      <w:pPr>
        <w:jc w:val="both"/>
        <w:rPr>
          <w:sz w:val="24"/>
          <w:szCs w:val="24"/>
        </w:rPr>
      </w:pPr>
      <w:r w:rsidRPr="00512B42">
        <w:rPr>
          <w:sz w:val="24"/>
          <w:szCs w:val="24"/>
        </w:rPr>
        <w:t>In summary, while it may have appeared in 2015 that UWB had not lived up to original expectations, presently UWB deployments are numbering over a billion devices a</w:t>
      </w:r>
      <w:r>
        <w:rPr>
          <w:sz w:val="24"/>
          <w:szCs w:val="24"/>
        </w:rPr>
        <w:t>nd are growing exponentially</w:t>
      </w:r>
      <w:r>
        <w:rPr>
          <w:rStyle w:val="FootnoteReference"/>
          <w:sz w:val="24"/>
          <w:szCs w:val="24"/>
        </w:rPr>
        <w:footnoteReference w:id="13"/>
      </w:r>
      <w:r w:rsidRPr="00512B42">
        <w:rPr>
          <w:sz w:val="24"/>
          <w:szCs w:val="24"/>
        </w:rPr>
        <w:t xml:space="preserve">. The UWB adoption timeline is consistent with that of the other popular license exempt technologies from first rulemaking to mass market adoption.  </w:t>
      </w:r>
    </w:p>
    <w:p w14:paraId="70CE5B06" w14:textId="77777777" w:rsidR="00B372C6" w:rsidRPr="006604CA" w:rsidRDefault="00B372C6" w:rsidP="000731B2">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EF79B8D" w:rsidR="00435292" w:rsidRPr="00662551" w:rsidRDefault="00435292" w:rsidP="00435292">
      <w:pPr>
        <w:jc w:val="both"/>
        <w:rPr>
          <w:sz w:val="24"/>
          <w:szCs w:val="24"/>
        </w:rPr>
      </w:pPr>
      <w:r w:rsidRPr="00435292">
        <w:rPr>
          <w:sz w:val="24"/>
          <w:szCs w:val="24"/>
        </w:rPr>
        <w:t xml:space="preserve">IEEE 802 LMSC thanks </w:t>
      </w:r>
      <w:r w:rsidR="000C4778">
        <w:rPr>
          <w:sz w:val="24"/>
          <w:szCs w:val="24"/>
        </w:rPr>
        <w:t>CTU</w:t>
      </w:r>
      <w:r w:rsidRPr="00435292">
        <w:rPr>
          <w:sz w:val="24"/>
          <w:szCs w:val="24"/>
        </w:rPr>
        <w:t xml:space="preserve"> for the opportunit</w:t>
      </w:r>
      <w:r w:rsidR="00EF1147">
        <w:rPr>
          <w:sz w:val="24"/>
          <w:szCs w:val="24"/>
        </w:rPr>
        <w:t xml:space="preserve">y to provide this submission and </w:t>
      </w:r>
      <w:r w:rsidR="00E34C6E">
        <w:rPr>
          <w:sz w:val="24"/>
          <w:szCs w:val="24"/>
        </w:rPr>
        <w:t xml:space="preserve">respectfully requests to consider the use of AFC for </w:t>
      </w:r>
      <w:r w:rsidR="00E34C6E" w:rsidRPr="00E34C6E">
        <w:rPr>
          <w:sz w:val="24"/>
          <w:szCs w:val="24"/>
        </w:rPr>
        <w:t>for outdoor and indoor WLAN operations</w:t>
      </w:r>
      <w:r w:rsidR="00E34C6E">
        <w:rPr>
          <w:sz w:val="24"/>
          <w:szCs w:val="24"/>
        </w:rPr>
        <w:t>, the allocation of the upper 6 GHz band for license-exempt operation, and the development of</w:t>
      </w:r>
      <w:r w:rsidR="00E34C6E" w:rsidRPr="00E34C6E">
        <w:rPr>
          <w:sz w:val="24"/>
          <w:szCs w:val="24"/>
        </w:rPr>
        <w:t xml:space="preserve"> a strategic plan for UWB</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22E10" w14:textId="77777777" w:rsidR="001955D0" w:rsidRDefault="001955D0">
      <w:r>
        <w:separator/>
      </w:r>
    </w:p>
  </w:endnote>
  <w:endnote w:type="continuationSeparator" w:id="0">
    <w:p w14:paraId="2D0C76E2" w14:textId="77777777" w:rsidR="001955D0" w:rsidRDefault="0019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1955D0">
    <w:pPr>
      <w:pStyle w:val="Footer"/>
      <w:tabs>
        <w:tab w:val="clear" w:pos="6480"/>
        <w:tab w:val="center" w:pos="4680"/>
        <w:tab w:val="right" w:pos="9360"/>
      </w:tabs>
      <w:rPr>
        <w:lang w:val="fr-CA"/>
      </w:rPr>
    </w:pPr>
    <w:r>
      <w:fldChar w:fldCharType="begin"/>
    </w:r>
    <w:r>
      <w:instrText xml:space="preserve"> SUBJECT </w:instrText>
    </w:r>
    <w:r>
      <w:fldChar w:fldCharType="separate"/>
    </w:r>
    <w:r w:rsidR="006C1BB5">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180622">
      <w:rPr>
        <w:noProof/>
      </w:rPr>
      <w:t>1</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28026" w14:textId="77777777" w:rsidR="001955D0" w:rsidRDefault="001955D0">
      <w:pPr>
        <w:rPr>
          <w:sz w:val="12"/>
        </w:rPr>
      </w:pPr>
      <w:r>
        <w:separator/>
      </w:r>
    </w:p>
  </w:footnote>
  <w:footnote w:type="continuationSeparator" w:id="0">
    <w:p w14:paraId="52D3960D" w14:textId="77777777" w:rsidR="001955D0" w:rsidRDefault="001955D0">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338D2420" w14:textId="231600ED" w:rsidR="00D936FC" w:rsidRPr="009F4295" w:rsidRDefault="00D936FC" w:rsidP="00D936FC">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[accessed: </w:t>
      </w:r>
      <w:r>
        <w:rPr>
          <w:rStyle w:val="None"/>
          <w:sz w:val="16"/>
          <w:szCs w:val="16"/>
        </w:rPr>
        <w:t>2</w:t>
      </w:r>
      <w:r>
        <w:rPr>
          <w:rStyle w:val="None"/>
          <w:sz w:val="16"/>
          <w:szCs w:val="16"/>
        </w:rPr>
        <w:t>7</w:t>
      </w:r>
      <w:r>
        <w:rPr>
          <w:rStyle w:val="None"/>
          <w:sz w:val="16"/>
          <w:szCs w:val="16"/>
        </w:rPr>
        <w:t xml:space="preserve"> October </w:t>
      </w:r>
      <w:r w:rsidRPr="009F4295">
        <w:rPr>
          <w:rStyle w:val="None"/>
          <w:sz w:val="16"/>
          <w:szCs w:val="16"/>
        </w:rPr>
        <w:t>2024].</w:t>
      </w:r>
    </w:p>
  </w:footnote>
  <w:footnote w:id="3">
    <w:p w14:paraId="73CC20E5" w14:textId="44977F40" w:rsidR="007F5D79" w:rsidRPr="009F4295" w:rsidRDefault="007F5D79" w:rsidP="007F5D7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Pr="009F4295">
        <w:rPr>
          <w:rStyle w:val="None"/>
          <w:sz w:val="16"/>
          <w:szCs w:val="16"/>
        </w:rPr>
        <w:t xml:space="preserve"> [accessed: </w:t>
      </w:r>
      <w:r>
        <w:rPr>
          <w:rStyle w:val="None"/>
          <w:sz w:val="16"/>
          <w:szCs w:val="16"/>
        </w:rPr>
        <w:t>2</w:t>
      </w:r>
      <w:r>
        <w:rPr>
          <w:rStyle w:val="None"/>
          <w:sz w:val="16"/>
          <w:szCs w:val="16"/>
        </w:rPr>
        <w:t>7</w:t>
      </w:r>
      <w:r>
        <w:rPr>
          <w:rStyle w:val="None"/>
          <w:sz w:val="16"/>
          <w:szCs w:val="16"/>
        </w:rPr>
        <w:t xml:space="preserve"> October </w:t>
      </w:r>
      <w:r w:rsidRPr="009F4295">
        <w:rPr>
          <w:rStyle w:val="None"/>
          <w:sz w:val="16"/>
          <w:szCs w:val="16"/>
        </w:rPr>
        <w:t>2024].</w:t>
      </w:r>
    </w:p>
  </w:footnote>
  <w:footnote w:id="4">
    <w:p w14:paraId="5F439195" w14:textId="39B90C8B" w:rsidR="007F5D79" w:rsidRPr="009F4295" w:rsidRDefault="007F5D79" w:rsidP="007F5D7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Pr>
          <w:rStyle w:val="None"/>
          <w:sz w:val="16"/>
          <w:szCs w:val="16"/>
        </w:rPr>
        <w:t>2</w:t>
      </w:r>
      <w:r>
        <w:rPr>
          <w:rStyle w:val="None"/>
          <w:sz w:val="16"/>
          <w:szCs w:val="16"/>
        </w:rPr>
        <w:t>7</w:t>
      </w:r>
      <w:r>
        <w:rPr>
          <w:rStyle w:val="None"/>
          <w:sz w:val="16"/>
          <w:szCs w:val="16"/>
        </w:rPr>
        <w:t xml:space="preserve"> October</w:t>
      </w:r>
      <w:r w:rsidRPr="009F4295">
        <w:rPr>
          <w:rStyle w:val="None"/>
          <w:sz w:val="16"/>
          <w:szCs w:val="16"/>
        </w:rPr>
        <w:t xml:space="preserve"> 2024].</w:t>
      </w:r>
    </w:p>
  </w:footnote>
  <w:footnote w:id="5">
    <w:p w14:paraId="3E34F245" w14:textId="59AC7E49" w:rsidR="007F5D79" w:rsidRPr="009F4295" w:rsidRDefault="007F5D79" w:rsidP="007F5D7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3" w:history="1">
        <w:r w:rsidRPr="009F4295">
          <w:rPr>
            <w:rStyle w:val="Hyperlink2"/>
          </w:rPr>
          <w:t>https://6ghz.wirelessinnovation.org/baseline-standards</w:t>
        </w:r>
      </w:hyperlink>
      <w:r w:rsidRPr="009F4295">
        <w:rPr>
          <w:rStyle w:val="None"/>
          <w:sz w:val="16"/>
          <w:szCs w:val="16"/>
        </w:rPr>
        <w:t xml:space="preserve"> [accessed: </w:t>
      </w:r>
      <w:r>
        <w:rPr>
          <w:rStyle w:val="None"/>
          <w:sz w:val="16"/>
          <w:szCs w:val="16"/>
        </w:rPr>
        <w:t>2</w:t>
      </w:r>
      <w:r>
        <w:rPr>
          <w:rStyle w:val="None"/>
          <w:sz w:val="16"/>
          <w:szCs w:val="16"/>
        </w:rPr>
        <w:t>7</w:t>
      </w:r>
      <w:r>
        <w:rPr>
          <w:rStyle w:val="None"/>
          <w:sz w:val="16"/>
          <w:szCs w:val="16"/>
        </w:rPr>
        <w:t xml:space="preserve"> October</w:t>
      </w:r>
      <w:r w:rsidRPr="009F4295">
        <w:rPr>
          <w:rStyle w:val="None"/>
          <w:sz w:val="16"/>
          <w:szCs w:val="16"/>
        </w:rPr>
        <w:t xml:space="preserve"> 2024].</w:t>
      </w:r>
    </w:p>
  </w:footnote>
  <w:footnote w:id="6">
    <w:p w14:paraId="4DF82B5C" w14:textId="004447A2" w:rsidR="007F5D79" w:rsidRPr="007F5D79" w:rsidRDefault="007F5D79" w:rsidP="007F5D79">
      <w:pPr>
        <w:pStyle w:val="FootnoteText"/>
        <w:jc w:val="both"/>
        <w:rPr>
          <w:sz w:val="16"/>
          <w:szCs w:val="16"/>
        </w:rPr>
      </w:pPr>
      <w:r w:rsidRPr="007F5D79">
        <w:rPr>
          <w:rStyle w:val="FootnoteReference"/>
          <w:sz w:val="16"/>
          <w:szCs w:val="16"/>
        </w:rPr>
        <w:footnoteRef/>
      </w:r>
      <w:r w:rsidRPr="007F5D79">
        <w:rPr>
          <w:sz w:val="16"/>
          <w:szCs w:val="16"/>
        </w:rPr>
        <w:t xml:space="preserve"> Some examples of deployment where indoor SP is beneficial are where propagation environment requires additional link budget, such as airports, sport venues, concert halls, and warehouses.</w:t>
      </w:r>
    </w:p>
  </w:footnote>
  <w:footnote w:id="7">
    <w:p w14:paraId="3938DFD0" w14:textId="569FA8BF" w:rsidR="007F5D79" w:rsidRPr="004D5E4F" w:rsidRDefault="007F5D79" w:rsidP="007F5D79">
      <w:pPr>
        <w:pStyle w:val="FootnoteText"/>
        <w:jc w:val="both"/>
        <w:rPr>
          <w:sz w:val="16"/>
          <w:szCs w:val="16"/>
        </w:rPr>
      </w:pPr>
      <w:r w:rsidRPr="00396B73">
        <w:rPr>
          <w:rStyle w:val="None"/>
          <w:sz w:val="16"/>
          <w:szCs w:val="16"/>
          <w:vertAlign w:val="superscript"/>
        </w:rPr>
        <w:footnoteRef/>
      </w:r>
      <w:r w:rsidRPr="00396B73">
        <w:rPr>
          <w:rStyle w:val="None"/>
          <w:sz w:val="16"/>
          <w:szCs w:val="16"/>
          <w:vertAlign w:val="superscript"/>
        </w:rPr>
        <w:t xml:space="preserve"> </w:t>
      </w:r>
      <w:r w:rsidRPr="009F4295">
        <w:rPr>
          <w:rStyle w:val="None"/>
          <w:sz w:val="16"/>
          <w:szCs w:val="16"/>
        </w:rPr>
        <w:t>See Federal Communications Commission:</w:t>
      </w:r>
      <w:r>
        <w:rPr>
          <w:rStyle w:val="None"/>
          <w:sz w:val="16"/>
          <w:szCs w:val="16"/>
        </w:rPr>
        <w:t xml:space="preserve"> </w:t>
      </w:r>
      <w:r w:rsidRPr="004D37B5">
        <w:rPr>
          <w:rStyle w:val="None"/>
          <w:sz w:val="16"/>
          <w:szCs w:val="16"/>
        </w:rPr>
        <w:t>OET Announces Conditional Approval for 6 GHz Band AFC Systems</w:t>
      </w:r>
      <w:r>
        <w:rPr>
          <w:rStyle w:val="None"/>
          <w:sz w:val="16"/>
          <w:szCs w:val="16"/>
        </w:rPr>
        <w:t xml:space="preserve">, </w:t>
      </w:r>
      <w:hyperlink r:id="rId4" w:history="1">
        <w:r w:rsidRPr="00B55101">
          <w:rPr>
            <w:rStyle w:val="Hyperlink"/>
            <w:sz w:val="16"/>
            <w:szCs w:val="16"/>
          </w:rPr>
          <w:t>https://www.fcc.gov/document/oet-announces-conditional-approval-6-ghz-band-afc-systems</w:t>
        </w:r>
      </w:hyperlink>
      <w:r>
        <w:rPr>
          <w:rStyle w:val="None"/>
          <w:sz w:val="16"/>
          <w:szCs w:val="16"/>
        </w:rPr>
        <w:t xml:space="preserve"> [accessed: 2</w:t>
      </w:r>
      <w:r>
        <w:rPr>
          <w:rStyle w:val="None"/>
          <w:sz w:val="16"/>
          <w:szCs w:val="16"/>
        </w:rPr>
        <w:t>7</w:t>
      </w:r>
      <w:r>
        <w:rPr>
          <w:rStyle w:val="None"/>
          <w:sz w:val="16"/>
          <w:szCs w:val="16"/>
        </w:rPr>
        <w:t xml:space="preserve"> October 2024]</w:t>
      </w:r>
    </w:p>
  </w:footnote>
  <w:footnote w:id="8">
    <w:p w14:paraId="1AE1CBF8" w14:textId="77777777" w:rsidR="0051513A" w:rsidRPr="009F4295" w:rsidRDefault="0051513A" w:rsidP="0051513A">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5" w:history="1">
        <w:r w:rsidRPr="009F4295">
          <w:rPr>
            <w:rStyle w:val="Hyperlink2"/>
          </w:rPr>
          <w:t>https://www.wi-fi.org/news-events/newsroom/wi-fi-alliance-introduces-wi-fi-certified-7</w:t>
        </w:r>
      </w:hyperlink>
      <w:r>
        <w:rPr>
          <w:rStyle w:val="None"/>
          <w:sz w:val="16"/>
          <w:szCs w:val="16"/>
        </w:rPr>
        <w:t xml:space="preserve"> [accessed: 27 October </w:t>
      </w:r>
      <w:r w:rsidRPr="009F4295">
        <w:rPr>
          <w:rStyle w:val="None"/>
          <w:sz w:val="16"/>
          <w:szCs w:val="16"/>
        </w:rPr>
        <w:t>2024].</w:t>
      </w:r>
    </w:p>
  </w:footnote>
  <w:footnote w:id="9">
    <w:p w14:paraId="635AB598" w14:textId="77777777" w:rsidR="0051513A" w:rsidRPr="009F4295" w:rsidRDefault="0051513A" w:rsidP="0051513A">
      <w:pPr>
        <w:pStyle w:val="FootnoteText"/>
        <w:jc w:val="both"/>
        <w:rPr>
          <w:sz w:val="16"/>
          <w:szCs w:val="16"/>
        </w:rPr>
      </w:pPr>
      <w:r w:rsidRPr="00A411AE">
        <w:rPr>
          <w:rStyle w:val="None"/>
          <w:sz w:val="16"/>
          <w:szCs w:val="16"/>
          <w:vertAlign w:val="superscript"/>
        </w:rPr>
        <w:footnoteRef/>
      </w:r>
      <w:r w:rsidRPr="00A411AE">
        <w:rPr>
          <w:rStyle w:val="None"/>
          <w:sz w:val="16"/>
          <w:szCs w:val="16"/>
        </w:rPr>
        <w:t xml:space="preserve"> 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6" w:history="1">
        <w:r w:rsidRPr="009B05E7">
          <w:rPr>
            <w:rStyle w:val="Hyperlink"/>
            <w:sz w:val="16"/>
            <w:szCs w:val="16"/>
          </w:rPr>
          <w:t>https://standards.ieee.org/ieee/802.11be/7516/</w:t>
        </w:r>
      </w:hyperlink>
      <w:r>
        <w:rPr>
          <w:rStyle w:val="None"/>
          <w:sz w:val="16"/>
          <w:szCs w:val="16"/>
        </w:rPr>
        <w:t xml:space="preserve"> </w:t>
      </w:r>
      <w:r w:rsidRPr="00A411AE">
        <w:rPr>
          <w:rStyle w:val="None"/>
          <w:sz w:val="16"/>
          <w:szCs w:val="16"/>
        </w:rPr>
        <w:t xml:space="preserve">[accessed: </w:t>
      </w:r>
      <w:r>
        <w:rPr>
          <w:rStyle w:val="None"/>
          <w:sz w:val="16"/>
          <w:szCs w:val="16"/>
        </w:rPr>
        <w:t xml:space="preserve">27 </w:t>
      </w:r>
      <w:r w:rsidRPr="00A411AE">
        <w:rPr>
          <w:rStyle w:val="None"/>
          <w:sz w:val="16"/>
          <w:szCs w:val="16"/>
        </w:rPr>
        <w:t>October 2024]. With introduction of 320 MHz channel bandwidth, Wi-Fi 7 doubles throughputs relative to Wi-Fi 6E and significantly improves</w:t>
      </w:r>
      <w:r w:rsidRPr="009F4295">
        <w:rPr>
          <w:rStyle w:val="None"/>
          <w:sz w:val="16"/>
          <w:szCs w:val="16"/>
        </w:rPr>
        <w:t xml:space="preserve">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29F57385" w14:textId="77777777" w:rsidR="0051513A" w:rsidRPr="009F4295" w:rsidRDefault="0051513A" w:rsidP="0051513A">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7" w:history="1">
        <w:r w:rsidRPr="009F4295">
          <w:rPr>
            <w:rStyle w:val="Hyperlink2"/>
          </w:rPr>
          <w:t>https://www.wi-fi.org/beacon/chris-hinsz/wi-fi-7-market-momentum-wi-fi-7-is-here-is-your-network-ready</w:t>
        </w:r>
      </w:hyperlink>
      <w:r w:rsidRPr="009F4295">
        <w:rPr>
          <w:rStyle w:val="None"/>
          <w:sz w:val="16"/>
          <w:szCs w:val="16"/>
        </w:rPr>
        <w:t xml:space="preserve"> [accessed: </w:t>
      </w:r>
      <w:r>
        <w:rPr>
          <w:rStyle w:val="None"/>
          <w:sz w:val="16"/>
          <w:szCs w:val="16"/>
        </w:rPr>
        <w:t>27 October</w:t>
      </w:r>
      <w:r w:rsidRPr="009F4295">
        <w:rPr>
          <w:rStyle w:val="None"/>
          <w:sz w:val="16"/>
          <w:szCs w:val="16"/>
        </w:rPr>
        <w:t xml:space="preserve"> 2024].</w:t>
      </w:r>
    </w:p>
  </w:footnote>
  <w:footnote w:id="11">
    <w:p w14:paraId="6A325D2F" w14:textId="77777777" w:rsidR="000A7B0F" w:rsidRPr="003B3EC8" w:rsidRDefault="000A7B0F" w:rsidP="000A7B0F">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12">
    <w:p w14:paraId="08840C2A" w14:textId="662F682D" w:rsidR="0092586D" w:rsidRPr="003B3EC8" w:rsidRDefault="0092586D" w:rsidP="0092586D">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 xml:space="preserve">b, </w:t>
      </w:r>
      <w:hyperlink r:id="rId8"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27 October</w:t>
      </w:r>
      <w:r w:rsidRPr="003B3EC8">
        <w:rPr>
          <w:sz w:val="16"/>
          <w:szCs w:val="16"/>
        </w:rPr>
        <w:t xml:space="preserve"> 2024].</w:t>
      </w:r>
    </w:p>
  </w:footnote>
  <w:footnote w:id="13">
    <w:p w14:paraId="43B193F0" w14:textId="7F91792C" w:rsidR="00512B42" w:rsidRPr="00512B42" w:rsidRDefault="00512B42" w:rsidP="00512B42">
      <w:pPr>
        <w:pStyle w:val="FootnoteText"/>
        <w:jc w:val="both"/>
        <w:rPr>
          <w:sz w:val="16"/>
          <w:szCs w:val="16"/>
        </w:rPr>
      </w:pPr>
      <w:r w:rsidRPr="00512B42">
        <w:rPr>
          <w:rStyle w:val="FootnoteReference"/>
          <w:sz w:val="16"/>
          <w:szCs w:val="16"/>
        </w:rPr>
        <w:footnoteRef/>
      </w:r>
      <w:r w:rsidRPr="00512B42">
        <w:rPr>
          <w:sz w:val="16"/>
          <w:szCs w:val="16"/>
        </w:rPr>
        <w:t xml:space="preserve"> See FiRa Consortium: Unleashing the Potential of UWB: Regulatory considerations, August 2022, </w:t>
      </w:r>
      <w:hyperlink r:id="rId9" w:history="1">
        <w:r w:rsidRPr="00945A9C">
          <w:rPr>
            <w:rStyle w:val="Hyperlink"/>
            <w:sz w:val="16"/>
            <w:szCs w:val="16"/>
          </w:rPr>
          <w:t>https://www.firaconsortium.org/sites/default/files/2022-08/Unleashing-the-Potential-of-UWB-Regulatory-Considerations.pdf</w:t>
        </w:r>
      </w:hyperlink>
      <w:r>
        <w:rPr>
          <w:sz w:val="16"/>
          <w:szCs w:val="16"/>
        </w:rPr>
        <w:t xml:space="preserve"> </w:t>
      </w:r>
      <w:r w:rsidRPr="00512B42">
        <w:rPr>
          <w:sz w:val="16"/>
          <w:szCs w:val="16"/>
        </w:rPr>
        <w:t>[accessed: 2</w:t>
      </w:r>
      <w:r>
        <w:rPr>
          <w:sz w:val="16"/>
          <w:szCs w:val="16"/>
        </w:rPr>
        <w:t>7</w:t>
      </w:r>
      <w:r w:rsidRPr="00512B42">
        <w:rPr>
          <w:sz w:val="16"/>
          <w:szCs w:val="16"/>
        </w:rPr>
        <w:t xml:space="preserve"> </w:t>
      </w:r>
      <w:r>
        <w:rPr>
          <w:sz w:val="16"/>
          <w:szCs w:val="16"/>
        </w:rPr>
        <w:t>October</w:t>
      </w:r>
      <w:r w:rsidRPr="00512B42">
        <w:rPr>
          <w:sz w:val="16"/>
          <w:szCs w:val="16"/>
        </w:rPr>
        <w:t xml:space="preserve"> 2024].  The introduction of IEEE 802.15 UWB-enabled devices in smartphones and laptops puts forecasts at more than 1 billion devices shipped annually worldwide by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306EB2E"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w:t>
    </w:r>
    <w:r w:rsidR="001B321C">
      <w:t>9</w:t>
    </w:r>
    <w:r w:rsidR="002E0A70">
      <w:t>r</w:t>
    </w:r>
    <w:r w:rsidR="001B321C">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4"/>
  </w:num>
  <w:num w:numId="5">
    <w:abstractNumId w:val="3"/>
  </w:num>
  <w:num w:numId="6">
    <w:abstractNumId w:val="19"/>
  </w:num>
  <w:num w:numId="7">
    <w:abstractNumId w:val="13"/>
  </w:num>
  <w:num w:numId="8">
    <w:abstractNumId w:val="14"/>
  </w:num>
  <w:num w:numId="9">
    <w:abstractNumId w:val="23"/>
  </w:num>
  <w:num w:numId="10">
    <w:abstractNumId w:val="21"/>
  </w:num>
  <w:num w:numId="11">
    <w:abstractNumId w:val="20"/>
  </w:num>
  <w:num w:numId="12">
    <w:abstractNumId w:val="10"/>
  </w:num>
  <w:num w:numId="13">
    <w:abstractNumId w:val="6"/>
  </w:num>
  <w:num w:numId="14">
    <w:abstractNumId w:val="0"/>
  </w:num>
  <w:num w:numId="15">
    <w:abstractNumId w:val="8"/>
  </w:num>
  <w:num w:numId="16">
    <w:abstractNumId w:val="11"/>
  </w:num>
  <w:num w:numId="17">
    <w:abstractNumId w:val="17"/>
  </w:num>
  <w:num w:numId="18">
    <w:abstractNumId w:val="15"/>
  </w:num>
  <w:num w:numId="19">
    <w:abstractNumId w:val="16"/>
  </w:num>
  <w:num w:numId="20">
    <w:abstractNumId w:val="2"/>
  </w:num>
  <w:num w:numId="21">
    <w:abstractNumId w:val="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2E7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372C6"/>
    <w:rsid w:val="00B408A4"/>
    <w:rsid w:val="00B40BF4"/>
    <w:rsid w:val="00B41850"/>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eee802.org/15/pub/TG4ab.html" TargetMode="External"/><Relationship Id="rId3" Type="http://schemas.openxmlformats.org/officeDocument/2006/relationships/hyperlink" Target="https://6ghz.wirelessinnovation.org/baseline-standards" TargetMode="External"/><Relationship Id="rId7"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standards.ieee.org/ieee/802.11be/7516/" TargetMode="External"/><Relationship Id="rId5" Type="http://schemas.openxmlformats.org/officeDocument/2006/relationships/hyperlink" Target="https://www.wi-fi.org/news-events/newsroom/wi-fi-alliance-introduces-wi-fi-certified-7" TargetMode="External"/><Relationship Id="rId4" Type="http://schemas.openxmlformats.org/officeDocument/2006/relationships/hyperlink" Target="https://www.fcc.gov/document/oet-announces-conditional-approval-6-ghz-band-afc-systems" TargetMode="External"/><Relationship Id="rId9"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7BE2A-96D0-4DD0-909B-D02C8A768A6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107</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18-24/0102r2</vt:lpstr>
    </vt:vector>
  </TitlesOfParts>
  <Company>Some Company</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18-24/0109r0</dc:title>
  <dc:subject>Submission</dc:subject>
  <dc:creator>Editor</dc:creator>
  <dc:description>Draft response to Czech CTU’s consultation on draft Radio Spectrum Management Strategy</dc:description>
  <cp:lastModifiedBy>Edward Au</cp:lastModifiedBy>
  <cp:revision>77</cp:revision>
  <cp:lastPrinted>2024-10-25T16:03:00Z</cp:lastPrinted>
  <dcterms:created xsi:type="dcterms:W3CDTF">2024-10-03T19:26:00Z</dcterms:created>
  <dcterms:modified xsi:type="dcterms:W3CDTF">2024-10-27T19:20:00Z</dcterms:modified>
  <dc:language>sv-SE</dc:language>
</cp:coreProperties>
</file>