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FAEB73A" w:rsidR="002E16F1" w:rsidRDefault="00697BD5" w:rsidP="00292D6F">
            <w:pPr>
              <w:pStyle w:val="T2"/>
              <w:widowControl w:val="0"/>
              <w:rPr>
                <w:b w:val="0"/>
              </w:rPr>
            </w:pPr>
            <w:r>
              <w:rPr>
                <w:b w:val="0"/>
                <w:bCs/>
              </w:rPr>
              <w:t xml:space="preserve">Proposed </w:t>
            </w:r>
            <w:r w:rsidR="00E640DE" w:rsidRPr="00E640DE">
              <w:rPr>
                <w:b w:val="0"/>
                <w:bCs/>
              </w:rPr>
              <w:t>response to</w:t>
            </w:r>
            <w:r>
              <w:rPr>
                <w:b w:val="0"/>
                <w:bCs/>
              </w:rPr>
              <w:t xml:space="preserve"> </w:t>
            </w:r>
            <w:r w:rsidR="00D55BCA">
              <w:rPr>
                <w:b w:val="0"/>
                <w:bCs/>
              </w:rPr>
              <w:t>S</w:t>
            </w:r>
            <w:r w:rsidR="00292D6F">
              <w:rPr>
                <w:b w:val="0"/>
                <w:bCs/>
              </w:rPr>
              <w:t>audi</w:t>
            </w:r>
            <w:r w:rsidR="0092067C">
              <w:rPr>
                <w:b w:val="0"/>
                <w:bCs/>
              </w:rPr>
              <w:t xml:space="preserve"> Arabi</w:t>
            </w:r>
            <w:r w:rsidR="00292D6F">
              <w:rPr>
                <w:b w:val="0"/>
                <w:bCs/>
              </w:rPr>
              <w:t>a</w:t>
            </w:r>
            <w:r w:rsidR="0092067C">
              <w:rPr>
                <w:b w:val="0"/>
                <w:bCs/>
              </w:rPr>
              <w:t xml:space="preserve"> </w:t>
            </w:r>
            <w:r w:rsidR="00D55BCA">
              <w:rPr>
                <w:b w:val="0"/>
                <w:bCs/>
              </w:rPr>
              <w:t>CS</w:t>
            </w:r>
            <w:r w:rsidR="00DB11C5">
              <w:rPr>
                <w:b w:val="0"/>
                <w:bCs/>
              </w:rPr>
              <w:t>T</w:t>
            </w:r>
            <w:r w:rsidR="00B36EDC">
              <w:rPr>
                <w:b w:val="0"/>
                <w:bCs/>
              </w:rPr>
              <w:t xml:space="preserve">’s consultation on </w:t>
            </w:r>
            <w:r w:rsidR="00D55BCA">
              <w:rPr>
                <w:b w:val="0"/>
                <w:bCs/>
              </w:rPr>
              <w:t>spectrum outlook 2024-2027</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FAB481D" w:rsidR="002E16F1" w:rsidRDefault="007C1BD0" w:rsidP="00B61F2B">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697BD5">
              <w:rPr>
                <w:b w:val="0"/>
                <w:sz w:val="20"/>
              </w:rPr>
              <w:t>9</w:t>
            </w:r>
            <w:r>
              <w:rPr>
                <w:b w:val="0"/>
                <w:sz w:val="20"/>
              </w:rPr>
              <w:t>-</w:t>
            </w:r>
            <w:r w:rsidR="00D55BCA">
              <w:rPr>
                <w:b w:val="0"/>
                <w:sz w:val="20"/>
              </w:rPr>
              <w:t>2</w:t>
            </w:r>
            <w:r w:rsidR="001544EA">
              <w:rPr>
                <w:b w:val="0"/>
                <w:sz w:val="20"/>
              </w:rPr>
              <w:t>9</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D3C14" w14:paraId="172AF237" w14:textId="77777777" w:rsidTr="00D922F2">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6AFA854" w14:textId="77777777" w:rsidR="002D3C14" w:rsidRDefault="002D3C1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77777777" w:rsidR="002D3C14" w:rsidRDefault="002D3C14" w:rsidP="00D922F2">
            <w:pPr>
              <w:pStyle w:val="T2"/>
              <w:widowControl w:val="0"/>
              <w:spacing w:after="0"/>
              <w:ind w:left="0" w:right="0"/>
              <w:jc w:val="left"/>
              <w:rPr>
                <w:b w:val="0"/>
                <w:sz w:val="20"/>
              </w:rPr>
            </w:pPr>
            <w:r>
              <w:rPr>
                <w:b w:val="0"/>
                <w:sz w:val="20"/>
              </w:rPr>
              <w:t>Huawei</w:t>
            </w:r>
          </w:p>
        </w:tc>
        <w:tc>
          <w:tcPr>
            <w:tcW w:w="126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77777777" w:rsidR="002D3C14" w:rsidRDefault="002D3C14" w:rsidP="00D922F2">
            <w:pPr>
              <w:pStyle w:val="T2"/>
              <w:widowControl w:val="0"/>
              <w:spacing w:after="0"/>
              <w:ind w:left="0" w:right="0"/>
              <w:jc w:val="left"/>
              <w:rPr>
                <w:b w:val="0"/>
                <w:sz w:val="20"/>
              </w:rPr>
            </w:pPr>
            <w:r>
              <w:rPr>
                <w:rStyle w:val="Hyperlink"/>
                <w:b w:val="0"/>
                <w:sz w:val="20"/>
              </w:rPr>
              <w:t>edward.ks.au@gmail.com</w:t>
            </w:r>
          </w:p>
        </w:tc>
      </w:tr>
      <w:tr w:rsidR="00FE13ED" w14:paraId="4ABDABB9" w14:textId="77777777" w:rsidTr="00D922F2">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146ABCC3" w14:textId="70A805B7" w:rsidR="00FE13ED" w:rsidRDefault="001544EA" w:rsidP="00D922F2">
            <w:pPr>
              <w:pStyle w:val="T2"/>
              <w:widowControl w:val="0"/>
              <w:spacing w:after="0"/>
              <w:ind w:left="0" w:right="0"/>
              <w:jc w:val="left"/>
              <w:rPr>
                <w:b w:val="0"/>
                <w:sz w:val="20"/>
              </w:rPr>
            </w:pPr>
            <w:r>
              <w:rPr>
                <w:b w:val="0"/>
                <w:sz w:val="20"/>
              </w:rPr>
              <w:t>Hassan Y</w:t>
            </w:r>
            <w:r w:rsidR="00FE13ED">
              <w:rPr>
                <w:b w:val="0"/>
                <w:sz w:val="20"/>
              </w:rPr>
              <w:t>a</w:t>
            </w:r>
            <w:r>
              <w:rPr>
                <w:b w:val="0"/>
                <w:sz w:val="20"/>
              </w:rPr>
              <w:t>g</w:t>
            </w:r>
            <w:r w:rsidR="00FE13ED">
              <w:rPr>
                <w:b w:val="0"/>
                <w:sz w:val="20"/>
              </w:rPr>
              <w:t>hoobi</w:t>
            </w:r>
          </w:p>
        </w:tc>
        <w:tc>
          <w:tcPr>
            <w:tcW w:w="2430" w:type="dxa"/>
            <w:tcBorders>
              <w:top w:val="single" w:sz="4" w:space="0" w:color="000000"/>
              <w:left w:val="single" w:sz="4" w:space="0" w:color="000000"/>
              <w:bottom w:val="single" w:sz="4" w:space="0" w:color="000000"/>
              <w:right w:val="single" w:sz="4" w:space="0" w:color="000000"/>
            </w:tcBorders>
            <w:vAlign w:val="center"/>
          </w:tcPr>
          <w:p w14:paraId="5DD8461A" w14:textId="4144EFD3" w:rsidR="00FE13ED" w:rsidRDefault="00FE13ED" w:rsidP="00D922F2">
            <w:pPr>
              <w:pStyle w:val="T2"/>
              <w:widowControl w:val="0"/>
              <w:spacing w:after="0"/>
              <w:ind w:left="0" w:right="0"/>
              <w:jc w:val="left"/>
              <w:rPr>
                <w:b w:val="0"/>
                <w:sz w:val="20"/>
              </w:rPr>
            </w:pPr>
            <w:r>
              <w:rPr>
                <w:b w:val="0"/>
                <w:sz w:val="20"/>
              </w:rPr>
              <w:t>Intel</w:t>
            </w:r>
          </w:p>
        </w:tc>
        <w:tc>
          <w:tcPr>
            <w:tcW w:w="1260" w:type="dxa"/>
            <w:tcBorders>
              <w:top w:val="single" w:sz="4" w:space="0" w:color="000000"/>
              <w:left w:val="single" w:sz="4" w:space="0" w:color="000000"/>
              <w:bottom w:val="single" w:sz="4" w:space="0" w:color="000000"/>
              <w:right w:val="single" w:sz="4" w:space="0" w:color="000000"/>
            </w:tcBorders>
            <w:vAlign w:val="center"/>
          </w:tcPr>
          <w:p w14:paraId="4D06354D" w14:textId="77777777" w:rsidR="00FE13ED" w:rsidRDefault="00FE13ED"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237AD5C" w14:textId="77777777" w:rsidR="00FE13ED" w:rsidRDefault="00FE13ED"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D02427E" w14:textId="510B21A5" w:rsidR="00FE13ED" w:rsidRDefault="00FE13ED" w:rsidP="00D922F2">
            <w:pPr>
              <w:pStyle w:val="T2"/>
              <w:widowControl w:val="0"/>
              <w:spacing w:after="0"/>
              <w:ind w:left="0" w:right="0"/>
              <w:jc w:val="left"/>
              <w:rPr>
                <w:rStyle w:val="Hyperlink"/>
                <w:b w:val="0"/>
                <w:sz w:val="20"/>
              </w:rPr>
            </w:pPr>
            <w:r>
              <w:rPr>
                <w:rStyle w:val="Hyperlink"/>
                <w:b w:val="0"/>
                <w:sz w:val="20"/>
              </w:rPr>
              <w:t>Hassan.yaghoobi@intel.com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0D692703"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DB11C5">
                              <w:rPr>
                                <w:color w:val="000000"/>
                              </w:rPr>
                              <w:t>Saudi Arabi</w:t>
                            </w:r>
                            <w:r w:rsidR="00292D6F">
                              <w:rPr>
                                <w:color w:val="000000"/>
                              </w:rPr>
                              <w:t>a</w:t>
                            </w:r>
                            <w:r w:rsidR="00DB11C5">
                              <w:rPr>
                                <w:color w:val="000000"/>
                              </w:rPr>
                              <w:t xml:space="preserve"> </w:t>
                            </w:r>
                            <w:r w:rsidR="00861E70" w:rsidRPr="00861E70">
                              <w:rPr>
                                <w:color w:val="000000"/>
                              </w:rPr>
                              <w:t>Communications, Space &amp; Technology Commission</w:t>
                            </w:r>
                            <w:r w:rsidR="00861E70">
                              <w:rPr>
                                <w:color w:val="000000"/>
                              </w:rPr>
                              <w:t xml:space="preserve"> (</w:t>
                            </w:r>
                            <w:r w:rsidR="00DB11C5">
                              <w:rPr>
                                <w:color w:val="000000"/>
                              </w:rPr>
                              <w:t>CST</w:t>
                            </w:r>
                            <w:r w:rsidR="00861E70">
                              <w:rPr>
                                <w:color w:val="000000"/>
                              </w:rPr>
                              <w:t>)</w:t>
                            </w:r>
                            <w:r w:rsidR="009A3248">
                              <w:rPr>
                                <w:color w:val="000000"/>
                              </w:rPr>
                              <w:t xml:space="preserve">’s consultation </w:t>
                            </w:r>
                            <w:r w:rsidR="0056584A">
                              <w:rPr>
                                <w:color w:val="000000"/>
                              </w:rPr>
                              <w:t xml:space="preserve">on </w:t>
                            </w:r>
                            <w:r w:rsidR="009C5D7C">
                              <w:rPr>
                                <w:color w:val="000000"/>
                              </w:rPr>
                              <w:t>“</w:t>
                            </w:r>
                            <w:r w:rsidR="00DB11C5" w:rsidRPr="00DB11C5">
                              <w:rPr>
                                <w:color w:val="000000"/>
                              </w:rPr>
                              <w:t>Spectrum Outlook for Commercial and Innovative Use 2024-2027</w:t>
                            </w:r>
                            <w:r w:rsidR="009C5D7C">
                              <w:rPr>
                                <w:color w:val="000000"/>
                              </w:rPr>
                              <w:t>”</w:t>
                            </w:r>
                            <w:r w:rsidR="00D12B38">
                              <w:rPr>
                                <w:color w:val="000000"/>
                              </w:rPr>
                              <w:t>.</w:t>
                            </w:r>
                          </w:p>
                        </w:txbxContent>
                      </wps:txbx>
                      <wps:bodyPr anchor="t">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0D692703"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DB11C5">
                        <w:rPr>
                          <w:color w:val="000000"/>
                        </w:rPr>
                        <w:t>Saudi Arabi</w:t>
                      </w:r>
                      <w:r w:rsidR="00292D6F">
                        <w:rPr>
                          <w:color w:val="000000"/>
                        </w:rPr>
                        <w:t>a</w:t>
                      </w:r>
                      <w:r w:rsidR="00DB11C5">
                        <w:rPr>
                          <w:color w:val="000000"/>
                        </w:rPr>
                        <w:t xml:space="preserve"> </w:t>
                      </w:r>
                      <w:r w:rsidR="00861E70" w:rsidRPr="00861E70">
                        <w:rPr>
                          <w:color w:val="000000"/>
                        </w:rPr>
                        <w:t>Communications, Space &amp; Technology Commission</w:t>
                      </w:r>
                      <w:r w:rsidR="00861E70">
                        <w:rPr>
                          <w:color w:val="000000"/>
                        </w:rPr>
                        <w:t xml:space="preserve"> (</w:t>
                      </w:r>
                      <w:r w:rsidR="00DB11C5">
                        <w:rPr>
                          <w:color w:val="000000"/>
                        </w:rPr>
                        <w:t>CST</w:t>
                      </w:r>
                      <w:r w:rsidR="00861E70">
                        <w:rPr>
                          <w:color w:val="000000"/>
                        </w:rPr>
                        <w:t>)</w:t>
                      </w:r>
                      <w:r w:rsidR="009A3248">
                        <w:rPr>
                          <w:color w:val="000000"/>
                        </w:rPr>
                        <w:t xml:space="preserve">’s consultation </w:t>
                      </w:r>
                      <w:r w:rsidR="0056584A">
                        <w:rPr>
                          <w:color w:val="000000"/>
                        </w:rPr>
                        <w:t xml:space="preserve">on </w:t>
                      </w:r>
                      <w:r w:rsidR="009C5D7C">
                        <w:rPr>
                          <w:color w:val="000000"/>
                        </w:rPr>
                        <w:t>“</w:t>
                      </w:r>
                      <w:r w:rsidR="00DB11C5" w:rsidRPr="00DB11C5">
                        <w:rPr>
                          <w:color w:val="000000"/>
                        </w:rPr>
                        <w:t>Spectrum Outlook for Commercial and Innovative Use 2024-2027</w:t>
                      </w:r>
                      <w:r w:rsidR="009C5D7C">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587C3D32"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October 7</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396502DE"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0C6D1C" w:rsidRPr="000C6D1C">
        <w:rPr>
          <w:sz w:val="24"/>
          <w:szCs w:val="24"/>
        </w:rPr>
        <w:t>Spectrum Outlook for Commercial and Innovative Use 2024-2027</w:t>
      </w:r>
    </w:p>
    <w:p w14:paraId="44809CFA" w14:textId="77777777" w:rsidR="007C1BD0" w:rsidRPr="00B902C8" w:rsidRDefault="007C1BD0" w:rsidP="007C1BD0">
      <w:pPr>
        <w:pStyle w:val="PlainText"/>
        <w:rPr>
          <w:rFonts w:ascii="Times New Roman" w:hAnsi="Times New Roman"/>
          <w:bCs/>
          <w:sz w:val="24"/>
          <w:szCs w:val="24"/>
        </w:rPr>
      </w:pPr>
    </w:p>
    <w:p w14:paraId="1512EBCE" w14:textId="61E147D0"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9B293C">
        <w:rPr>
          <w:rFonts w:ascii="Times New Roman" w:hAnsi="Times New Roman"/>
          <w:bCs/>
          <w:sz w:val="24"/>
          <w:szCs w:val="24"/>
        </w:rPr>
        <w:t>President</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506FBE15"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861E70" w:rsidRPr="00861E70">
        <w:rPr>
          <w:rStyle w:val="None"/>
          <w:sz w:val="24"/>
          <w:szCs w:val="24"/>
        </w:rPr>
        <w:t xml:space="preserve">Communications, Space &amp; Technology Commission </w:t>
      </w:r>
      <w:r w:rsidR="009B293C" w:rsidRPr="009B293C">
        <w:rPr>
          <w:rStyle w:val="None"/>
          <w:sz w:val="24"/>
          <w:szCs w:val="24"/>
        </w:rPr>
        <w:t>(C</w:t>
      </w:r>
      <w:r w:rsidR="00661B6E">
        <w:rPr>
          <w:rStyle w:val="None"/>
          <w:sz w:val="24"/>
          <w:szCs w:val="24"/>
        </w:rPr>
        <w:t>ST</w:t>
      </w:r>
      <w:r w:rsidR="009B293C" w:rsidRPr="009B293C">
        <w:rPr>
          <w:rStyle w:val="None"/>
          <w:sz w:val="24"/>
          <w:szCs w:val="24"/>
        </w:rPr>
        <w:t>)</w:t>
      </w:r>
      <w:r w:rsidRPr="00FB5724">
        <w:rPr>
          <w:rStyle w:val="None"/>
          <w:sz w:val="24"/>
          <w:szCs w:val="24"/>
        </w:rPr>
        <w:t xml:space="preserve"> for providing an opportunity to comment on </w:t>
      </w:r>
      <w:r w:rsidR="00315419">
        <w:rPr>
          <w:rStyle w:val="None"/>
          <w:sz w:val="24"/>
          <w:szCs w:val="24"/>
        </w:rPr>
        <w:t xml:space="preserve">the </w:t>
      </w:r>
      <w:r w:rsidR="00315419">
        <w:rPr>
          <w:sz w:val="24"/>
          <w:szCs w:val="24"/>
        </w:rPr>
        <w:t xml:space="preserve">public consultation </w:t>
      </w:r>
      <w:r w:rsidR="00661B6E">
        <w:rPr>
          <w:sz w:val="24"/>
          <w:szCs w:val="24"/>
        </w:rPr>
        <w:t>“</w:t>
      </w:r>
      <w:r w:rsidR="00661B6E" w:rsidRPr="000C6D1C">
        <w:rPr>
          <w:sz w:val="24"/>
          <w:szCs w:val="24"/>
        </w:rPr>
        <w:t>Spectrum Outlook for Commercial and Innovative Use 2024-2027</w:t>
      </w:r>
      <w:r w:rsidR="00661B6E">
        <w:rPr>
          <w:sz w:val="24"/>
          <w:szCs w:val="24"/>
        </w:rPr>
        <w:t>”</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6D35CDA3" w:rsidR="009A2E06" w:rsidRPr="002443B2" w:rsidRDefault="009A2E06" w:rsidP="009A2E06">
      <w:pPr>
        <w:pStyle w:val="BodyA"/>
        <w:jc w:val="both"/>
        <w:rPr>
          <w:rStyle w:val="None"/>
          <w:sz w:val="24"/>
          <w:szCs w:val="24"/>
        </w:rPr>
      </w:pPr>
      <w:r w:rsidRPr="002443B2">
        <w:rPr>
          <w:rStyle w:val="None"/>
          <w:sz w:val="24"/>
          <w:szCs w:val="24"/>
        </w:rPr>
        <w:t xml:space="preserve">IEEE 802 LAN/MAN Standards Committee (IEEE 802 LMSC) is a leading consensus-based open standards development committee for networking standards that are used by industry globally. </w:t>
      </w:r>
      <w:r w:rsidR="000239F6">
        <w:rPr>
          <w:rStyle w:val="None"/>
          <w:sz w:val="24"/>
          <w:szCs w:val="24"/>
        </w:rPr>
        <w:t xml:space="preserve"> </w:t>
      </w:r>
      <w:r w:rsidRPr="002443B2">
        <w:rPr>
          <w:rStyle w:val="None"/>
          <w:sz w:val="24"/>
          <w:szCs w:val="24"/>
        </w:rPr>
        <w:t>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7816E23"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 xml:space="preserv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71495CB6" w:rsidR="007C1BD0" w:rsidRDefault="00C6489A" w:rsidP="007C1BD0">
      <w:pPr>
        <w:jc w:val="both"/>
        <w:rPr>
          <w:sz w:val="24"/>
          <w:szCs w:val="24"/>
        </w:rPr>
      </w:pPr>
      <w:r w:rsidRPr="00C6489A">
        <w:rPr>
          <w:sz w:val="24"/>
          <w:szCs w:val="24"/>
        </w:rPr>
        <w:t xml:space="preserve">Please find below the responses of IEEE 802 LMSC to </w:t>
      </w:r>
      <w:r w:rsidR="00DC61EA">
        <w:rPr>
          <w:sz w:val="24"/>
          <w:szCs w:val="24"/>
        </w:rPr>
        <w:t>Question</w:t>
      </w:r>
      <w:r w:rsidR="00581F0D">
        <w:rPr>
          <w:sz w:val="24"/>
          <w:szCs w:val="24"/>
        </w:rPr>
        <w:t>s</w:t>
      </w:r>
      <w:r w:rsidR="00DC61EA">
        <w:rPr>
          <w:sz w:val="24"/>
          <w:szCs w:val="24"/>
        </w:rPr>
        <w:t xml:space="preserve"> </w:t>
      </w:r>
      <w:r w:rsidR="00581F0D">
        <w:rPr>
          <w:sz w:val="24"/>
          <w:szCs w:val="24"/>
        </w:rPr>
        <w:t xml:space="preserve">78 and 83 </w:t>
      </w:r>
      <w:r w:rsidR="00DC61EA">
        <w:rPr>
          <w:sz w:val="24"/>
          <w:szCs w:val="24"/>
        </w:rPr>
        <w:t xml:space="preserve">of </w:t>
      </w:r>
      <w:r w:rsidRPr="00C6489A">
        <w:rPr>
          <w:sz w:val="24"/>
          <w:szCs w:val="24"/>
        </w:rPr>
        <w:t>this consultation.</w:t>
      </w:r>
    </w:p>
    <w:p w14:paraId="36A51D9A" w14:textId="77777777" w:rsidR="004C4AFF" w:rsidRDefault="004C4AFF" w:rsidP="007C1BD0">
      <w:pPr>
        <w:jc w:val="both"/>
        <w:rPr>
          <w:sz w:val="24"/>
          <w:szCs w:val="24"/>
        </w:rPr>
      </w:pPr>
    </w:p>
    <w:p w14:paraId="1DF0312F" w14:textId="3FF186DC" w:rsidR="00492D57" w:rsidRDefault="00492D57" w:rsidP="00DC61EA">
      <w:pPr>
        <w:jc w:val="both"/>
        <w:rPr>
          <w:b/>
          <w:sz w:val="24"/>
          <w:szCs w:val="24"/>
        </w:rPr>
      </w:pPr>
      <w:r>
        <w:rPr>
          <w:b/>
          <w:sz w:val="24"/>
          <w:szCs w:val="24"/>
        </w:rPr>
        <w:t xml:space="preserve">Question 77: Should CST </w:t>
      </w:r>
      <w:bookmarkStart w:id="0" w:name="_Hlk178172302"/>
      <w:r>
        <w:rPr>
          <w:b/>
          <w:sz w:val="24"/>
          <w:szCs w:val="24"/>
        </w:rPr>
        <w:t>Reintroduce Fixed Services (FS) point-to-point links in the 6</w:t>
      </w:r>
      <w:r w:rsidR="00073AE4">
        <w:rPr>
          <w:b/>
          <w:sz w:val="24"/>
          <w:szCs w:val="24"/>
        </w:rPr>
        <w:t xml:space="preserve"> </w:t>
      </w:r>
      <w:r>
        <w:rPr>
          <w:b/>
          <w:sz w:val="24"/>
          <w:szCs w:val="24"/>
        </w:rPr>
        <w:t>GHz band</w:t>
      </w:r>
      <w:bookmarkEnd w:id="0"/>
      <w:r>
        <w:rPr>
          <w:b/>
          <w:sz w:val="24"/>
          <w:szCs w:val="24"/>
        </w:rPr>
        <w:t xml:space="preserve">? </w:t>
      </w:r>
    </w:p>
    <w:p w14:paraId="351FD997" w14:textId="77777777" w:rsidR="000A6AC8" w:rsidRDefault="000A6AC8" w:rsidP="00B668F1">
      <w:pPr>
        <w:jc w:val="both"/>
        <w:rPr>
          <w:sz w:val="24"/>
          <w:szCs w:val="24"/>
        </w:rPr>
      </w:pPr>
    </w:p>
    <w:p w14:paraId="04DDEE04" w14:textId="401BEAFB" w:rsidR="009C7F31" w:rsidRDefault="009C7F31" w:rsidP="00B668F1">
      <w:pPr>
        <w:jc w:val="both"/>
        <w:rPr>
          <w:sz w:val="24"/>
          <w:szCs w:val="24"/>
        </w:rPr>
      </w:pPr>
      <w:r w:rsidRPr="00040B33">
        <w:rPr>
          <w:sz w:val="24"/>
          <w:szCs w:val="24"/>
        </w:rPr>
        <w:t>IEEE 802 LMSC</w:t>
      </w:r>
      <w:r>
        <w:rPr>
          <w:sz w:val="24"/>
          <w:szCs w:val="24"/>
        </w:rPr>
        <w:t xml:space="preserve"> does not have any opinion about </w:t>
      </w:r>
      <w:r w:rsidR="00073AE4">
        <w:rPr>
          <w:sz w:val="24"/>
          <w:szCs w:val="24"/>
        </w:rPr>
        <w:t>the reintroduction of</w:t>
      </w:r>
      <w:r w:rsidRPr="009C7F31">
        <w:rPr>
          <w:sz w:val="24"/>
          <w:szCs w:val="24"/>
        </w:rPr>
        <w:t xml:space="preserve"> Fixed Services (FS) point-to-point links in the 6</w:t>
      </w:r>
      <w:r w:rsidR="00073AE4">
        <w:rPr>
          <w:sz w:val="24"/>
          <w:szCs w:val="24"/>
        </w:rPr>
        <w:t xml:space="preserve"> </w:t>
      </w:r>
      <w:r w:rsidRPr="009C7F31">
        <w:rPr>
          <w:sz w:val="24"/>
          <w:szCs w:val="24"/>
        </w:rPr>
        <w:t xml:space="preserve">GHz </w:t>
      </w:r>
      <w:r w:rsidR="00073AE4">
        <w:rPr>
          <w:sz w:val="24"/>
          <w:szCs w:val="24"/>
        </w:rPr>
        <w:t xml:space="preserve">frequency </w:t>
      </w:r>
      <w:r w:rsidRPr="009C7F31">
        <w:rPr>
          <w:sz w:val="24"/>
          <w:szCs w:val="24"/>
        </w:rPr>
        <w:t>band</w:t>
      </w:r>
      <w:r>
        <w:rPr>
          <w:sz w:val="24"/>
          <w:szCs w:val="24"/>
        </w:rPr>
        <w:t xml:space="preserve"> but would like to </w:t>
      </w:r>
      <w:r w:rsidR="00BB23FD">
        <w:rPr>
          <w:sz w:val="24"/>
          <w:szCs w:val="24"/>
        </w:rPr>
        <w:t>comment</w:t>
      </w:r>
      <w:r>
        <w:rPr>
          <w:sz w:val="24"/>
          <w:szCs w:val="24"/>
        </w:rPr>
        <w:t xml:space="preserve"> that </w:t>
      </w:r>
      <w:r w:rsidR="00B668F1" w:rsidRPr="00B668F1">
        <w:rPr>
          <w:sz w:val="24"/>
          <w:szCs w:val="24"/>
        </w:rPr>
        <w:t>standard power access</w:t>
      </w:r>
      <w:r w:rsidR="00B668F1">
        <w:rPr>
          <w:sz w:val="24"/>
          <w:szCs w:val="24"/>
        </w:rPr>
        <w:t xml:space="preserve"> </w:t>
      </w:r>
      <w:r w:rsidR="00B668F1" w:rsidRPr="00B668F1">
        <w:rPr>
          <w:sz w:val="24"/>
          <w:szCs w:val="24"/>
        </w:rPr>
        <w:t xml:space="preserve">points </w:t>
      </w:r>
      <w:r w:rsidR="00B668F1">
        <w:rPr>
          <w:sz w:val="24"/>
          <w:szCs w:val="24"/>
        </w:rPr>
        <w:t>(</w:t>
      </w:r>
      <w:r w:rsidR="001544EA">
        <w:rPr>
          <w:sz w:val="24"/>
          <w:szCs w:val="24"/>
        </w:rPr>
        <w:t>i.e., f</w:t>
      </w:r>
      <w:r w:rsidR="00B668F1">
        <w:rPr>
          <w:sz w:val="24"/>
          <w:szCs w:val="24"/>
        </w:rPr>
        <w:t xml:space="preserve">ixed </w:t>
      </w:r>
      <w:r w:rsidR="001544EA">
        <w:rPr>
          <w:sz w:val="24"/>
          <w:szCs w:val="24"/>
        </w:rPr>
        <w:t>c</w:t>
      </w:r>
      <w:r w:rsidR="00B668F1">
        <w:rPr>
          <w:sz w:val="24"/>
          <w:szCs w:val="24"/>
        </w:rPr>
        <w:t xml:space="preserve">lient </w:t>
      </w:r>
      <w:r w:rsidR="001544EA">
        <w:rPr>
          <w:sz w:val="24"/>
          <w:szCs w:val="24"/>
        </w:rPr>
        <w:t>d</w:t>
      </w:r>
      <w:r w:rsidR="00B668F1">
        <w:rPr>
          <w:sz w:val="24"/>
          <w:szCs w:val="24"/>
        </w:rPr>
        <w:t>evices)</w:t>
      </w:r>
      <w:r w:rsidR="00073AE4">
        <w:rPr>
          <w:sz w:val="24"/>
          <w:szCs w:val="24"/>
        </w:rPr>
        <w:t xml:space="preserve">, which are controlled by </w:t>
      </w:r>
      <w:r w:rsidR="00997F79" w:rsidRPr="00040B33">
        <w:rPr>
          <w:sz w:val="24"/>
          <w:szCs w:val="24"/>
        </w:rPr>
        <w:t>Automatic Freq</w:t>
      </w:r>
      <w:r w:rsidR="00997F79">
        <w:rPr>
          <w:sz w:val="24"/>
          <w:szCs w:val="24"/>
        </w:rPr>
        <w:t>uency Coordination (</w:t>
      </w:r>
      <w:r w:rsidR="00073AE4">
        <w:rPr>
          <w:sz w:val="24"/>
          <w:szCs w:val="24"/>
        </w:rPr>
        <w:t>AFC</w:t>
      </w:r>
      <w:r w:rsidR="00997F79">
        <w:rPr>
          <w:sz w:val="24"/>
          <w:szCs w:val="24"/>
        </w:rPr>
        <w:t>)</w:t>
      </w:r>
      <w:r w:rsidR="001544EA">
        <w:rPr>
          <w:sz w:val="24"/>
          <w:szCs w:val="24"/>
        </w:rPr>
        <w:t xml:space="preserve"> systems</w:t>
      </w:r>
      <w:r w:rsidR="00073AE4">
        <w:rPr>
          <w:sz w:val="24"/>
          <w:szCs w:val="24"/>
        </w:rPr>
        <w:t xml:space="preserve"> that support higher power level,</w:t>
      </w:r>
      <w:r w:rsidR="00B668F1">
        <w:rPr>
          <w:sz w:val="24"/>
          <w:szCs w:val="24"/>
        </w:rPr>
        <w:t xml:space="preserve"> are </w:t>
      </w:r>
      <w:r w:rsidR="000A6AC8">
        <w:rPr>
          <w:sz w:val="24"/>
          <w:szCs w:val="24"/>
        </w:rPr>
        <w:t>considered</w:t>
      </w:r>
      <w:r w:rsidR="00B668F1" w:rsidRPr="00B668F1">
        <w:rPr>
          <w:sz w:val="24"/>
          <w:szCs w:val="24"/>
        </w:rPr>
        <w:t xml:space="preserve"> in fixed point-to-point applications</w:t>
      </w:r>
      <w:r w:rsidR="00B668F1">
        <w:rPr>
          <w:sz w:val="24"/>
          <w:szCs w:val="24"/>
        </w:rPr>
        <w:t xml:space="preserve"> </w:t>
      </w:r>
      <w:r w:rsidR="000A6AC8">
        <w:rPr>
          <w:sz w:val="24"/>
          <w:szCs w:val="24"/>
        </w:rPr>
        <w:t xml:space="preserve">operating in the </w:t>
      </w:r>
      <w:r w:rsidR="00221FC9">
        <w:rPr>
          <w:sz w:val="24"/>
          <w:szCs w:val="24"/>
        </w:rPr>
        <w:t>license-exempt</w:t>
      </w:r>
      <w:r w:rsidR="000A6AC8">
        <w:rPr>
          <w:sz w:val="24"/>
          <w:szCs w:val="24"/>
        </w:rPr>
        <w:t xml:space="preserve"> 6</w:t>
      </w:r>
      <w:r w:rsidR="00073AE4">
        <w:rPr>
          <w:sz w:val="24"/>
          <w:szCs w:val="24"/>
        </w:rPr>
        <w:t xml:space="preserve"> </w:t>
      </w:r>
      <w:r w:rsidR="000A6AC8">
        <w:rPr>
          <w:sz w:val="24"/>
          <w:szCs w:val="24"/>
        </w:rPr>
        <w:t>GHz band</w:t>
      </w:r>
      <w:r w:rsidR="00B668F1" w:rsidRPr="00B668F1">
        <w:rPr>
          <w:sz w:val="24"/>
          <w:szCs w:val="24"/>
        </w:rPr>
        <w:t>.</w:t>
      </w:r>
      <w:r w:rsidR="000A6AC8">
        <w:rPr>
          <w:sz w:val="24"/>
          <w:szCs w:val="24"/>
        </w:rPr>
        <w:t xml:space="preserve"> </w:t>
      </w:r>
    </w:p>
    <w:p w14:paraId="7CB3D7BE" w14:textId="1757EC83" w:rsidR="000A6AC8" w:rsidRDefault="000A6AC8" w:rsidP="00B668F1">
      <w:pPr>
        <w:jc w:val="both"/>
        <w:rPr>
          <w:sz w:val="24"/>
          <w:szCs w:val="24"/>
        </w:rPr>
      </w:pPr>
    </w:p>
    <w:p w14:paraId="73323F38" w14:textId="0C2C7729" w:rsidR="000A6AC8" w:rsidRPr="000A6AC8" w:rsidRDefault="000A6AC8" w:rsidP="00B668F1">
      <w:pPr>
        <w:jc w:val="both"/>
        <w:rPr>
          <w:sz w:val="24"/>
          <w:szCs w:val="24"/>
        </w:rPr>
      </w:pPr>
      <w:r>
        <w:rPr>
          <w:sz w:val="24"/>
          <w:szCs w:val="24"/>
        </w:rPr>
        <w:t xml:space="preserve">As it is commented in response to Question 78, </w:t>
      </w:r>
      <w:r w:rsidR="00BB23FD">
        <w:rPr>
          <w:sz w:val="24"/>
          <w:szCs w:val="24"/>
        </w:rPr>
        <w:t xml:space="preserve">AFC </w:t>
      </w:r>
      <w:r w:rsidR="00EE45B2">
        <w:rPr>
          <w:sz w:val="24"/>
          <w:szCs w:val="24"/>
        </w:rPr>
        <w:t>s</w:t>
      </w:r>
      <w:r w:rsidR="00BB23FD">
        <w:rPr>
          <w:sz w:val="24"/>
          <w:szCs w:val="24"/>
        </w:rPr>
        <w:t xml:space="preserve">ystems </w:t>
      </w:r>
      <w:r w:rsidR="00600F91">
        <w:rPr>
          <w:sz w:val="24"/>
          <w:szCs w:val="24"/>
        </w:rPr>
        <w:t xml:space="preserve">are designed to </w:t>
      </w:r>
      <w:r w:rsidR="00BB23FD">
        <w:rPr>
          <w:sz w:val="24"/>
          <w:szCs w:val="24"/>
        </w:rPr>
        <w:t xml:space="preserve">protect </w:t>
      </w:r>
      <w:r w:rsidR="00600F91">
        <w:rPr>
          <w:sz w:val="24"/>
          <w:szCs w:val="24"/>
        </w:rPr>
        <w:t xml:space="preserve">FS </w:t>
      </w:r>
      <w:r w:rsidR="00BB23FD">
        <w:rPr>
          <w:sz w:val="24"/>
          <w:szCs w:val="24"/>
        </w:rPr>
        <w:t>in the 6</w:t>
      </w:r>
      <w:r w:rsidR="00073AE4">
        <w:rPr>
          <w:sz w:val="24"/>
          <w:szCs w:val="24"/>
        </w:rPr>
        <w:t xml:space="preserve"> </w:t>
      </w:r>
      <w:r w:rsidR="00BB23FD">
        <w:rPr>
          <w:sz w:val="24"/>
          <w:szCs w:val="24"/>
        </w:rPr>
        <w:t xml:space="preserve">GHz band. </w:t>
      </w:r>
    </w:p>
    <w:p w14:paraId="0AA9D0F8" w14:textId="77777777" w:rsidR="00492D57" w:rsidRDefault="00492D57" w:rsidP="00DC61EA">
      <w:pPr>
        <w:jc w:val="both"/>
        <w:rPr>
          <w:b/>
          <w:sz w:val="24"/>
          <w:szCs w:val="24"/>
        </w:rPr>
      </w:pPr>
    </w:p>
    <w:p w14:paraId="5F7A103C" w14:textId="5268EA45" w:rsidR="00DC61EA" w:rsidRPr="00DC61EA" w:rsidRDefault="00DC61EA" w:rsidP="00DC61EA">
      <w:pPr>
        <w:jc w:val="both"/>
        <w:rPr>
          <w:b/>
          <w:sz w:val="24"/>
          <w:szCs w:val="24"/>
        </w:rPr>
      </w:pPr>
      <w:r w:rsidRPr="00DC61EA">
        <w:rPr>
          <w:b/>
          <w:sz w:val="24"/>
          <w:szCs w:val="24"/>
        </w:rPr>
        <w:t xml:space="preserve">Question </w:t>
      </w:r>
      <w:r w:rsidR="00A03C7A">
        <w:rPr>
          <w:b/>
          <w:sz w:val="24"/>
          <w:szCs w:val="24"/>
        </w:rPr>
        <w:t>78</w:t>
      </w:r>
      <w:r w:rsidRPr="00DC61EA">
        <w:rPr>
          <w:b/>
          <w:sz w:val="24"/>
          <w:szCs w:val="24"/>
        </w:rPr>
        <w:t xml:space="preserve">:  </w:t>
      </w:r>
      <w:r w:rsidR="00D5053C" w:rsidRPr="00D5053C">
        <w:rPr>
          <w:b/>
          <w:sz w:val="24"/>
          <w:szCs w:val="24"/>
        </w:rPr>
        <w:t>Is there a need to update the regulations for the use of fixed wireless links to include the 6 GHz frequency band</w:t>
      </w:r>
      <w:r w:rsidR="00D5053C">
        <w:rPr>
          <w:b/>
          <w:sz w:val="24"/>
          <w:szCs w:val="24"/>
        </w:rPr>
        <w:t>?</w:t>
      </w:r>
    </w:p>
    <w:p w14:paraId="5BF1C3C5" w14:textId="77777777" w:rsidR="00AB1B3A" w:rsidRPr="001A19CA" w:rsidRDefault="00AB1B3A" w:rsidP="00AB1B3A">
      <w:pPr>
        <w:pStyle w:val="ListParagraph"/>
        <w:jc w:val="both"/>
        <w:rPr>
          <w:rFonts w:ascii="Times New Roman" w:hAnsi="Times New Roman"/>
          <w:sz w:val="24"/>
          <w:szCs w:val="24"/>
        </w:rPr>
      </w:pPr>
    </w:p>
    <w:p w14:paraId="601008C3" w14:textId="0BB76DFF" w:rsidR="00040B33" w:rsidRDefault="00040B33" w:rsidP="00DB6253">
      <w:pPr>
        <w:jc w:val="both"/>
        <w:rPr>
          <w:sz w:val="24"/>
          <w:szCs w:val="24"/>
        </w:rPr>
      </w:pPr>
      <w:r w:rsidRPr="00040B33">
        <w:rPr>
          <w:sz w:val="24"/>
          <w:szCs w:val="24"/>
        </w:rPr>
        <w:t>IEEE 802 LMSC recognizes a</w:t>
      </w:r>
      <w:r>
        <w:rPr>
          <w:sz w:val="24"/>
          <w:szCs w:val="24"/>
        </w:rPr>
        <w:t>nd applauds CST</w:t>
      </w:r>
      <w:r w:rsidR="002937C0">
        <w:rPr>
          <w:sz w:val="24"/>
          <w:szCs w:val="24"/>
        </w:rPr>
        <w:t>’s effort</w:t>
      </w:r>
      <w:r w:rsidRPr="00040B33">
        <w:rPr>
          <w:sz w:val="24"/>
          <w:szCs w:val="24"/>
        </w:rPr>
        <w:t xml:space="preserve"> to propose authorizing </w:t>
      </w:r>
      <w:r>
        <w:rPr>
          <w:sz w:val="24"/>
          <w:szCs w:val="24"/>
        </w:rPr>
        <w:t xml:space="preserve">WLAN in the </w:t>
      </w:r>
      <w:r w:rsidRPr="00040B33">
        <w:rPr>
          <w:sz w:val="24"/>
          <w:szCs w:val="24"/>
        </w:rPr>
        <w:t xml:space="preserve">6 GHz </w:t>
      </w:r>
      <w:r>
        <w:rPr>
          <w:sz w:val="24"/>
          <w:szCs w:val="24"/>
        </w:rPr>
        <w:t xml:space="preserve">frequency </w:t>
      </w:r>
      <w:r w:rsidRPr="00040B33">
        <w:rPr>
          <w:sz w:val="24"/>
          <w:szCs w:val="24"/>
        </w:rPr>
        <w:t xml:space="preserve">band </w:t>
      </w:r>
      <w:r>
        <w:rPr>
          <w:sz w:val="24"/>
          <w:szCs w:val="24"/>
        </w:rPr>
        <w:t xml:space="preserve">to operate outdoor </w:t>
      </w:r>
      <w:r w:rsidRPr="00040B33">
        <w:rPr>
          <w:sz w:val="24"/>
          <w:szCs w:val="24"/>
        </w:rPr>
        <w:t>via relaxed licensing through the Automatic Freq</w:t>
      </w:r>
      <w:r>
        <w:rPr>
          <w:sz w:val="24"/>
          <w:szCs w:val="24"/>
        </w:rPr>
        <w:t>uency Coordination (AFC) system</w:t>
      </w:r>
      <w:r w:rsidRPr="00040B33">
        <w:rPr>
          <w:sz w:val="24"/>
          <w:szCs w:val="24"/>
        </w:rPr>
        <w:t xml:space="preserve">. </w:t>
      </w:r>
    </w:p>
    <w:p w14:paraId="7B31DD72" w14:textId="77777777" w:rsidR="00040B33" w:rsidRDefault="00040B33" w:rsidP="00DB6253">
      <w:pPr>
        <w:jc w:val="both"/>
        <w:rPr>
          <w:sz w:val="24"/>
          <w:szCs w:val="24"/>
        </w:rPr>
      </w:pPr>
    </w:p>
    <w:p w14:paraId="39A63D34" w14:textId="5DB3426C" w:rsidR="00040B33" w:rsidRDefault="00040B33" w:rsidP="00040B33">
      <w:pPr>
        <w:pStyle w:val="BodyA"/>
        <w:jc w:val="both"/>
        <w:rPr>
          <w:rStyle w:val="None"/>
          <w:sz w:val="24"/>
          <w:szCs w:val="24"/>
        </w:rPr>
      </w:pPr>
      <w:r>
        <w:rPr>
          <w:rStyle w:val="None"/>
          <w:sz w:val="24"/>
          <w:szCs w:val="24"/>
        </w:rPr>
        <w:t>AFC technology is considered as a mitigation technique to protect</w:t>
      </w:r>
      <w:r>
        <w:rPr>
          <w:rStyle w:val="None"/>
          <w:b/>
          <w:bCs/>
          <w:sz w:val="24"/>
          <w:szCs w:val="24"/>
        </w:rPr>
        <w:t xml:space="preserve"> </w:t>
      </w:r>
      <w:r>
        <w:rPr>
          <w:rStyle w:val="None"/>
          <w:sz w:val="24"/>
          <w:szCs w:val="24"/>
        </w:rPr>
        <w:t xml:space="preserve">incumbent services for outdoor and indoor operation at standard power (SP) level.  IEEE 802 LMSC believes that an AFC </w:t>
      </w:r>
      <w:r w:rsidR="00EE67BB">
        <w:rPr>
          <w:rStyle w:val="None"/>
          <w:sz w:val="24"/>
          <w:szCs w:val="24"/>
        </w:rPr>
        <w:t>s</w:t>
      </w:r>
      <w:r>
        <w:rPr>
          <w:rStyle w:val="None"/>
          <w:sz w:val="24"/>
          <w:szCs w:val="24"/>
        </w:rPr>
        <w:t xml:space="preserve">ystem, as an effective automated spectrum sharing technology, is critical in enabling essential Wi-Fi technology applications and use cases not only for outdoor operation but also indoor operation at SP level. </w:t>
      </w:r>
    </w:p>
    <w:p w14:paraId="6A7C33D6" w14:textId="77777777" w:rsidR="00040B33" w:rsidRDefault="00040B33" w:rsidP="00DB6253">
      <w:pPr>
        <w:jc w:val="both"/>
        <w:rPr>
          <w:sz w:val="24"/>
          <w:szCs w:val="24"/>
        </w:rPr>
      </w:pPr>
    </w:p>
    <w:p w14:paraId="77534124" w14:textId="5203053D" w:rsidR="00040B33" w:rsidRDefault="00040B33" w:rsidP="00040B33">
      <w:pPr>
        <w:pStyle w:val="BodyA"/>
        <w:jc w:val="both"/>
        <w:rPr>
          <w:rStyle w:val="None"/>
          <w:sz w:val="24"/>
          <w:szCs w:val="24"/>
        </w:rPr>
      </w:pPr>
      <w:r>
        <w:rPr>
          <w:rStyle w:val="None"/>
          <w:sz w:val="24"/>
          <w:szCs w:val="24"/>
        </w:rPr>
        <w:t>The USA and Canada have already authorized SP mode and started certification of AFC systems. The certification process for AFC systems and devices is based on the industry developed recommended compliance specifications</w:t>
      </w:r>
      <w:r>
        <w:rPr>
          <w:rStyle w:val="None"/>
          <w:sz w:val="24"/>
          <w:szCs w:val="24"/>
          <w:vertAlign w:val="superscript"/>
        </w:rPr>
        <w:footnoteReference w:id="2"/>
      </w:r>
      <w:r>
        <w:rPr>
          <w:rStyle w:val="None"/>
          <w:sz w:val="24"/>
          <w:szCs w:val="24"/>
          <w:vertAlign w:val="superscript"/>
        </w:rPr>
        <w:t>,</w:t>
      </w:r>
      <w:r>
        <w:rPr>
          <w:rStyle w:val="None"/>
          <w:sz w:val="24"/>
          <w:szCs w:val="24"/>
          <w:vertAlign w:val="superscript"/>
        </w:rPr>
        <w:footnoteReference w:id="3"/>
      </w:r>
      <w:r>
        <w:rPr>
          <w:rStyle w:val="None"/>
          <w:sz w:val="24"/>
          <w:szCs w:val="24"/>
        </w:rPr>
        <w:t>. On 21 August 2023, Innovation, Science and Economic Development Canada (ISED) approved</w:t>
      </w:r>
      <w:r>
        <w:rPr>
          <w:rStyle w:val="None"/>
          <w:sz w:val="24"/>
          <w:szCs w:val="24"/>
          <w:vertAlign w:val="superscript"/>
        </w:rPr>
        <w:footnoteReference w:id="4"/>
      </w:r>
      <w:r>
        <w:rPr>
          <w:rStyle w:val="None"/>
          <w:sz w:val="24"/>
          <w:szCs w:val="24"/>
        </w:rPr>
        <w:t xml:space="preserve"> an AFC </w:t>
      </w:r>
      <w:r w:rsidR="009E0E96">
        <w:rPr>
          <w:rStyle w:val="None"/>
          <w:sz w:val="24"/>
          <w:szCs w:val="24"/>
        </w:rPr>
        <w:t>s</w:t>
      </w:r>
      <w:r>
        <w:rPr>
          <w:rStyle w:val="None"/>
          <w:sz w:val="24"/>
          <w:szCs w:val="24"/>
        </w:rPr>
        <w:t>ystem for operation in Canada. On 23 February 2024, Federal Communications Commission (FCC) announced</w:t>
      </w:r>
      <w:r>
        <w:rPr>
          <w:rStyle w:val="None"/>
          <w:sz w:val="24"/>
          <w:szCs w:val="24"/>
          <w:vertAlign w:val="superscript"/>
        </w:rPr>
        <w:footnoteReference w:id="5"/>
      </w:r>
      <w:r>
        <w:rPr>
          <w:rStyle w:val="None"/>
          <w:sz w:val="24"/>
          <w:szCs w:val="24"/>
        </w:rPr>
        <w:t xml:space="preserve"> approval of seven AFC systems for commercial operation in the USA.  A number of AFC devices and </w:t>
      </w:r>
      <w:r w:rsidR="00EE67BB">
        <w:rPr>
          <w:rStyle w:val="None"/>
          <w:sz w:val="24"/>
          <w:szCs w:val="24"/>
        </w:rPr>
        <w:t>f</w:t>
      </w:r>
      <w:r>
        <w:rPr>
          <w:rStyle w:val="None"/>
          <w:sz w:val="24"/>
          <w:szCs w:val="24"/>
        </w:rPr>
        <w:t xml:space="preserve">ixed </w:t>
      </w:r>
      <w:r w:rsidR="00EE67BB">
        <w:rPr>
          <w:rStyle w:val="None"/>
          <w:sz w:val="24"/>
          <w:szCs w:val="24"/>
        </w:rPr>
        <w:t>c</w:t>
      </w:r>
      <w:r>
        <w:rPr>
          <w:rStyle w:val="None"/>
          <w:sz w:val="24"/>
          <w:szCs w:val="24"/>
        </w:rPr>
        <w:t>lient d</w:t>
      </w:r>
      <w:r w:rsidR="009E0E96">
        <w:rPr>
          <w:rStyle w:val="None"/>
          <w:sz w:val="24"/>
          <w:szCs w:val="24"/>
        </w:rPr>
        <w:t>evices are already certified</w:t>
      </w:r>
      <w:r>
        <w:rPr>
          <w:rStyle w:val="None"/>
          <w:sz w:val="24"/>
          <w:szCs w:val="24"/>
        </w:rPr>
        <w:t xml:space="preserve">. </w:t>
      </w:r>
    </w:p>
    <w:p w14:paraId="5E4C05E4" w14:textId="77777777" w:rsidR="003561C3" w:rsidRPr="001A19CA" w:rsidRDefault="003561C3" w:rsidP="00DB6253">
      <w:pPr>
        <w:jc w:val="both"/>
        <w:rPr>
          <w:sz w:val="24"/>
          <w:szCs w:val="24"/>
        </w:rPr>
      </w:pPr>
    </w:p>
    <w:p w14:paraId="1E6C6887" w14:textId="78EFDFCD" w:rsidR="00DD69CB" w:rsidRDefault="00EE67BB" w:rsidP="00EE67BB">
      <w:pPr>
        <w:pStyle w:val="BodyA"/>
        <w:jc w:val="both"/>
        <w:rPr>
          <w:rStyle w:val="None"/>
          <w:sz w:val="24"/>
          <w:szCs w:val="24"/>
        </w:rPr>
      </w:pPr>
      <w:r>
        <w:rPr>
          <w:rStyle w:val="None"/>
          <w:sz w:val="24"/>
          <w:szCs w:val="24"/>
        </w:rPr>
        <w:t xml:space="preserve">IEEE 802 LMSC noted the presence of different types of incumbent services, including satellite, </w:t>
      </w:r>
      <w:r w:rsidR="000F778C">
        <w:rPr>
          <w:rStyle w:val="None"/>
          <w:sz w:val="24"/>
          <w:szCs w:val="24"/>
        </w:rPr>
        <w:t>and fixed deployment</w:t>
      </w:r>
      <w:r w:rsidR="000A743A">
        <w:rPr>
          <w:rStyle w:val="None"/>
          <w:sz w:val="24"/>
          <w:szCs w:val="24"/>
        </w:rPr>
        <w:t>s</w:t>
      </w:r>
      <w:r w:rsidR="000F778C">
        <w:rPr>
          <w:rStyle w:val="None"/>
          <w:sz w:val="24"/>
          <w:szCs w:val="24"/>
        </w:rPr>
        <w:t xml:space="preserve"> </w:t>
      </w:r>
      <w:r>
        <w:rPr>
          <w:rStyle w:val="None"/>
          <w:sz w:val="24"/>
          <w:szCs w:val="24"/>
        </w:rPr>
        <w:t>in the 6 GHz band</w:t>
      </w:r>
      <w:r w:rsidR="000F778C">
        <w:rPr>
          <w:rStyle w:val="None"/>
          <w:sz w:val="24"/>
          <w:szCs w:val="24"/>
        </w:rPr>
        <w:t xml:space="preserve"> in Saudi Arabia</w:t>
      </w:r>
      <w:r>
        <w:rPr>
          <w:rStyle w:val="None"/>
          <w:sz w:val="24"/>
          <w:szCs w:val="24"/>
        </w:rPr>
        <w:t xml:space="preserve">. </w:t>
      </w:r>
      <w:r w:rsidR="008817AC">
        <w:rPr>
          <w:rStyle w:val="None"/>
          <w:sz w:val="24"/>
          <w:szCs w:val="24"/>
        </w:rPr>
        <w:t xml:space="preserve"> </w:t>
      </w:r>
      <w:r w:rsidR="00A40F07">
        <w:rPr>
          <w:rStyle w:val="None"/>
          <w:sz w:val="24"/>
          <w:szCs w:val="24"/>
        </w:rPr>
        <w:t xml:space="preserve">Our understanding is that </w:t>
      </w:r>
      <w:r w:rsidR="00AC262A">
        <w:rPr>
          <w:rStyle w:val="None"/>
          <w:sz w:val="24"/>
          <w:szCs w:val="24"/>
        </w:rPr>
        <w:t>existing</w:t>
      </w:r>
      <w:r w:rsidR="00A40F07">
        <w:rPr>
          <w:rStyle w:val="None"/>
          <w:sz w:val="24"/>
          <w:szCs w:val="24"/>
        </w:rPr>
        <w:t xml:space="preserve"> AFC </w:t>
      </w:r>
      <w:r w:rsidR="00567CA5">
        <w:rPr>
          <w:rStyle w:val="None"/>
          <w:sz w:val="24"/>
          <w:szCs w:val="24"/>
        </w:rPr>
        <w:t>s</w:t>
      </w:r>
      <w:r w:rsidR="00A40F07">
        <w:rPr>
          <w:rStyle w:val="None"/>
          <w:sz w:val="24"/>
          <w:szCs w:val="24"/>
        </w:rPr>
        <w:t>ystems are design</w:t>
      </w:r>
      <w:r w:rsidR="00567CA5">
        <w:rPr>
          <w:rStyle w:val="None"/>
          <w:sz w:val="24"/>
          <w:szCs w:val="24"/>
        </w:rPr>
        <w:t>ed</w:t>
      </w:r>
      <w:r w:rsidR="00A40F07">
        <w:rPr>
          <w:rStyle w:val="None"/>
          <w:sz w:val="24"/>
          <w:szCs w:val="24"/>
        </w:rPr>
        <w:t xml:space="preserve"> </w:t>
      </w:r>
      <w:r w:rsidR="00D4444C">
        <w:rPr>
          <w:rStyle w:val="None"/>
          <w:sz w:val="24"/>
          <w:szCs w:val="24"/>
        </w:rPr>
        <w:t xml:space="preserve">with </w:t>
      </w:r>
      <w:r w:rsidR="00DD69CB">
        <w:rPr>
          <w:rStyle w:val="None"/>
          <w:sz w:val="24"/>
          <w:szCs w:val="24"/>
        </w:rPr>
        <w:t>specific</w:t>
      </w:r>
      <w:r w:rsidR="00D4444C">
        <w:rPr>
          <w:rStyle w:val="None"/>
          <w:sz w:val="24"/>
          <w:szCs w:val="24"/>
        </w:rPr>
        <w:t xml:space="preserve"> flexibility built</w:t>
      </w:r>
      <w:r w:rsidR="00DD69CB">
        <w:rPr>
          <w:rStyle w:val="None"/>
          <w:sz w:val="24"/>
          <w:szCs w:val="24"/>
        </w:rPr>
        <w:t>-</w:t>
      </w:r>
      <w:r w:rsidR="00D4444C">
        <w:rPr>
          <w:rStyle w:val="None"/>
          <w:sz w:val="24"/>
          <w:szCs w:val="24"/>
        </w:rPr>
        <w:t xml:space="preserve">in to </w:t>
      </w:r>
      <w:r w:rsidR="00DD69CB">
        <w:rPr>
          <w:rStyle w:val="None"/>
          <w:sz w:val="24"/>
          <w:szCs w:val="24"/>
        </w:rPr>
        <w:t xml:space="preserve">enable the system to </w:t>
      </w:r>
      <w:r w:rsidR="00D4444C">
        <w:rPr>
          <w:rStyle w:val="None"/>
          <w:sz w:val="24"/>
          <w:szCs w:val="24"/>
        </w:rPr>
        <w:t xml:space="preserve">customize based on local requirements. </w:t>
      </w:r>
      <w:r w:rsidR="009E0E96">
        <w:rPr>
          <w:rStyle w:val="None"/>
          <w:sz w:val="24"/>
          <w:szCs w:val="24"/>
        </w:rPr>
        <w:t xml:space="preserve"> </w:t>
      </w:r>
      <w:r w:rsidR="00DA26DE">
        <w:rPr>
          <w:rStyle w:val="None"/>
          <w:sz w:val="24"/>
          <w:szCs w:val="24"/>
        </w:rPr>
        <w:t>Therefore, w</w:t>
      </w:r>
      <w:r>
        <w:rPr>
          <w:rStyle w:val="None"/>
          <w:sz w:val="24"/>
          <w:szCs w:val="24"/>
        </w:rPr>
        <w:t>ith proper consideration of protection criteria for the incumbent services, we believe that AFC systems can properly implement the frequency coordination and maximum allowable power settings for AFC devices</w:t>
      </w:r>
      <w:r w:rsidR="00CE619B">
        <w:rPr>
          <w:rStyle w:val="None"/>
          <w:sz w:val="24"/>
          <w:szCs w:val="24"/>
        </w:rPr>
        <w:t xml:space="preserve"> considering any </w:t>
      </w:r>
      <w:r w:rsidR="00993ED6">
        <w:rPr>
          <w:rStyle w:val="None"/>
          <w:sz w:val="24"/>
          <w:szCs w:val="24"/>
        </w:rPr>
        <w:t>local regulation from CST</w:t>
      </w:r>
      <w:r>
        <w:rPr>
          <w:rStyle w:val="None"/>
          <w:sz w:val="24"/>
          <w:szCs w:val="24"/>
        </w:rPr>
        <w:t xml:space="preserve">.  As an example, in the USA, AFC systems determine frequency and channel availability and maximum permissible power levels for AFC devices considering incumbent fixed services and radio astronomy services as well as neighboring countries incumbent services at the borders. </w:t>
      </w:r>
    </w:p>
    <w:p w14:paraId="67CE1435" w14:textId="77777777" w:rsidR="00DD69CB" w:rsidRDefault="00DD69CB" w:rsidP="00EE67BB">
      <w:pPr>
        <w:pStyle w:val="BodyA"/>
        <w:jc w:val="both"/>
        <w:rPr>
          <w:rStyle w:val="None"/>
          <w:sz w:val="24"/>
          <w:szCs w:val="24"/>
        </w:rPr>
      </w:pPr>
    </w:p>
    <w:p w14:paraId="5E76B31A" w14:textId="1D9DC550" w:rsidR="00492D57" w:rsidRDefault="00A07598" w:rsidP="00EE67BB">
      <w:pPr>
        <w:pStyle w:val="BodyA"/>
        <w:jc w:val="both"/>
        <w:rPr>
          <w:rStyle w:val="None"/>
          <w:sz w:val="24"/>
          <w:szCs w:val="24"/>
        </w:rPr>
      </w:pPr>
      <w:r>
        <w:rPr>
          <w:rStyle w:val="None"/>
          <w:sz w:val="24"/>
          <w:szCs w:val="24"/>
        </w:rPr>
        <w:t>Protection</w:t>
      </w:r>
      <w:r w:rsidR="00F62C24">
        <w:rPr>
          <w:rStyle w:val="None"/>
          <w:sz w:val="24"/>
          <w:szCs w:val="24"/>
        </w:rPr>
        <w:t xml:space="preserve"> of non-terrestrial </w:t>
      </w:r>
      <w:r w:rsidR="009E0E96">
        <w:rPr>
          <w:rStyle w:val="None"/>
          <w:sz w:val="24"/>
          <w:szCs w:val="24"/>
        </w:rPr>
        <w:t>s</w:t>
      </w:r>
      <w:r>
        <w:rPr>
          <w:rStyle w:val="None"/>
          <w:sz w:val="24"/>
          <w:szCs w:val="24"/>
        </w:rPr>
        <w:t xml:space="preserve">atellite </w:t>
      </w:r>
      <w:r w:rsidR="00F62C24">
        <w:rPr>
          <w:rStyle w:val="None"/>
          <w:sz w:val="24"/>
          <w:szCs w:val="24"/>
        </w:rPr>
        <w:t>incumbent</w:t>
      </w:r>
      <w:r w:rsidR="00C10F57">
        <w:rPr>
          <w:rStyle w:val="None"/>
          <w:sz w:val="24"/>
          <w:szCs w:val="24"/>
        </w:rPr>
        <w:t xml:space="preserve"> </w:t>
      </w:r>
      <w:r w:rsidR="00DD69CB">
        <w:rPr>
          <w:rStyle w:val="None"/>
          <w:sz w:val="24"/>
          <w:szCs w:val="24"/>
        </w:rPr>
        <w:t>services</w:t>
      </w:r>
      <w:r w:rsidR="00F62C24">
        <w:rPr>
          <w:rStyle w:val="None"/>
          <w:sz w:val="24"/>
          <w:szCs w:val="24"/>
        </w:rPr>
        <w:t xml:space="preserve"> </w:t>
      </w:r>
      <w:r>
        <w:rPr>
          <w:rStyle w:val="None"/>
          <w:sz w:val="24"/>
          <w:szCs w:val="24"/>
        </w:rPr>
        <w:t xml:space="preserve">are being accommodated by </w:t>
      </w:r>
      <w:r w:rsidR="005356CB">
        <w:rPr>
          <w:rStyle w:val="None"/>
          <w:sz w:val="24"/>
          <w:szCs w:val="24"/>
        </w:rPr>
        <w:t xml:space="preserve">putting regulatory </w:t>
      </w:r>
      <w:r w:rsidR="004B339A">
        <w:rPr>
          <w:rStyle w:val="None"/>
          <w:sz w:val="24"/>
          <w:szCs w:val="24"/>
        </w:rPr>
        <w:t>restriction</w:t>
      </w:r>
      <w:r w:rsidR="005356CB">
        <w:rPr>
          <w:rStyle w:val="None"/>
          <w:sz w:val="24"/>
          <w:szCs w:val="24"/>
        </w:rPr>
        <w:t>s</w:t>
      </w:r>
      <w:r w:rsidR="004B339A">
        <w:rPr>
          <w:rStyle w:val="None"/>
          <w:sz w:val="24"/>
          <w:szCs w:val="24"/>
        </w:rPr>
        <w:t xml:space="preserve"> on </w:t>
      </w:r>
      <w:r w:rsidR="00C10F57">
        <w:rPr>
          <w:rStyle w:val="None"/>
          <w:sz w:val="24"/>
          <w:szCs w:val="24"/>
        </w:rPr>
        <w:t xml:space="preserve">the antenna/radiation mask of </w:t>
      </w:r>
      <w:r w:rsidR="004B339A">
        <w:rPr>
          <w:rStyle w:val="None"/>
          <w:sz w:val="24"/>
          <w:szCs w:val="24"/>
        </w:rPr>
        <w:t>outdoor S</w:t>
      </w:r>
      <w:r w:rsidR="00051B7D">
        <w:rPr>
          <w:rStyle w:val="None"/>
          <w:sz w:val="24"/>
          <w:szCs w:val="24"/>
        </w:rPr>
        <w:t>P</w:t>
      </w:r>
      <w:r w:rsidR="00C10F57">
        <w:rPr>
          <w:rStyle w:val="None"/>
          <w:sz w:val="24"/>
          <w:szCs w:val="24"/>
        </w:rPr>
        <w:t xml:space="preserve"> </w:t>
      </w:r>
      <w:r w:rsidR="00567CA5">
        <w:rPr>
          <w:rStyle w:val="None"/>
          <w:sz w:val="24"/>
          <w:szCs w:val="24"/>
        </w:rPr>
        <w:t>access point</w:t>
      </w:r>
      <w:r w:rsidR="00C10F57">
        <w:rPr>
          <w:rStyle w:val="None"/>
          <w:sz w:val="24"/>
          <w:szCs w:val="24"/>
        </w:rPr>
        <w:t>s</w:t>
      </w:r>
      <w:r w:rsidR="005356CB">
        <w:rPr>
          <w:rStyle w:val="None"/>
          <w:sz w:val="24"/>
          <w:szCs w:val="24"/>
        </w:rPr>
        <w:t xml:space="preserve"> to limit the </w:t>
      </w:r>
      <w:r w:rsidR="009E0E96">
        <w:rPr>
          <w:rStyle w:val="None"/>
          <w:sz w:val="24"/>
          <w:szCs w:val="24"/>
        </w:rPr>
        <w:t>interference to s</w:t>
      </w:r>
      <w:r w:rsidR="006406E2">
        <w:rPr>
          <w:rStyle w:val="None"/>
          <w:sz w:val="24"/>
          <w:szCs w:val="24"/>
        </w:rPr>
        <w:t>atellite</w:t>
      </w:r>
      <w:r w:rsidR="00213D9F">
        <w:rPr>
          <w:rStyle w:val="None"/>
          <w:sz w:val="24"/>
          <w:szCs w:val="24"/>
        </w:rPr>
        <w:t xml:space="preserve"> receivers. </w:t>
      </w:r>
      <w:r w:rsidR="009E0E96">
        <w:rPr>
          <w:rStyle w:val="None"/>
          <w:sz w:val="24"/>
          <w:szCs w:val="24"/>
        </w:rPr>
        <w:t xml:space="preserve"> </w:t>
      </w:r>
      <w:r w:rsidR="00DA26DE">
        <w:rPr>
          <w:rStyle w:val="None"/>
          <w:sz w:val="24"/>
          <w:szCs w:val="24"/>
        </w:rPr>
        <w:t>IEEE 802 LMSC would like to mention that</w:t>
      </w:r>
      <w:r w:rsidR="00BC295D">
        <w:rPr>
          <w:rStyle w:val="None"/>
          <w:sz w:val="24"/>
          <w:szCs w:val="24"/>
        </w:rPr>
        <w:t xml:space="preserve">, in order </w:t>
      </w:r>
      <w:r w:rsidR="009D2ACF">
        <w:rPr>
          <w:rStyle w:val="None"/>
          <w:sz w:val="24"/>
          <w:szCs w:val="24"/>
        </w:rPr>
        <w:t xml:space="preserve">to properly implement AFC </w:t>
      </w:r>
      <w:r w:rsidR="009E0E96">
        <w:rPr>
          <w:rStyle w:val="None"/>
          <w:sz w:val="24"/>
          <w:szCs w:val="24"/>
        </w:rPr>
        <w:t>s</w:t>
      </w:r>
      <w:r w:rsidR="009D2ACF">
        <w:rPr>
          <w:rStyle w:val="None"/>
          <w:sz w:val="24"/>
          <w:szCs w:val="24"/>
        </w:rPr>
        <w:t xml:space="preserve">ystem and </w:t>
      </w:r>
      <w:r w:rsidR="00C5798D">
        <w:rPr>
          <w:rStyle w:val="None"/>
          <w:sz w:val="24"/>
          <w:szCs w:val="24"/>
        </w:rPr>
        <w:t>S</w:t>
      </w:r>
      <w:r w:rsidR="009E0E96">
        <w:rPr>
          <w:rStyle w:val="None"/>
          <w:sz w:val="24"/>
          <w:szCs w:val="24"/>
        </w:rPr>
        <w:t>P</w:t>
      </w:r>
      <w:r w:rsidR="009D2ACF">
        <w:rPr>
          <w:rStyle w:val="None"/>
          <w:sz w:val="24"/>
          <w:szCs w:val="24"/>
        </w:rPr>
        <w:t xml:space="preserve"> mode</w:t>
      </w:r>
      <w:r w:rsidR="00C5798D">
        <w:rPr>
          <w:rStyle w:val="None"/>
          <w:sz w:val="24"/>
          <w:szCs w:val="24"/>
        </w:rPr>
        <w:t xml:space="preserve"> </w:t>
      </w:r>
      <w:r w:rsidR="00BC295D">
        <w:rPr>
          <w:rStyle w:val="None"/>
          <w:sz w:val="24"/>
          <w:szCs w:val="24"/>
        </w:rPr>
        <w:t>to protect the incumbent services</w:t>
      </w:r>
      <w:r w:rsidR="009D2ACF">
        <w:rPr>
          <w:rStyle w:val="None"/>
          <w:sz w:val="24"/>
          <w:szCs w:val="24"/>
        </w:rPr>
        <w:t xml:space="preserve">, </w:t>
      </w:r>
      <w:r w:rsidR="00ED32A3">
        <w:rPr>
          <w:rStyle w:val="None"/>
          <w:sz w:val="24"/>
          <w:szCs w:val="24"/>
        </w:rPr>
        <w:t>i</w:t>
      </w:r>
      <w:r w:rsidR="00043A31">
        <w:rPr>
          <w:rStyle w:val="None"/>
          <w:sz w:val="24"/>
          <w:szCs w:val="24"/>
        </w:rPr>
        <w:t xml:space="preserve">ncumbent </w:t>
      </w:r>
      <w:r w:rsidR="00817FE5">
        <w:rPr>
          <w:rStyle w:val="None"/>
          <w:sz w:val="24"/>
          <w:szCs w:val="24"/>
        </w:rPr>
        <w:t xml:space="preserve">system </w:t>
      </w:r>
      <w:r w:rsidR="00ED32A3">
        <w:rPr>
          <w:rStyle w:val="None"/>
          <w:sz w:val="24"/>
          <w:szCs w:val="24"/>
        </w:rPr>
        <w:t>d</w:t>
      </w:r>
      <w:r w:rsidR="00043A31">
        <w:rPr>
          <w:rStyle w:val="None"/>
          <w:sz w:val="24"/>
          <w:szCs w:val="24"/>
        </w:rPr>
        <w:t xml:space="preserve">atabase </w:t>
      </w:r>
      <w:r w:rsidR="009E0E96">
        <w:rPr>
          <w:rStyle w:val="None"/>
          <w:sz w:val="24"/>
          <w:szCs w:val="24"/>
        </w:rPr>
        <w:t>of fixed services</w:t>
      </w:r>
      <w:r w:rsidR="00817FE5">
        <w:rPr>
          <w:rStyle w:val="None"/>
          <w:sz w:val="24"/>
          <w:szCs w:val="24"/>
        </w:rPr>
        <w:t xml:space="preserve"> </w:t>
      </w:r>
      <w:r w:rsidR="00AA7878">
        <w:rPr>
          <w:rStyle w:val="None"/>
          <w:sz w:val="24"/>
          <w:szCs w:val="24"/>
        </w:rPr>
        <w:t>and some</w:t>
      </w:r>
      <w:r w:rsidR="00ED32A3">
        <w:rPr>
          <w:rStyle w:val="None"/>
          <w:sz w:val="24"/>
          <w:szCs w:val="24"/>
        </w:rPr>
        <w:t xml:space="preserve"> other auxiliary databases </w:t>
      </w:r>
      <w:r w:rsidR="0092437C">
        <w:rPr>
          <w:rStyle w:val="None"/>
          <w:sz w:val="24"/>
          <w:szCs w:val="24"/>
        </w:rPr>
        <w:t>need to be available</w:t>
      </w:r>
      <w:r w:rsidR="009D2ACF">
        <w:rPr>
          <w:rStyle w:val="FootnoteReference"/>
          <w:sz w:val="24"/>
          <w:szCs w:val="24"/>
        </w:rPr>
        <w:footnoteReference w:id="6"/>
      </w:r>
      <w:r w:rsidR="0092437C">
        <w:rPr>
          <w:rStyle w:val="None"/>
          <w:sz w:val="24"/>
          <w:szCs w:val="24"/>
        </w:rPr>
        <w:t>.</w:t>
      </w:r>
    </w:p>
    <w:p w14:paraId="312896F3" w14:textId="41D5D4C4" w:rsidR="00492D57" w:rsidRDefault="00492D57" w:rsidP="00EE67BB">
      <w:pPr>
        <w:pStyle w:val="BodyA"/>
        <w:jc w:val="both"/>
        <w:rPr>
          <w:rStyle w:val="None"/>
          <w:sz w:val="24"/>
          <w:szCs w:val="24"/>
        </w:rPr>
      </w:pPr>
    </w:p>
    <w:p w14:paraId="1625557D" w14:textId="79FEE365" w:rsidR="001544EA" w:rsidRDefault="009E0E96" w:rsidP="007C1BD0">
      <w:pPr>
        <w:jc w:val="both"/>
        <w:rPr>
          <w:rStyle w:val="None"/>
          <w:sz w:val="24"/>
          <w:szCs w:val="24"/>
        </w:rPr>
      </w:pPr>
      <w:r>
        <w:rPr>
          <w:rStyle w:val="None"/>
          <w:sz w:val="24"/>
          <w:szCs w:val="24"/>
        </w:rPr>
        <w:t>AFC s</w:t>
      </w:r>
      <w:r w:rsidR="00F04726">
        <w:rPr>
          <w:rStyle w:val="None"/>
          <w:sz w:val="24"/>
          <w:szCs w:val="24"/>
        </w:rPr>
        <w:t>ystem</w:t>
      </w:r>
      <w:r w:rsidR="00CD566C">
        <w:rPr>
          <w:rStyle w:val="None"/>
          <w:sz w:val="24"/>
          <w:szCs w:val="24"/>
        </w:rPr>
        <w:t>s</w:t>
      </w:r>
      <w:r w:rsidR="00F04726">
        <w:rPr>
          <w:rStyle w:val="None"/>
          <w:sz w:val="24"/>
          <w:szCs w:val="24"/>
        </w:rPr>
        <w:t xml:space="preserve"> are designed to </w:t>
      </w:r>
      <w:r w:rsidR="007D3FDB">
        <w:rPr>
          <w:rStyle w:val="None"/>
          <w:sz w:val="24"/>
          <w:szCs w:val="24"/>
        </w:rPr>
        <w:t xml:space="preserve">operate </w:t>
      </w:r>
      <w:r w:rsidR="00D06E17">
        <w:rPr>
          <w:rStyle w:val="None"/>
          <w:sz w:val="24"/>
          <w:szCs w:val="24"/>
        </w:rPr>
        <w:t>in</w:t>
      </w:r>
      <w:r w:rsidR="007D3FDB">
        <w:rPr>
          <w:rStyle w:val="None"/>
          <w:sz w:val="24"/>
          <w:szCs w:val="24"/>
        </w:rPr>
        <w:t xml:space="preserve"> an automated </w:t>
      </w:r>
      <w:r w:rsidR="0093154A">
        <w:rPr>
          <w:rStyle w:val="None"/>
          <w:sz w:val="24"/>
          <w:szCs w:val="24"/>
        </w:rPr>
        <w:t xml:space="preserve">way both for frequency coordination </w:t>
      </w:r>
      <w:r w:rsidR="00CD566C">
        <w:rPr>
          <w:rStyle w:val="None"/>
          <w:sz w:val="24"/>
          <w:szCs w:val="24"/>
        </w:rPr>
        <w:t>and</w:t>
      </w:r>
      <w:r w:rsidR="0093154A">
        <w:rPr>
          <w:rStyle w:val="None"/>
          <w:sz w:val="24"/>
          <w:szCs w:val="24"/>
        </w:rPr>
        <w:t xml:space="preserve"> </w:t>
      </w:r>
      <w:r w:rsidR="005F19EB">
        <w:rPr>
          <w:rStyle w:val="None"/>
          <w:sz w:val="24"/>
          <w:szCs w:val="24"/>
        </w:rPr>
        <w:t xml:space="preserve">the frequent </w:t>
      </w:r>
      <w:r w:rsidR="008C0D97">
        <w:rPr>
          <w:rStyle w:val="None"/>
          <w:sz w:val="24"/>
          <w:szCs w:val="24"/>
        </w:rPr>
        <w:t xml:space="preserve">update </w:t>
      </w:r>
      <w:r w:rsidR="005F19EB">
        <w:rPr>
          <w:rStyle w:val="None"/>
          <w:sz w:val="24"/>
          <w:szCs w:val="24"/>
        </w:rPr>
        <w:t xml:space="preserve">of </w:t>
      </w:r>
      <w:r w:rsidR="00E41C13">
        <w:rPr>
          <w:rStyle w:val="None"/>
          <w:sz w:val="24"/>
          <w:szCs w:val="24"/>
        </w:rPr>
        <w:t xml:space="preserve">available frequencies and permissible </w:t>
      </w:r>
      <w:r>
        <w:rPr>
          <w:rStyle w:val="None"/>
          <w:sz w:val="24"/>
          <w:szCs w:val="24"/>
        </w:rPr>
        <w:t>transmit</w:t>
      </w:r>
      <w:r w:rsidR="008C0D97">
        <w:rPr>
          <w:rStyle w:val="None"/>
          <w:sz w:val="24"/>
          <w:szCs w:val="24"/>
        </w:rPr>
        <w:t xml:space="preserve"> </w:t>
      </w:r>
      <w:r w:rsidR="00E41C13">
        <w:rPr>
          <w:rStyle w:val="None"/>
          <w:sz w:val="24"/>
          <w:szCs w:val="24"/>
        </w:rPr>
        <w:t>p</w:t>
      </w:r>
      <w:r w:rsidR="008C0D97">
        <w:rPr>
          <w:rStyle w:val="None"/>
          <w:sz w:val="24"/>
          <w:szCs w:val="24"/>
        </w:rPr>
        <w:t xml:space="preserve">ower </w:t>
      </w:r>
      <w:r w:rsidR="00E41C13">
        <w:rPr>
          <w:rStyle w:val="None"/>
          <w:sz w:val="24"/>
          <w:szCs w:val="24"/>
        </w:rPr>
        <w:t xml:space="preserve">level </w:t>
      </w:r>
      <w:r w:rsidR="005F19EB">
        <w:rPr>
          <w:rStyle w:val="None"/>
          <w:sz w:val="24"/>
          <w:szCs w:val="24"/>
        </w:rPr>
        <w:t>to</w:t>
      </w:r>
      <w:r w:rsidR="009133FE">
        <w:rPr>
          <w:rStyle w:val="None"/>
          <w:sz w:val="24"/>
          <w:szCs w:val="24"/>
        </w:rPr>
        <w:t xml:space="preserve"> incumbent</w:t>
      </w:r>
      <w:r w:rsidR="00082526">
        <w:rPr>
          <w:rStyle w:val="None"/>
          <w:sz w:val="24"/>
          <w:szCs w:val="24"/>
        </w:rPr>
        <w:t xml:space="preserve"> system</w:t>
      </w:r>
      <w:r w:rsidR="009133FE">
        <w:rPr>
          <w:rStyle w:val="None"/>
          <w:sz w:val="24"/>
          <w:szCs w:val="24"/>
        </w:rPr>
        <w:t xml:space="preserve"> database. </w:t>
      </w:r>
      <w:r>
        <w:rPr>
          <w:rStyle w:val="None"/>
          <w:sz w:val="24"/>
          <w:szCs w:val="24"/>
        </w:rPr>
        <w:t xml:space="preserve"> </w:t>
      </w:r>
      <w:r w:rsidR="009133FE">
        <w:rPr>
          <w:rStyle w:val="None"/>
          <w:sz w:val="24"/>
          <w:szCs w:val="24"/>
        </w:rPr>
        <w:t>This means that</w:t>
      </w:r>
      <w:r w:rsidR="00523D71">
        <w:rPr>
          <w:rStyle w:val="None"/>
          <w:sz w:val="24"/>
          <w:szCs w:val="24"/>
        </w:rPr>
        <w:t xml:space="preserve"> </w:t>
      </w:r>
      <w:r w:rsidR="00D94461">
        <w:rPr>
          <w:rStyle w:val="None"/>
          <w:sz w:val="24"/>
          <w:szCs w:val="24"/>
        </w:rPr>
        <w:t xml:space="preserve">not only </w:t>
      </w:r>
      <w:r w:rsidR="00523D71">
        <w:rPr>
          <w:rStyle w:val="None"/>
          <w:sz w:val="24"/>
          <w:szCs w:val="24"/>
        </w:rPr>
        <w:t xml:space="preserve">harmful </w:t>
      </w:r>
      <w:r w:rsidR="00F70B66">
        <w:rPr>
          <w:rStyle w:val="None"/>
          <w:sz w:val="24"/>
          <w:szCs w:val="24"/>
        </w:rPr>
        <w:t>interference to fixed services</w:t>
      </w:r>
      <w:r w:rsidR="007B297D">
        <w:rPr>
          <w:rStyle w:val="None"/>
          <w:sz w:val="24"/>
          <w:szCs w:val="24"/>
        </w:rPr>
        <w:t xml:space="preserve"> </w:t>
      </w:r>
      <w:r w:rsidR="0087313B">
        <w:rPr>
          <w:rStyle w:val="None"/>
          <w:sz w:val="24"/>
          <w:szCs w:val="24"/>
        </w:rPr>
        <w:t>can be protected by AFC systems,</w:t>
      </w:r>
      <w:r w:rsidR="00F70B66">
        <w:rPr>
          <w:rStyle w:val="None"/>
          <w:sz w:val="24"/>
          <w:szCs w:val="24"/>
        </w:rPr>
        <w:t xml:space="preserve"> </w:t>
      </w:r>
      <w:r w:rsidR="0087313B">
        <w:rPr>
          <w:rStyle w:val="None"/>
          <w:sz w:val="24"/>
          <w:szCs w:val="24"/>
        </w:rPr>
        <w:t xml:space="preserve">any </w:t>
      </w:r>
      <w:r w:rsidR="00F70B66">
        <w:rPr>
          <w:rStyle w:val="None"/>
          <w:sz w:val="24"/>
          <w:szCs w:val="24"/>
        </w:rPr>
        <w:t xml:space="preserve">expansion of such incumbent services over time </w:t>
      </w:r>
      <w:r w:rsidR="0087313B">
        <w:rPr>
          <w:rStyle w:val="None"/>
          <w:sz w:val="24"/>
          <w:szCs w:val="24"/>
        </w:rPr>
        <w:t xml:space="preserve">can be achieved </w:t>
      </w:r>
      <w:r w:rsidR="00F70B66">
        <w:rPr>
          <w:rStyle w:val="None"/>
          <w:sz w:val="24"/>
          <w:szCs w:val="24"/>
        </w:rPr>
        <w:t xml:space="preserve">without a need to redesign the AFC </w:t>
      </w:r>
      <w:r w:rsidR="0087313B">
        <w:rPr>
          <w:rStyle w:val="None"/>
          <w:sz w:val="24"/>
          <w:szCs w:val="24"/>
        </w:rPr>
        <w:t>s</w:t>
      </w:r>
      <w:r w:rsidR="00F70B66">
        <w:rPr>
          <w:rStyle w:val="None"/>
          <w:sz w:val="24"/>
          <w:szCs w:val="24"/>
        </w:rPr>
        <w:t>ystem</w:t>
      </w:r>
      <w:r w:rsidR="0087313B">
        <w:rPr>
          <w:rStyle w:val="None"/>
          <w:sz w:val="24"/>
          <w:szCs w:val="24"/>
        </w:rPr>
        <w:t>s</w:t>
      </w:r>
      <w:r w:rsidR="00F70B66">
        <w:rPr>
          <w:rStyle w:val="None"/>
          <w:sz w:val="24"/>
          <w:szCs w:val="24"/>
        </w:rPr>
        <w:t>.</w:t>
      </w:r>
    </w:p>
    <w:p w14:paraId="45003520" w14:textId="77777777" w:rsidR="001544EA" w:rsidRDefault="001544EA" w:rsidP="007C1BD0">
      <w:pPr>
        <w:jc w:val="both"/>
        <w:rPr>
          <w:rStyle w:val="None"/>
          <w:sz w:val="24"/>
          <w:szCs w:val="24"/>
        </w:rPr>
      </w:pPr>
    </w:p>
    <w:p w14:paraId="50D07F38" w14:textId="1578ACB5" w:rsidR="00525190" w:rsidRDefault="0064675D" w:rsidP="007C1BD0">
      <w:pPr>
        <w:jc w:val="both"/>
        <w:rPr>
          <w:b/>
          <w:sz w:val="24"/>
          <w:szCs w:val="24"/>
        </w:rPr>
      </w:pPr>
      <w:r>
        <w:rPr>
          <w:b/>
          <w:sz w:val="24"/>
          <w:szCs w:val="24"/>
        </w:rPr>
        <w:t xml:space="preserve">Additional </w:t>
      </w:r>
      <w:r w:rsidR="009E0E96">
        <w:rPr>
          <w:b/>
          <w:sz w:val="24"/>
          <w:szCs w:val="24"/>
        </w:rPr>
        <w:t>c</w:t>
      </w:r>
      <w:r>
        <w:rPr>
          <w:b/>
          <w:sz w:val="24"/>
          <w:szCs w:val="24"/>
        </w:rPr>
        <w:t>omment</w:t>
      </w:r>
    </w:p>
    <w:p w14:paraId="5E267057" w14:textId="12DA0754" w:rsidR="00722CFD" w:rsidRDefault="000038BC" w:rsidP="007C1BD0">
      <w:pPr>
        <w:jc w:val="both"/>
        <w:rPr>
          <w:b/>
          <w:sz w:val="24"/>
          <w:szCs w:val="24"/>
        </w:rPr>
      </w:pPr>
      <w:r>
        <w:rPr>
          <w:rStyle w:val="None"/>
          <w:sz w:val="24"/>
          <w:szCs w:val="24"/>
        </w:rPr>
        <w:t xml:space="preserve">As we understand </w:t>
      </w:r>
      <w:r w:rsidR="009E0E96">
        <w:rPr>
          <w:rStyle w:val="None"/>
          <w:sz w:val="24"/>
          <w:szCs w:val="24"/>
        </w:rPr>
        <w:t>i</w:t>
      </w:r>
      <w:r>
        <w:rPr>
          <w:rStyle w:val="None"/>
          <w:sz w:val="24"/>
          <w:szCs w:val="24"/>
        </w:rPr>
        <w:t xml:space="preserve">ndoor SP mode could be an important feature in Saudi Arabia because of extensive indoor </w:t>
      </w:r>
      <w:r w:rsidR="00BB5AC4">
        <w:rPr>
          <w:rStyle w:val="None"/>
          <w:sz w:val="24"/>
          <w:szCs w:val="24"/>
        </w:rPr>
        <w:t>W</w:t>
      </w:r>
      <w:r w:rsidR="008E1BC9">
        <w:rPr>
          <w:rStyle w:val="None"/>
          <w:sz w:val="24"/>
          <w:szCs w:val="24"/>
        </w:rPr>
        <w:t>L</w:t>
      </w:r>
      <w:r w:rsidR="00C04CBD">
        <w:rPr>
          <w:rStyle w:val="None"/>
          <w:sz w:val="24"/>
          <w:szCs w:val="24"/>
        </w:rPr>
        <w:t>AN</w:t>
      </w:r>
      <w:r w:rsidR="00BB5AC4">
        <w:rPr>
          <w:rStyle w:val="None"/>
          <w:sz w:val="24"/>
          <w:szCs w:val="24"/>
        </w:rPr>
        <w:t xml:space="preserve"> </w:t>
      </w:r>
      <w:r>
        <w:rPr>
          <w:rStyle w:val="None"/>
          <w:sz w:val="24"/>
          <w:szCs w:val="24"/>
        </w:rPr>
        <w:t xml:space="preserve">facilities, </w:t>
      </w:r>
      <w:r w:rsidR="00722CFD">
        <w:rPr>
          <w:rStyle w:val="None"/>
          <w:sz w:val="24"/>
          <w:szCs w:val="24"/>
        </w:rPr>
        <w:t xml:space="preserve">IEEE 802 LMSC recommends to CTS to </w:t>
      </w:r>
      <w:r w:rsidR="00E32E69" w:rsidRPr="001544EA">
        <w:rPr>
          <w:rStyle w:val="None"/>
          <w:sz w:val="24"/>
          <w:szCs w:val="24"/>
        </w:rPr>
        <w:t>include</w:t>
      </w:r>
      <w:r w:rsidR="00BB5AC4">
        <w:rPr>
          <w:rStyle w:val="None"/>
          <w:sz w:val="24"/>
          <w:szCs w:val="24"/>
        </w:rPr>
        <w:t xml:space="preserve"> i</w:t>
      </w:r>
      <w:r w:rsidR="00722CFD">
        <w:rPr>
          <w:rStyle w:val="None"/>
          <w:sz w:val="24"/>
          <w:szCs w:val="24"/>
        </w:rPr>
        <w:t xml:space="preserve">ndoor SP mode for its proceedings for AFC </w:t>
      </w:r>
      <w:r w:rsidR="005C6094">
        <w:rPr>
          <w:rStyle w:val="None"/>
          <w:sz w:val="24"/>
          <w:szCs w:val="24"/>
        </w:rPr>
        <w:t>s</w:t>
      </w:r>
      <w:r w:rsidR="00722CFD">
        <w:rPr>
          <w:rStyle w:val="None"/>
          <w:sz w:val="24"/>
          <w:szCs w:val="24"/>
        </w:rPr>
        <w:t>ystems and S</w:t>
      </w:r>
      <w:r>
        <w:rPr>
          <w:rStyle w:val="None"/>
          <w:sz w:val="24"/>
          <w:szCs w:val="24"/>
        </w:rPr>
        <w:t>P</w:t>
      </w:r>
      <w:r w:rsidR="00722CFD">
        <w:rPr>
          <w:rStyle w:val="None"/>
          <w:sz w:val="24"/>
          <w:szCs w:val="24"/>
        </w:rPr>
        <w:t xml:space="preserve"> regulation. </w:t>
      </w:r>
      <w:r w:rsidR="005C6094">
        <w:rPr>
          <w:rStyle w:val="None"/>
          <w:sz w:val="24"/>
          <w:szCs w:val="24"/>
        </w:rPr>
        <w:t xml:space="preserve"> </w:t>
      </w:r>
      <w:r w:rsidR="00722CFD">
        <w:rPr>
          <w:rStyle w:val="None"/>
          <w:sz w:val="24"/>
          <w:szCs w:val="24"/>
        </w:rPr>
        <w:t xml:space="preserve">AFC </w:t>
      </w:r>
      <w:r w:rsidR="005C6094">
        <w:rPr>
          <w:rStyle w:val="None"/>
          <w:sz w:val="24"/>
          <w:szCs w:val="24"/>
        </w:rPr>
        <w:t>s</w:t>
      </w:r>
      <w:r w:rsidR="00722CFD">
        <w:rPr>
          <w:rStyle w:val="None"/>
          <w:sz w:val="24"/>
          <w:szCs w:val="24"/>
        </w:rPr>
        <w:t xml:space="preserve">ystems </w:t>
      </w:r>
      <w:r w:rsidR="00585574">
        <w:rPr>
          <w:rStyle w:val="None"/>
          <w:sz w:val="24"/>
          <w:szCs w:val="24"/>
        </w:rPr>
        <w:t>are design</w:t>
      </w:r>
      <w:r w:rsidR="00091B10">
        <w:rPr>
          <w:rStyle w:val="None"/>
          <w:sz w:val="24"/>
          <w:szCs w:val="24"/>
        </w:rPr>
        <w:t>ed</w:t>
      </w:r>
      <w:r w:rsidR="00585574">
        <w:rPr>
          <w:rStyle w:val="None"/>
          <w:sz w:val="24"/>
          <w:szCs w:val="24"/>
        </w:rPr>
        <w:t xml:space="preserve"> not only </w:t>
      </w:r>
      <w:r w:rsidR="00585574">
        <w:rPr>
          <w:rStyle w:val="None"/>
          <w:sz w:val="24"/>
          <w:szCs w:val="24"/>
        </w:rPr>
        <w:lastRenderedPageBreak/>
        <w:t xml:space="preserve">to enable the </w:t>
      </w:r>
      <w:r w:rsidR="005C6094">
        <w:rPr>
          <w:rStyle w:val="None"/>
          <w:sz w:val="24"/>
          <w:szCs w:val="24"/>
        </w:rPr>
        <w:t xml:space="preserve">SP mode </w:t>
      </w:r>
      <w:r w:rsidR="001A60E4">
        <w:rPr>
          <w:rStyle w:val="None"/>
          <w:sz w:val="24"/>
          <w:szCs w:val="24"/>
        </w:rPr>
        <w:t xml:space="preserve">for outdoor </w:t>
      </w:r>
      <w:r w:rsidR="00995C52">
        <w:rPr>
          <w:rStyle w:val="None"/>
          <w:sz w:val="24"/>
          <w:szCs w:val="24"/>
        </w:rPr>
        <w:t xml:space="preserve">operation </w:t>
      </w:r>
      <w:r w:rsidR="001A60E4">
        <w:rPr>
          <w:rStyle w:val="None"/>
          <w:sz w:val="24"/>
          <w:szCs w:val="24"/>
        </w:rPr>
        <w:t>but also to improve the performance of WLAN indoo</w:t>
      </w:r>
      <w:r w:rsidR="00797609">
        <w:rPr>
          <w:rStyle w:val="None"/>
          <w:sz w:val="24"/>
          <w:szCs w:val="24"/>
        </w:rPr>
        <w:t>r</w:t>
      </w:r>
      <w:r w:rsidR="00DE788E">
        <w:rPr>
          <w:rStyle w:val="None"/>
          <w:sz w:val="24"/>
          <w:szCs w:val="24"/>
        </w:rPr>
        <w:t xml:space="preserve">. Considering that, </w:t>
      </w:r>
      <w:r w:rsidR="00262E7C">
        <w:rPr>
          <w:rStyle w:val="None"/>
          <w:sz w:val="24"/>
          <w:szCs w:val="24"/>
        </w:rPr>
        <w:t>IEEE 802 LMSC recommends</w:t>
      </w:r>
      <w:r w:rsidR="00DE788E">
        <w:rPr>
          <w:rStyle w:val="None"/>
          <w:sz w:val="24"/>
          <w:szCs w:val="24"/>
        </w:rPr>
        <w:t xml:space="preserve"> CTS</w:t>
      </w:r>
      <w:r w:rsidR="00500747">
        <w:rPr>
          <w:rStyle w:val="None"/>
          <w:sz w:val="24"/>
          <w:szCs w:val="24"/>
        </w:rPr>
        <w:t xml:space="preserve"> to </w:t>
      </w:r>
      <w:r w:rsidR="00EE7876">
        <w:rPr>
          <w:rStyle w:val="None"/>
          <w:sz w:val="24"/>
          <w:szCs w:val="24"/>
        </w:rPr>
        <w:t xml:space="preserve">consider authorizing </w:t>
      </w:r>
      <w:r w:rsidR="00C77A63">
        <w:rPr>
          <w:rStyle w:val="None"/>
          <w:sz w:val="24"/>
          <w:szCs w:val="24"/>
        </w:rPr>
        <w:t>i</w:t>
      </w:r>
      <w:r w:rsidR="00EE7876">
        <w:rPr>
          <w:rStyle w:val="None"/>
          <w:sz w:val="24"/>
          <w:szCs w:val="24"/>
        </w:rPr>
        <w:t xml:space="preserve">ndoor SP </w:t>
      </w:r>
      <w:r w:rsidR="00C77A63">
        <w:rPr>
          <w:rStyle w:val="None"/>
          <w:sz w:val="24"/>
          <w:szCs w:val="24"/>
        </w:rPr>
        <w:t xml:space="preserve">mode </w:t>
      </w:r>
      <w:r w:rsidR="00EE7876">
        <w:rPr>
          <w:rStyle w:val="None"/>
          <w:sz w:val="24"/>
          <w:szCs w:val="24"/>
        </w:rPr>
        <w:t xml:space="preserve">and </w:t>
      </w:r>
      <w:r w:rsidR="006C2769">
        <w:rPr>
          <w:rStyle w:val="None"/>
          <w:sz w:val="24"/>
          <w:szCs w:val="24"/>
        </w:rPr>
        <w:t xml:space="preserve">allowing AFC </w:t>
      </w:r>
      <w:r w:rsidR="003801F1">
        <w:rPr>
          <w:rStyle w:val="None"/>
          <w:sz w:val="24"/>
          <w:szCs w:val="24"/>
        </w:rPr>
        <w:t>s</w:t>
      </w:r>
      <w:r w:rsidR="006C2769">
        <w:rPr>
          <w:rStyle w:val="None"/>
          <w:sz w:val="24"/>
          <w:szCs w:val="24"/>
        </w:rPr>
        <w:t xml:space="preserve">ystems to </w:t>
      </w:r>
      <w:r w:rsidR="00592B0D">
        <w:rPr>
          <w:rStyle w:val="None"/>
          <w:sz w:val="24"/>
          <w:szCs w:val="24"/>
        </w:rPr>
        <w:t xml:space="preserve">incorporate </w:t>
      </w:r>
      <w:r w:rsidR="00EE7876">
        <w:rPr>
          <w:rStyle w:val="None"/>
          <w:sz w:val="24"/>
          <w:szCs w:val="24"/>
        </w:rPr>
        <w:t>associate</w:t>
      </w:r>
      <w:r w:rsidR="002B282A">
        <w:rPr>
          <w:rStyle w:val="None"/>
          <w:sz w:val="24"/>
          <w:szCs w:val="24"/>
        </w:rPr>
        <w:t>d</w:t>
      </w:r>
      <w:r w:rsidR="00EE7876">
        <w:rPr>
          <w:rStyle w:val="None"/>
          <w:sz w:val="24"/>
          <w:szCs w:val="24"/>
        </w:rPr>
        <w:t xml:space="preserve"> Building Entry Loss (BEL) </w:t>
      </w:r>
      <w:r w:rsidR="002B282A">
        <w:rPr>
          <w:rStyle w:val="None"/>
          <w:sz w:val="24"/>
          <w:szCs w:val="24"/>
        </w:rPr>
        <w:t>in AFC</w:t>
      </w:r>
      <w:r w:rsidR="00592B0D">
        <w:rPr>
          <w:rStyle w:val="None"/>
          <w:sz w:val="24"/>
          <w:szCs w:val="24"/>
        </w:rPr>
        <w:t xml:space="preserve"> </w:t>
      </w:r>
      <w:r w:rsidR="001E367A">
        <w:rPr>
          <w:rStyle w:val="None"/>
          <w:sz w:val="24"/>
          <w:szCs w:val="24"/>
        </w:rPr>
        <w:t>s</w:t>
      </w:r>
      <w:r w:rsidR="00592B0D">
        <w:rPr>
          <w:rStyle w:val="None"/>
          <w:sz w:val="24"/>
          <w:szCs w:val="24"/>
        </w:rPr>
        <w:t>ystem</w:t>
      </w:r>
      <w:r w:rsidR="001E367A">
        <w:rPr>
          <w:rStyle w:val="None"/>
          <w:sz w:val="24"/>
          <w:szCs w:val="24"/>
        </w:rPr>
        <w:t>’s</w:t>
      </w:r>
      <w:r w:rsidR="00592B0D">
        <w:rPr>
          <w:rStyle w:val="None"/>
          <w:sz w:val="24"/>
          <w:szCs w:val="24"/>
        </w:rPr>
        <w:t xml:space="preserve"> calculation. </w:t>
      </w:r>
      <w:r w:rsidR="00C77A63">
        <w:rPr>
          <w:rStyle w:val="None"/>
          <w:sz w:val="24"/>
          <w:szCs w:val="24"/>
        </w:rPr>
        <w:t xml:space="preserve"> As an example, </w:t>
      </w:r>
      <w:r w:rsidR="00592B0D">
        <w:rPr>
          <w:rStyle w:val="None"/>
          <w:sz w:val="24"/>
          <w:szCs w:val="24"/>
        </w:rPr>
        <w:t xml:space="preserve">FCC </w:t>
      </w:r>
      <w:r w:rsidR="00522F18">
        <w:rPr>
          <w:rStyle w:val="None"/>
          <w:sz w:val="24"/>
          <w:szCs w:val="24"/>
        </w:rPr>
        <w:t>already accept</w:t>
      </w:r>
      <w:r w:rsidR="009E4780">
        <w:rPr>
          <w:rStyle w:val="None"/>
          <w:sz w:val="24"/>
          <w:szCs w:val="24"/>
        </w:rPr>
        <w:t>s</w:t>
      </w:r>
      <w:r w:rsidR="00522F18">
        <w:rPr>
          <w:rStyle w:val="None"/>
          <w:sz w:val="24"/>
          <w:szCs w:val="24"/>
        </w:rPr>
        <w:t xml:space="preserve"> request for </w:t>
      </w:r>
      <w:r w:rsidR="009E4780">
        <w:rPr>
          <w:rStyle w:val="None"/>
          <w:sz w:val="24"/>
          <w:szCs w:val="24"/>
        </w:rPr>
        <w:t xml:space="preserve">inclusion of </w:t>
      </w:r>
      <w:r w:rsidR="00522F18">
        <w:rPr>
          <w:rStyle w:val="None"/>
          <w:sz w:val="24"/>
          <w:szCs w:val="24"/>
        </w:rPr>
        <w:t>BE</w:t>
      </w:r>
      <w:r w:rsidR="009E4780">
        <w:rPr>
          <w:rStyle w:val="None"/>
          <w:sz w:val="24"/>
          <w:szCs w:val="24"/>
        </w:rPr>
        <w:t>L</w:t>
      </w:r>
      <w:r w:rsidR="00834288">
        <w:rPr>
          <w:rStyle w:val="None"/>
          <w:sz w:val="24"/>
          <w:szCs w:val="24"/>
        </w:rPr>
        <w:t xml:space="preserve"> through </w:t>
      </w:r>
      <w:r w:rsidR="001E00AB">
        <w:rPr>
          <w:rStyle w:val="None"/>
          <w:sz w:val="24"/>
          <w:szCs w:val="24"/>
        </w:rPr>
        <w:t xml:space="preserve">various </w:t>
      </w:r>
      <w:r w:rsidR="00834288" w:rsidRPr="00834288">
        <w:rPr>
          <w:sz w:val="24"/>
          <w:szCs w:val="24"/>
        </w:rPr>
        <w:t>waiver requests</w:t>
      </w:r>
      <w:r w:rsidR="0089357A">
        <w:rPr>
          <w:rStyle w:val="FootnoteReference"/>
          <w:sz w:val="24"/>
          <w:szCs w:val="24"/>
        </w:rPr>
        <w:footnoteReference w:id="7"/>
      </w:r>
      <w:r w:rsidR="00834288">
        <w:rPr>
          <w:sz w:val="24"/>
          <w:szCs w:val="24"/>
        </w:rPr>
        <w:t xml:space="preserve">. </w:t>
      </w:r>
    </w:p>
    <w:p w14:paraId="33FA36DA" w14:textId="77777777" w:rsidR="00722CFD" w:rsidRDefault="00722CFD" w:rsidP="007C1BD0">
      <w:pPr>
        <w:jc w:val="both"/>
        <w:rPr>
          <w:b/>
          <w:sz w:val="24"/>
          <w:szCs w:val="24"/>
        </w:rPr>
      </w:pPr>
    </w:p>
    <w:p w14:paraId="66280FCB" w14:textId="28D950B7" w:rsidR="00525190" w:rsidRDefault="00525190" w:rsidP="007C1BD0">
      <w:pPr>
        <w:jc w:val="both"/>
        <w:rPr>
          <w:b/>
          <w:sz w:val="24"/>
          <w:szCs w:val="24"/>
        </w:rPr>
      </w:pPr>
      <w:r>
        <w:rPr>
          <w:b/>
          <w:sz w:val="24"/>
          <w:szCs w:val="24"/>
        </w:rPr>
        <w:t xml:space="preserve">Question 83:  </w:t>
      </w:r>
      <w:r w:rsidRPr="00525190">
        <w:rPr>
          <w:b/>
          <w:sz w:val="24"/>
          <w:szCs w:val="24"/>
        </w:rPr>
        <w:tab/>
        <w:t>What frequency bands above 100 GHz do stakeholders believe are most important to consider for availability</w:t>
      </w:r>
      <w:r>
        <w:rPr>
          <w:b/>
          <w:sz w:val="24"/>
          <w:szCs w:val="24"/>
        </w:rPr>
        <w:t>?</w:t>
      </w:r>
    </w:p>
    <w:p w14:paraId="04775DA0" w14:textId="77777777" w:rsidR="00525190" w:rsidRDefault="00525190" w:rsidP="008817AC">
      <w:pPr>
        <w:jc w:val="both"/>
        <w:rPr>
          <w:b/>
          <w:sz w:val="24"/>
          <w:szCs w:val="24"/>
        </w:rPr>
      </w:pPr>
    </w:p>
    <w:p w14:paraId="6351303E" w14:textId="2C7784D4" w:rsidR="00D202A0" w:rsidRPr="002C1E14" w:rsidRDefault="00D202A0" w:rsidP="008817AC">
      <w:pPr>
        <w:jc w:val="both"/>
        <w:rPr>
          <w:sz w:val="24"/>
          <w:szCs w:val="24"/>
          <w:lang w:eastAsia="ja-JP"/>
        </w:rPr>
      </w:pPr>
      <w:r w:rsidRPr="002C1E14">
        <w:rPr>
          <w:sz w:val="24"/>
          <w:szCs w:val="24"/>
          <w:lang w:eastAsia="ja-JP"/>
        </w:rPr>
        <w:t xml:space="preserve">IEEE 802 LMSC recommends </w:t>
      </w:r>
      <w:r w:rsidR="00BC2245" w:rsidRPr="002C1E14">
        <w:rPr>
          <w:sz w:val="24"/>
          <w:szCs w:val="24"/>
          <w:lang w:eastAsia="ja-JP"/>
        </w:rPr>
        <w:t>CST</w:t>
      </w:r>
      <w:r w:rsidRPr="002C1E14">
        <w:rPr>
          <w:sz w:val="24"/>
          <w:szCs w:val="24"/>
          <w:lang w:eastAsia="ja-JP"/>
        </w:rPr>
        <w:t xml:space="preserve"> to allow license</w:t>
      </w:r>
      <w:r w:rsidR="00BC2245" w:rsidRPr="002C1E14">
        <w:rPr>
          <w:sz w:val="24"/>
          <w:szCs w:val="24"/>
          <w:lang w:eastAsia="ja-JP"/>
        </w:rPr>
        <w:t xml:space="preserve"> </w:t>
      </w:r>
      <w:r w:rsidRPr="002C1E14">
        <w:rPr>
          <w:sz w:val="24"/>
          <w:szCs w:val="24"/>
          <w:lang w:eastAsia="ja-JP"/>
        </w:rPr>
        <w:t xml:space="preserve">exempt operations between 252 GHz and 450 </w:t>
      </w:r>
      <w:r w:rsidR="00561EE9">
        <w:rPr>
          <w:sz w:val="24"/>
          <w:szCs w:val="24"/>
          <w:lang w:eastAsia="ja-JP"/>
        </w:rPr>
        <w:t xml:space="preserve">GHz that </w:t>
      </w:r>
      <w:r w:rsidR="002C1E14" w:rsidRPr="002C1E14">
        <w:rPr>
          <w:sz w:val="24"/>
          <w:szCs w:val="24"/>
        </w:rPr>
        <w:t>has been identified for the use of T</w:t>
      </w:r>
      <w:r w:rsidR="000756E3">
        <w:rPr>
          <w:sz w:val="24"/>
          <w:szCs w:val="24"/>
        </w:rPr>
        <w:t>e</w:t>
      </w:r>
      <w:r w:rsidR="00732B08">
        <w:rPr>
          <w:sz w:val="24"/>
          <w:szCs w:val="24"/>
        </w:rPr>
        <w:t>t</w:t>
      </w:r>
      <w:r w:rsidR="000756E3">
        <w:rPr>
          <w:sz w:val="24"/>
          <w:szCs w:val="24"/>
        </w:rPr>
        <w:t>r</w:t>
      </w:r>
      <w:r w:rsidR="00732B08">
        <w:rPr>
          <w:sz w:val="24"/>
          <w:szCs w:val="24"/>
        </w:rPr>
        <w:t>a</w:t>
      </w:r>
      <w:r w:rsidR="002C1E14" w:rsidRPr="002C1E14">
        <w:rPr>
          <w:sz w:val="24"/>
          <w:szCs w:val="24"/>
        </w:rPr>
        <w:t>H</w:t>
      </w:r>
      <w:r w:rsidR="00732B08">
        <w:rPr>
          <w:sz w:val="24"/>
          <w:szCs w:val="24"/>
        </w:rPr>
        <w:t>ert</w:t>
      </w:r>
      <w:r w:rsidR="002C1E14" w:rsidRPr="002C1E14">
        <w:rPr>
          <w:sz w:val="24"/>
          <w:szCs w:val="24"/>
        </w:rPr>
        <w:t>z communications by the World Radiocommunications Conference (WRC) 2019 per Radio Regulation (RR) No. 5.564A</w:t>
      </w:r>
      <w:r w:rsidR="00561EE9">
        <w:rPr>
          <w:rStyle w:val="FootnoteReference"/>
          <w:sz w:val="24"/>
          <w:szCs w:val="24"/>
        </w:rPr>
        <w:footnoteReference w:id="8"/>
      </w:r>
      <w:r w:rsidR="00561EE9">
        <w:rPr>
          <w:sz w:val="24"/>
          <w:szCs w:val="24"/>
        </w:rPr>
        <w:t>.</w:t>
      </w:r>
    </w:p>
    <w:p w14:paraId="3CB4B3E8" w14:textId="77777777" w:rsidR="00D202A0" w:rsidRDefault="00D202A0" w:rsidP="008817AC">
      <w:pPr>
        <w:snapToGrid w:val="0"/>
        <w:jc w:val="both"/>
        <w:rPr>
          <w:sz w:val="24"/>
          <w:szCs w:val="24"/>
          <w:lang w:eastAsia="ja-JP"/>
        </w:rPr>
      </w:pPr>
    </w:p>
    <w:p w14:paraId="3F53BF55" w14:textId="486C6055" w:rsidR="00330C3B" w:rsidRDefault="000756E3" w:rsidP="008817AC">
      <w:pPr>
        <w:jc w:val="both"/>
        <w:rPr>
          <w:sz w:val="24"/>
          <w:szCs w:val="24"/>
          <w:lang w:eastAsia="ja-JP"/>
        </w:rPr>
      </w:pPr>
      <w:r>
        <w:rPr>
          <w:sz w:val="24"/>
          <w:szCs w:val="24"/>
          <w:lang w:eastAsia="ja-JP"/>
        </w:rPr>
        <w:t xml:space="preserve">IEEE 802 LMSC has been leading the standards development of TetraHertz communications since 2008.  Of particular note is </w:t>
      </w:r>
      <w:r w:rsidR="00BC2245">
        <w:rPr>
          <w:sz w:val="24"/>
          <w:szCs w:val="24"/>
          <w:lang w:eastAsia="ja-JP"/>
        </w:rPr>
        <w:t>IEEE Std 802.15.3</w:t>
      </w:r>
      <w:r w:rsidR="00330C3B" w:rsidRPr="00330C3B">
        <w:rPr>
          <w:sz w:val="24"/>
          <w:szCs w:val="24"/>
          <w:lang w:eastAsia="ja-JP"/>
        </w:rPr>
        <w:t>-20</w:t>
      </w:r>
      <w:r w:rsidR="00BC2245">
        <w:rPr>
          <w:sz w:val="24"/>
          <w:szCs w:val="24"/>
          <w:lang w:eastAsia="ja-JP"/>
        </w:rPr>
        <w:t>23</w:t>
      </w:r>
      <w:r>
        <w:rPr>
          <w:sz w:val="24"/>
          <w:szCs w:val="24"/>
          <w:lang w:eastAsia="ja-JP"/>
        </w:rPr>
        <w:t>, which</w:t>
      </w:r>
      <w:r w:rsidR="00330C3B" w:rsidRPr="00330C3B">
        <w:rPr>
          <w:sz w:val="24"/>
          <w:szCs w:val="24"/>
          <w:lang w:eastAsia="ja-JP"/>
        </w:rPr>
        <w:t xml:space="preserve"> </w:t>
      </w:r>
      <w:r w:rsidR="00BC2245" w:rsidRPr="00BC2245">
        <w:rPr>
          <w:sz w:val="24"/>
          <w:szCs w:val="24"/>
          <w:lang w:eastAsia="ja-JP"/>
        </w:rPr>
        <w:t xml:space="preserve">defines </w:t>
      </w:r>
      <w:r w:rsidR="00BC2245" w:rsidRPr="00330C3B">
        <w:rPr>
          <w:sz w:val="24"/>
          <w:szCs w:val="24"/>
          <w:lang w:eastAsia="ja-JP"/>
        </w:rPr>
        <w:t>physical layer (PHY)</w:t>
      </w:r>
      <w:r w:rsidR="00BC2245" w:rsidRPr="00BC2245">
        <w:rPr>
          <w:sz w:val="24"/>
          <w:szCs w:val="24"/>
          <w:lang w:eastAsia="ja-JP"/>
        </w:rPr>
        <w:t xml:space="preserve"> and </w:t>
      </w:r>
      <w:r w:rsidR="00BC2245">
        <w:rPr>
          <w:sz w:val="24"/>
          <w:szCs w:val="24"/>
          <w:lang w:eastAsia="ja-JP"/>
        </w:rPr>
        <w:t>medium access control (</w:t>
      </w:r>
      <w:r w:rsidR="00BC2245" w:rsidRPr="00BC2245">
        <w:rPr>
          <w:sz w:val="24"/>
          <w:szCs w:val="24"/>
          <w:lang w:eastAsia="ja-JP"/>
        </w:rPr>
        <w:t>MAC</w:t>
      </w:r>
      <w:r w:rsidR="00BC2245">
        <w:rPr>
          <w:sz w:val="24"/>
          <w:szCs w:val="24"/>
          <w:lang w:eastAsia="ja-JP"/>
        </w:rPr>
        <w:t>)</w:t>
      </w:r>
      <w:r w:rsidR="00BC2245" w:rsidRPr="00BC2245">
        <w:rPr>
          <w:sz w:val="24"/>
          <w:szCs w:val="24"/>
          <w:lang w:eastAsia="ja-JP"/>
        </w:rPr>
        <w:t xml:space="preserve"> specifications for high data rate wireless connectivity (typically over 200 Mb/s) with fixed</w:t>
      </w:r>
      <w:r w:rsidR="007B4B7A">
        <w:rPr>
          <w:sz w:val="24"/>
          <w:szCs w:val="24"/>
          <w:lang w:eastAsia="ja-JP"/>
        </w:rPr>
        <w:t xml:space="preserve">, portable, and moving devices via the </w:t>
      </w:r>
      <w:r w:rsidR="007B4B7A" w:rsidRPr="007B4B7A">
        <w:rPr>
          <w:sz w:val="24"/>
          <w:szCs w:val="24"/>
          <w:lang w:eastAsia="ja-JP"/>
        </w:rPr>
        <w:t xml:space="preserve">2.4 GHz, 60 GHz, and 300 </w:t>
      </w:r>
      <w:r w:rsidR="00076824">
        <w:rPr>
          <w:sz w:val="24"/>
          <w:szCs w:val="24"/>
          <w:lang w:eastAsia="ja-JP"/>
        </w:rPr>
        <w:t xml:space="preserve">GHz radio transmissions in a </w:t>
      </w:r>
      <w:r w:rsidR="007B4B7A" w:rsidRPr="007B4B7A">
        <w:rPr>
          <w:sz w:val="24"/>
          <w:szCs w:val="24"/>
          <w:lang w:eastAsia="ja-JP"/>
        </w:rPr>
        <w:t>Wireless Personal Area Network (WPAN) using low-power and multiple modulation formats.</w:t>
      </w:r>
      <w:r w:rsidR="00076824">
        <w:rPr>
          <w:sz w:val="24"/>
          <w:szCs w:val="24"/>
          <w:lang w:eastAsia="ja-JP"/>
        </w:rPr>
        <w:t xml:space="preserve">  </w:t>
      </w:r>
      <w:r>
        <w:rPr>
          <w:sz w:val="24"/>
          <w:szCs w:val="24"/>
          <w:lang w:eastAsia="ja-JP"/>
        </w:rPr>
        <w:t>T</w:t>
      </w:r>
      <w:r w:rsidR="00076824">
        <w:rPr>
          <w:sz w:val="24"/>
          <w:szCs w:val="24"/>
          <w:lang w:eastAsia="ja-JP"/>
        </w:rPr>
        <w:t xml:space="preserve">he standard </w:t>
      </w:r>
      <w:r w:rsidR="00330C3B" w:rsidRPr="00330C3B">
        <w:rPr>
          <w:sz w:val="24"/>
          <w:szCs w:val="24"/>
          <w:lang w:eastAsia="ja-JP"/>
        </w:rPr>
        <w:t xml:space="preserve">specifies </w:t>
      </w:r>
      <w:r w:rsidR="00076824">
        <w:rPr>
          <w:sz w:val="24"/>
          <w:szCs w:val="24"/>
          <w:lang w:eastAsia="ja-JP"/>
        </w:rPr>
        <w:t xml:space="preserve">two </w:t>
      </w:r>
      <w:r w:rsidR="00330C3B" w:rsidRPr="00330C3B">
        <w:rPr>
          <w:sz w:val="24"/>
          <w:szCs w:val="24"/>
          <w:lang w:eastAsia="ja-JP"/>
        </w:rPr>
        <w:t xml:space="preserve">PHY </w:t>
      </w:r>
      <w:r w:rsidR="00076824">
        <w:rPr>
          <w:sz w:val="24"/>
          <w:szCs w:val="24"/>
          <w:lang w:eastAsia="ja-JP"/>
        </w:rPr>
        <w:t>modes</w:t>
      </w:r>
      <w:r w:rsidR="00330C3B" w:rsidRPr="00330C3B">
        <w:rPr>
          <w:sz w:val="24"/>
          <w:szCs w:val="24"/>
          <w:lang w:eastAsia="ja-JP"/>
        </w:rPr>
        <w:t xml:space="preserve"> in the frequen</w:t>
      </w:r>
      <w:r w:rsidR="00076824">
        <w:rPr>
          <w:sz w:val="24"/>
          <w:szCs w:val="24"/>
          <w:lang w:eastAsia="ja-JP"/>
        </w:rPr>
        <w:t>cy range between 252 GHz and 450</w:t>
      </w:r>
      <w:r w:rsidR="00330C3B" w:rsidRPr="00330C3B">
        <w:rPr>
          <w:sz w:val="24"/>
          <w:szCs w:val="24"/>
          <w:lang w:eastAsia="ja-JP"/>
        </w:rPr>
        <w:t xml:space="preserve"> GHz for switched point</w:t>
      </w:r>
      <w:r w:rsidR="00076824">
        <w:rPr>
          <w:sz w:val="24"/>
          <w:szCs w:val="24"/>
          <w:lang w:eastAsia="ja-JP"/>
        </w:rPr>
        <w:t>-to-point links to enable</w:t>
      </w:r>
      <w:r w:rsidR="00330C3B" w:rsidRPr="00330C3B">
        <w:rPr>
          <w:sz w:val="24"/>
          <w:szCs w:val="24"/>
          <w:lang w:eastAsia="ja-JP"/>
        </w:rPr>
        <w:t xml:space="preserve"> data rates of up to 100 Gb/s using eight different bandwidths between 2.16 GHz and 69.12 GHz. </w:t>
      </w:r>
      <w:r w:rsidR="00330C3B">
        <w:rPr>
          <w:sz w:val="24"/>
          <w:szCs w:val="24"/>
          <w:lang w:eastAsia="ja-JP"/>
        </w:rPr>
        <w:t xml:space="preserve"> </w:t>
      </w:r>
      <w:r w:rsidR="00330C3B" w:rsidRPr="00330C3B">
        <w:rPr>
          <w:sz w:val="24"/>
          <w:szCs w:val="24"/>
          <w:lang w:eastAsia="ja-JP"/>
        </w:rPr>
        <w:t xml:space="preserve">Targeted applications </w:t>
      </w:r>
      <w:r w:rsidR="00C607A2">
        <w:rPr>
          <w:sz w:val="24"/>
          <w:szCs w:val="24"/>
          <w:lang w:eastAsia="ja-JP"/>
        </w:rPr>
        <w:t xml:space="preserve">supported by this standard </w:t>
      </w:r>
      <w:r w:rsidR="00330C3B" w:rsidRPr="00330C3B">
        <w:rPr>
          <w:sz w:val="24"/>
          <w:szCs w:val="24"/>
          <w:lang w:eastAsia="ja-JP"/>
        </w:rPr>
        <w:t xml:space="preserve">include wireless backhaul/fronthaul links, wireless links in data centers as well as short-range applications such as kiosk downloading, intra-device and close-proximity communication. </w:t>
      </w:r>
      <w:r w:rsidR="00330C3B">
        <w:rPr>
          <w:sz w:val="24"/>
          <w:szCs w:val="24"/>
          <w:lang w:eastAsia="ja-JP"/>
        </w:rPr>
        <w:t xml:space="preserve"> </w:t>
      </w:r>
    </w:p>
    <w:p w14:paraId="7FC64FFC" w14:textId="77777777" w:rsidR="00EE67BB" w:rsidRDefault="00EE67BB" w:rsidP="008817AC">
      <w:pPr>
        <w:jc w:val="both"/>
        <w:rPr>
          <w:b/>
          <w:sz w:val="24"/>
          <w:szCs w:val="24"/>
        </w:rPr>
      </w:pP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76E58947" w14:textId="0EDA7386" w:rsidR="00435292" w:rsidRPr="00662551" w:rsidRDefault="00435292" w:rsidP="00435292">
      <w:pPr>
        <w:jc w:val="both"/>
        <w:rPr>
          <w:sz w:val="24"/>
          <w:szCs w:val="24"/>
        </w:rPr>
      </w:pPr>
      <w:r w:rsidRPr="00435292">
        <w:rPr>
          <w:sz w:val="24"/>
          <w:szCs w:val="24"/>
        </w:rPr>
        <w:t xml:space="preserve">IEEE 802 LMSC thanks </w:t>
      </w:r>
      <w:r w:rsidR="00133478">
        <w:rPr>
          <w:sz w:val="24"/>
          <w:szCs w:val="24"/>
        </w:rPr>
        <w:t>C</w:t>
      </w:r>
      <w:r w:rsidR="00C41250">
        <w:rPr>
          <w:sz w:val="24"/>
          <w:szCs w:val="24"/>
        </w:rPr>
        <w:t>ST</w:t>
      </w:r>
      <w:r w:rsidRPr="00435292">
        <w:rPr>
          <w:sz w:val="24"/>
          <w:szCs w:val="24"/>
        </w:rPr>
        <w:t xml:space="preserve"> for the opportunity to provide this submission and kindly re</w:t>
      </w:r>
      <w:r w:rsidR="00662551">
        <w:rPr>
          <w:sz w:val="24"/>
          <w:szCs w:val="24"/>
        </w:rPr>
        <w:t xml:space="preserve">quests </w:t>
      </w:r>
      <w:r w:rsidR="00337A9A">
        <w:rPr>
          <w:sz w:val="24"/>
          <w:szCs w:val="24"/>
        </w:rPr>
        <w:t>consideration of</w:t>
      </w:r>
      <w:r w:rsidR="00662551">
        <w:rPr>
          <w:sz w:val="24"/>
          <w:szCs w:val="24"/>
        </w:rPr>
        <w:t xml:space="preserve"> our response</w:t>
      </w:r>
      <w:r w:rsidR="00262A06">
        <w:rPr>
          <w:sz w:val="24"/>
          <w:szCs w:val="24"/>
        </w:rPr>
        <w:t xml:space="preserve"> to </w:t>
      </w:r>
      <w:r w:rsidR="00262E7C">
        <w:rPr>
          <w:sz w:val="24"/>
          <w:szCs w:val="24"/>
          <w:lang w:eastAsia="ja-JP"/>
        </w:rPr>
        <w:t>the use of AFC systems for both outdoor and indoor operaitons,</w:t>
      </w:r>
      <w:bookmarkStart w:id="1" w:name="_GoBack"/>
      <w:bookmarkEnd w:id="1"/>
      <w:r w:rsidR="00AE35AF">
        <w:rPr>
          <w:sz w:val="24"/>
          <w:szCs w:val="24"/>
          <w:lang w:eastAsia="ja-JP"/>
        </w:rPr>
        <w:t xml:space="preserve"> and</w:t>
      </w:r>
      <w:r w:rsidR="00AE35AF" w:rsidRPr="002C1E14">
        <w:rPr>
          <w:sz w:val="24"/>
          <w:szCs w:val="24"/>
          <w:lang w:eastAsia="ja-JP"/>
        </w:rPr>
        <w:t xml:space="preserve"> </w:t>
      </w:r>
      <w:r w:rsidR="00262A06" w:rsidRPr="002C1E14">
        <w:rPr>
          <w:sz w:val="24"/>
          <w:szCs w:val="24"/>
          <w:lang w:eastAsia="ja-JP"/>
        </w:rPr>
        <w:t xml:space="preserve">license exempt operations between 252 GHz and 450 </w:t>
      </w:r>
      <w:r w:rsidR="00262A06">
        <w:rPr>
          <w:sz w:val="24"/>
          <w:szCs w:val="24"/>
          <w:lang w:eastAsia="ja-JP"/>
        </w:rPr>
        <w:t xml:space="preserve">GHz </w:t>
      </w:r>
      <w:r w:rsidR="00262A06" w:rsidRPr="002C1E14">
        <w:rPr>
          <w:sz w:val="24"/>
          <w:szCs w:val="24"/>
        </w:rPr>
        <w:t>for the use of T</w:t>
      </w:r>
      <w:r w:rsidR="00262A06">
        <w:rPr>
          <w:sz w:val="24"/>
          <w:szCs w:val="24"/>
        </w:rPr>
        <w:t>etra</w:t>
      </w:r>
      <w:r w:rsidR="00262A06" w:rsidRPr="002C1E14">
        <w:rPr>
          <w:sz w:val="24"/>
          <w:szCs w:val="24"/>
        </w:rPr>
        <w:t>H</w:t>
      </w:r>
      <w:r w:rsidR="00262A06">
        <w:rPr>
          <w:sz w:val="24"/>
          <w:szCs w:val="24"/>
        </w:rPr>
        <w:t>ert</w:t>
      </w:r>
      <w:r w:rsidR="00262A06" w:rsidRPr="002C1E14">
        <w:rPr>
          <w:sz w:val="24"/>
          <w:szCs w:val="24"/>
        </w:rPr>
        <w:t>z communication</w:t>
      </w:r>
      <w:r w:rsidR="00262A06">
        <w:rPr>
          <w:sz w:val="24"/>
          <w:szCs w:val="24"/>
        </w:rPr>
        <w:t>s</w:t>
      </w:r>
      <w:r w:rsidR="00662551" w:rsidRPr="00662551">
        <w:rPr>
          <w:sz w:val="24"/>
          <w:szCs w:val="24"/>
        </w:rPr>
        <w:t>.</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29A807" w16cid:durableId="236C6CE1"/>
  <w16cid:commentId w16cid:paraId="62CCB2BD" w16cid:durableId="56FE1C05"/>
  <w16cid:commentId w16cid:paraId="11A1A8C8" w16cid:durableId="5C1136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39067" w14:textId="77777777" w:rsidR="00AD20E1" w:rsidRDefault="00AD20E1">
      <w:r>
        <w:separator/>
      </w:r>
    </w:p>
  </w:endnote>
  <w:endnote w:type="continuationSeparator" w:id="0">
    <w:p w14:paraId="09DE7973" w14:textId="77777777" w:rsidR="00AD20E1" w:rsidRDefault="00AD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1101D4E1" w:rsidR="002E0A70" w:rsidRDefault="00AE35AF">
    <w:pPr>
      <w:pStyle w:val="Footer"/>
      <w:tabs>
        <w:tab w:val="clear" w:pos="6480"/>
        <w:tab w:val="center" w:pos="4680"/>
        <w:tab w:val="right" w:pos="9360"/>
      </w:tabs>
      <w:rPr>
        <w:lang w:val="fr-CA"/>
      </w:rPr>
    </w:pPr>
    <w:fldSimple w:instr=" SUBJECT ">
      <w:r w:rsidR="002E0A70">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262E7C">
      <w:rPr>
        <w:noProof/>
      </w:rPr>
      <w:t>3</w:t>
    </w:r>
    <w:r w:rsidR="002E0A70">
      <w:fldChar w:fldCharType="end"/>
    </w:r>
    <w:r w:rsidR="002E0A70">
      <w:rPr>
        <w:lang w:val="fr-CA"/>
      </w:rPr>
      <w:tab/>
    </w:r>
    <w:r w:rsidR="005F27D5">
      <w:rPr>
        <w:lang w:val="fr-CA"/>
      </w:rPr>
      <w:t xml:space="preserve">Edward Au </w:t>
    </w:r>
    <w:r w:rsidR="002E0A70">
      <w:rPr>
        <w:lang w:val="fr-CA"/>
      </w:rPr>
      <w:t>(</w:t>
    </w:r>
    <w:r w:rsidR="005F27D5">
      <w:rPr>
        <w:lang w:val="fr-CA"/>
      </w:rPr>
      <w:t>Huawei</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2091D" w14:textId="77777777" w:rsidR="00AD20E1" w:rsidRDefault="00AD20E1">
      <w:pPr>
        <w:rPr>
          <w:sz w:val="12"/>
        </w:rPr>
      </w:pPr>
      <w:r>
        <w:separator/>
      </w:r>
    </w:p>
  </w:footnote>
  <w:footnote w:type="continuationSeparator" w:id="0">
    <w:p w14:paraId="5F88186A" w14:textId="77777777" w:rsidR="00AD20E1" w:rsidRDefault="00AD20E1">
      <w:pPr>
        <w:rPr>
          <w:sz w:val="12"/>
        </w:rPr>
      </w:pPr>
      <w:r>
        <w:continuationSeparator/>
      </w:r>
    </w:p>
  </w:footnote>
  <w:footnote w:id="1">
    <w:p w14:paraId="4CEA3EE3" w14:textId="35A639B0" w:rsidR="002E0A70" w:rsidRPr="00AB1B3A" w:rsidRDefault="002E0A70" w:rsidP="000239F6">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4FF6FAC9" w14:textId="49550F4C"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 </w:t>
      </w:r>
      <w:r w:rsidRPr="009F4295">
        <w:rPr>
          <w:rStyle w:val="Hyperlink2"/>
        </w:rPr>
        <w:t>https://www.wi-fi.org/discover-wi-fi/6-ghz-afc-resources</w:t>
      </w:r>
      <w:r w:rsidRPr="009F4295">
        <w:rPr>
          <w:rStyle w:val="None"/>
          <w:sz w:val="16"/>
          <w:szCs w:val="16"/>
        </w:rPr>
        <w:t xml:space="preserve"> [accessed: </w:t>
      </w:r>
      <w:r w:rsidR="00327331">
        <w:rPr>
          <w:rStyle w:val="None"/>
          <w:sz w:val="16"/>
          <w:szCs w:val="16"/>
        </w:rPr>
        <w:t>25 September</w:t>
      </w:r>
      <w:r w:rsidRPr="009F4295">
        <w:rPr>
          <w:rStyle w:val="None"/>
          <w:sz w:val="16"/>
          <w:szCs w:val="16"/>
        </w:rPr>
        <w:t xml:space="preserve"> 2024].</w:t>
      </w:r>
    </w:p>
  </w:footnote>
  <w:footnote w:id="3">
    <w:p w14:paraId="50FFE2D6" w14:textId="756C09C5"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hyperlink r:id="rId1" w:history="1">
        <w:r w:rsidRPr="009F4295">
          <w:rPr>
            <w:rStyle w:val="Hyperlink2"/>
          </w:rPr>
          <w:t>https://6ghz.wirelessinnovation.org/baseline-standards</w:t>
        </w:r>
      </w:hyperlink>
      <w:r w:rsidRPr="009F4295">
        <w:rPr>
          <w:rStyle w:val="None"/>
          <w:sz w:val="16"/>
          <w:szCs w:val="16"/>
        </w:rPr>
        <w:t xml:space="preserve"> [accessed: </w:t>
      </w:r>
      <w:r w:rsidR="00327331">
        <w:rPr>
          <w:rStyle w:val="None"/>
          <w:sz w:val="16"/>
          <w:szCs w:val="16"/>
        </w:rPr>
        <w:t>25 September</w:t>
      </w:r>
      <w:r w:rsidRPr="009F4295">
        <w:rPr>
          <w:rStyle w:val="None"/>
          <w:sz w:val="16"/>
          <w:szCs w:val="16"/>
        </w:rPr>
        <w:t xml:space="preserve"> 2024].</w:t>
      </w:r>
    </w:p>
  </w:footnote>
  <w:footnote w:id="4">
    <w:p w14:paraId="03AE0237" w14:textId="1459ED88"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2" w:history="1">
        <w:r w:rsidRPr="009F4295">
          <w:rPr>
            <w:rStyle w:val="Hyperlink2"/>
          </w:rPr>
          <w:t>https://ised-isde.canada.ca/site/certification-engineering-bureau/en/node/116</w:t>
        </w:r>
      </w:hyperlink>
      <w:r w:rsidRPr="009F4295">
        <w:rPr>
          <w:rStyle w:val="None"/>
          <w:sz w:val="16"/>
          <w:szCs w:val="16"/>
        </w:rPr>
        <w:t xml:space="preserve"> [accessed: </w:t>
      </w:r>
      <w:r w:rsidR="00852FA0">
        <w:rPr>
          <w:rStyle w:val="None"/>
          <w:sz w:val="16"/>
          <w:szCs w:val="16"/>
        </w:rPr>
        <w:t>2</w:t>
      </w:r>
      <w:r w:rsidR="003F74D2">
        <w:rPr>
          <w:rStyle w:val="None"/>
          <w:sz w:val="16"/>
          <w:szCs w:val="16"/>
        </w:rPr>
        <w:t>5</w:t>
      </w:r>
      <w:r w:rsidR="00852FA0">
        <w:rPr>
          <w:rStyle w:val="None"/>
          <w:sz w:val="16"/>
          <w:szCs w:val="16"/>
        </w:rPr>
        <w:t xml:space="preserve"> September </w:t>
      </w:r>
      <w:r w:rsidRPr="009F4295">
        <w:rPr>
          <w:rStyle w:val="None"/>
          <w:sz w:val="16"/>
          <w:szCs w:val="16"/>
        </w:rPr>
        <w:t>2024].</w:t>
      </w:r>
    </w:p>
  </w:footnote>
  <w:footnote w:id="5">
    <w:p w14:paraId="45979C9F" w14:textId="34359D18" w:rsidR="00040B33" w:rsidRPr="009F4295" w:rsidRDefault="00040B33" w:rsidP="00040B3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3" w:history="1">
        <w:r w:rsidRPr="009F4295">
          <w:rPr>
            <w:rStyle w:val="Hyperlink2"/>
          </w:rPr>
          <w:t>https://docs.fcc.gov/public/attachments/DA-24-166A1.pdf</w:t>
        </w:r>
      </w:hyperlink>
      <w:r w:rsidRPr="009F4295">
        <w:rPr>
          <w:rStyle w:val="None"/>
          <w:sz w:val="16"/>
          <w:szCs w:val="16"/>
        </w:rPr>
        <w:t xml:space="preserve"> [accessed: </w:t>
      </w:r>
      <w:r w:rsidR="00852FA0">
        <w:rPr>
          <w:rStyle w:val="None"/>
          <w:sz w:val="16"/>
          <w:szCs w:val="16"/>
        </w:rPr>
        <w:t>2</w:t>
      </w:r>
      <w:r w:rsidR="003F74D2">
        <w:rPr>
          <w:rStyle w:val="None"/>
          <w:sz w:val="16"/>
          <w:szCs w:val="16"/>
        </w:rPr>
        <w:t>5</w:t>
      </w:r>
      <w:r w:rsidR="00852FA0">
        <w:rPr>
          <w:rStyle w:val="None"/>
          <w:sz w:val="16"/>
          <w:szCs w:val="16"/>
        </w:rPr>
        <w:t xml:space="preserve"> September </w:t>
      </w:r>
      <w:r w:rsidRPr="009F4295">
        <w:rPr>
          <w:rStyle w:val="None"/>
          <w:sz w:val="16"/>
          <w:szCs w:val="16"/>
        </w:rPr>
        <w:t>2024].</w:t>
      </w:r>
    </w:p>
  </w:footnote>
  <w:footnote w:id="6">
    <w:p w14:paraId="3DF62798" w14:textId="049D747A" w:rsidR="009D2ACF" w:rsidRPr="001544EA" w:rsidRDefault="009D2ACF" w:rsidP="00C85351">
      <w:pPr>
        <w:pStyle w:val="FootnoteText"/>
        <w:rPr>
          <w:sz w:val="16"/>
          <w:szCs w:val="16"/>
        </w:rPr>
      </w:pPr>
      <w:r w:rsidRPr="001544EA">
        <w:rPr>
          <w:rStyle w:val="FootnoteReference"/>
          <w:sz w:val="16"/>
          <w:szCs w:val="16"/>
        </w:rPr>
        <w:footnoteRef/>
      </w:r>
      <w:r w:rsidRPr="001544EA">
        <w:rPr>
          <w:sz w:val="16"/>
          <w:szCs w:val="16"/>
        </w:rPr>
        <w:t xml:space="preserve"> </w:t>
      </w:r>
      <w:r w:rsidR="00C85351">
        <w:rPr>
          <w:sz w:val="16"/>
          <w:szCs w:val="16"/>
        </w:rPr>
        <w:t>See</w:t>
      </w:r>
      <w:r w:rsidR="004F20DA">
        <w:rPr>
          <w:sz w:val="16"/>
          <w:szCs w:val="16"/>
        </w:rPr>
        <w:t xml:space="preserve"> Intel’s White Paper: </w:t>
      </w:r>
      <w:r w:rsidR="00C85351">
        <w:rPr>
          <w:sz w:val="16"/>
          <w:szCs w:val="16"/>
        </w:rPr>
        <w:t xml:space="preserve">Spectrum Sharing Using </w:t>
      </w:r>
      <w:r w:rsidR="00C85351" w:rsidRPr="00C85351">
        <w:rPr>
          <w:sz w:val="16"/>
          <w:szCs w:val="16"/>
        </w:rPr>
        <w:t>Frequency Coordination</w:t>
      </w:r>
      <w:r w:rsidR="00C85351">
        <w:rPr>
          <w:sz w:val="16"/>
          <w:szCs w:val="16"/>
        </w:rPr>
        <w:t xml:space="preserve">, </w:t>
      </w:r>
      <w:hyperlink r:id="rId4" w:history="1">
        <w:r w:rsidR="00E30F4D" w:rsidRPr="001544EA">
          <w:rPr>
            <w:rStyle w:val="Hyperlink"/>
            <w:sz w:val="16"/>
            <w:szCs w:val="16"/>
          </w:rPr>
          <w:t>https://www.intel.com/content/www/us/en/wireless-network/spectrum-using-automated-frequency-coordination.html</w:t>
        </w:r>
      </w:hyperlink>
      <w:r w:rsidR="00E30F4D">
        <w:rPr>
          <w:sz w:val="16"/>
          <w:szCs w:val="16"/>
        </w:rPr>
        <w:t xml:space="preserve"> [accessed: 25 September 2024]</w:t>
      </w:r>
    </w:p>
  </w:footnote>
  <w:footnote w:id="7">
    <w:p w14:paraId="61A7EBE9" w14:textId="1B675A1F" w:rsidR="0089357A" w:rsidRPr="004D5E4F" w:rsidRDefault="0089357A" w:rsidP="004D5E4F">
      <w:pPr>
        <w:pStyle w:val="FootnoteText"/>
        <w:jc w:val="both"/>
        <w:rPr>
          <w:sz w:val="16"/>
          <w:szCs w:val="16"/>
        </w:rPr>
      </w:pPr>
      <w:r w:rsidRPr="004D5E4F">
        <w:rPr>
          <w:rStyle w:val="None"/>
          <w:sz w:val="16"/>
          <w:szCs w:val="16"/>
        </w:rPr>
        <w:footnoteRef/>
      </w:r>
      <w:r w:rsidRPr="004D5E4F">
        <w:rPr>
          <w:rStyle w:val="None"/>
          <w:sz w:val="16"/>
          <w:szCs w:val="16"/>
        </w:rPr>
        <w:t xml:space="preserve"> </w:t>
      </w:r>
      <w:r w:rsidR="004D37B5" w:rsidRPr="009F4295">
        <w:rPr>
          <w:rStyle w:val="None"/>
          <w:sz w:val="16"/>
          <w:szCs w:val="16"/>
        </w:rPr>
        <w:t>See Federal Communications Commission:</w:t>
      </w:r>
      <w:r w:rsidR="004D37B5">
        <w:rPr>
          <w:rStyle w:val="None"/>
          <w:sz w:val="16"/>
          <w:szCs w:val="16"/>
        </w:rPr>
        <w:t xml:space="preserve"> </w:t>
      </w:r>
      <w:r w:rsidR="004D37B5" w:rsidRPr="004D37B5">
        <w:rPr>
          <w:rStyle w:val="None"/>
          <w:sz w:val="16"/>
          <w:szCs w:val="16"/>
        </w:rPr>
        <w:t>OET Announces Conditional Approval for 6 GHz Band AFC Systems</w:t>
      </w:r>
      <w:r w:rsidR="004D37B5">
        <w:rPr>
          <w:rStyle w:val="None"/>
          <w:sz w:val="16"/>
          <w:szCs w:val="16"/>
        </w:rPr>
        <w:t xml:space="preserve">, </w:t>
      </w:r>
      <w:hyperlink r:id="rId5" w:history="1">
        <w:r w:rsidR="004D37B5" w:rsidRPr="00B55101">
          <w:rPr>
            <w:rStyle w:val="Hyperlink"/>
            <w:sz w:val="16"/>
            <w:szCs w:val="16"/>
          </w:rPr>
          <w:t>https://www.fcc.gov/document/oet-announces-conditional-approval-6-ghz-band-afc-systems</w:t>
        </w:r>
      </w:hyperlink>
      <w:r w:rsidR="004D37B5">
        <w:rPr>
          <w:rStyle w:val="None"/>
          <w:sz w:val="16"/>
          <w:szCs w:val="16"/>
        </w:rPr>
        <w:t xml:space="preserve"> [accessed: 25 September 2024]</w:t>
      </w:r>
    </w:p>
  </w:footnote>
  <w:footnote w:id="8">
    <w:p w14:paraId="5C09046E" w14:textId="5FA77581" w:rsidR="00561EE9" w:rsidRPr="00561EE9" w:rsidRDefault="00561EE9">
      <w:pPr>
        <w:pStyle w:val="FootnoteText"/>
        <w:rPr>
          <w:sz w:val="16"/>
          <w:szCs w:val="16"/>
        </w:rPr>
      </w:pPr>
      <w:r w:rsidRPr="00561EE9">
        <w:rPr>
          <w:rStyle w:val="FootnoteReference"/>
          <w:sz w:val="16"/>
          <w:szCs w:val="16"/>
        </w:rPr>
        <w:footnoteRef/>
      </w:r>
      <w:r w:rsidRPr="00561EE9">
        <w:rPr>
          <w:sz w:val="16"/>
          <w:szCs w:val="16"/>
        </w:rPr>
        <w:t xml:space="preserve"> The frequency bands, which cover 137 GHz spectrum, are 275 GHz to 296 GHz, 306 GHz to 313 GHz, 318 GHz to 333 GHz, and 356 GHz to 450 GHz.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483C704B" w:rsidR="002E0A70" w:rsidRDefault="00697BD5">
    <w:pPr>
      <w:pStyle w:val="Header"/>
      <w:tabs>
        <w:tab w:val="clear" w:pos="6480"/>
        <w:tab w:val="center" w:pos="4680"/>
        <w:tab w:val="right" w:pos="9360"/>
      </w:tabs>
    </w:pPr>
    <w:r>
      <w:t xml:space="preserve">September </w:t>
    </w:r>
    <w:r w:rsidR="002E0A70">
      <w:t xml:space="preserve">2024 </w:t>
    </w:r>
    <w:r w:rsidR="002E0A70">
      <w:tab/>
    </w:r>
    <w:r w:rsidR="002E0A70">
      <w:tab/>
      <w:t>doc.: IEEE 802.18-24/00</w:t>
    </w:r>
    <w:r>
      <w:t>9</w:t>
    </w:r>
    <w:r w:rsidR="00D55BCA">
      <w:t>5</w:t>
    </w:r>
    <w:r w:rsidR="002E0A70">
      <w:t>r</w:t>
    </w:r>
    <w:r w:rsidR="00D3356F">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6"/>
  </w:num>
  <w:num w:numId="4">
    <w:abstractNumId w:val="4"/>
  </w:num>
  <w:num w:numId="5">
    <w:abstractNumId w:val="3"/>
  </w:num>
  <w:num w:numId="6">
    <w:abstractNumId w:val="17"/>
  </w:num>
  <w:num w:numId="7">
    <w:abstractNumId w:val="12"/>
  </w:num>
  <w:num w:numId="8">
    <w:abstractNumId w:val="13"/>
  </w:num>
  <w:num w:numId="9">
    <w:abstractNumId w:val="21"/>
  </w:num>
  <w:num w:numId="10">
    <w:abstractNumId w:val="19"/>
  </w:num>
  <w:num w:numId="11">
    <w:abstractNumId w:val="18"/>
  </w:num>
  <w:num w:numId="12">
    <w:abstractNumId w:val="9"/>
  </w:num>
  <w:num w:numId="13">
    <w:abstractNumId w:val="5"/>
  </w:num>
  <w:num w:numId="14">
    <w:abstractNumId w:val="0"/>
  </w:num>
  <w:num w:numId="15">
    <w:abstractNumId w:val="7"/>
  </w:num>
  <w:num w:numId="16">
    <w:abstractNumId w:val="10"/>
  </w:num>
  <w:num w:numId="17">
    <w:abstractNumId w:val="16"/>
  </w:num>
  <w:num w:numId="18">
    <w:abstractNumId w:val="14"/>
  </w:num>
  <w:num w:numId="19">
    <w:abstractNumId w:val="15"/>
  </w:num>
  <w:num w:numId="20">
    <w:abstractNumId w:val="2"/>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38BC"/>
    <w:rsid w:val="000040D8"/>
    <w:rsid w:val="0000728A"/>
    <w:rsid w:val="00007377"/>
    <w:rsid w:val="00007EE2"/>
    <w:rsid w:val="0001312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5B2"/>
    <w:rsid w:val="00063920"/>
    <w:rsid w:val="00064DD6"/>
    <w:rsid w:val="000662C6"/>
    <w:rsid w:val="00066CBE"/>
    <w:rsid w:val="00066F97"/>
    <w:rsid w:val="0007172F"/>
    <w:rsid w:val="00073AE4"/>
    <w:rsid w:val="000756E3"/>
    <w:rsid w:val="00075AEF"/>
    <w:rsid w:val="00076007"/>
    <w:rsid w:val="00076824"/>
    <w:rsid w:val="0007682E"/>
    <w:rsid w:val="0007732D"/>
    <w:rsid w:val="00077590"/>
    <w:rsid w:val="00077E6A"/>
    <w:rsid w:val="00080404"/>
    <w:rsid w:val="0008251C"/>
    <w:rsid w:val="00082526"/>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EAC"/>
    <w:rsid w:val="000B03DE"/>
    <w:rsid w:val="000B0BD5"/>
    <w:rsid w:val="000B13D7"/>
    <w:rsid w:val="000B1582"/>
    <w:rsid w:val="000B1DC6"/>
    <w:rsid w:val="000B410B"/>
    <w:rsid w:val="000B4281"/>
    <w:rsid w:val="000B4338"/>
    <w:rsid w:val="000B56A5"/>
    <w:rsid w:val="000B6ADB"/>
    <w:rsid w:val="000B72EE"/>
    <w:rsid w:val="000C26A5"/>
    <w:rsid w:val="000C2CED"/>
    <w:rsid w:val="000C38AE"/>
    <w:rsid w:val="000C3A01"/>
    <w:rsid w:val="000C40DD"/>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3478"/>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332E"/>
    <w:rsid w:val="00164387"/>
    <w:rsid w:val="001660BF"/>
    <w:rsid w:val="0016737E"/>
    <w:rsid w:val="0017039F"/>
    <w:rsid w:val="00171269"/>
    <w:rsid w:val="001714B8"/>
    <w:rsid w:val="0017215C"/>
    <w:rsid w:val="00172D53"/>
    <w:rsid w:val="0017343A"/>
    <w:rsid w:val="0017416B"/>
    <w:rsid w:val="00174BFF"/>
    <w:rsid w:val="0017783D"/>
    <w:rsid w:val="001814B5"/>
    <w:rsid w:val="00186DAD"/>
    <w:rsid w:val="00191A5E"/>
    <w:rsid w:val="00191D5F"/>
    <w:rsid w:val="001925FD"/>
    <w:rsid w:val="001939E3"/>
    <w:rsid w:val="00194BDC"/>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55F"/>
    <w:rsid w:val="001B426D"/>
    <w:rsid w:val="001B5478"/>
    <w:rsid w:val="001B6320"/>
    <w:rsid w:val="001C06CA"/>
    <w:rsid w:val="001C521A"/>
    <w:rsid w:val="001C7497"/>
    <w:rsid w:val="001C7DFB"/>
    <w:rsid w:val="001D0742"/>
    <w:rsid w:val="001D0E77"/>
    <w:rsid w:val="001D1A0E"/>
    <w:rsid w:val="001D2227"/>
    <w:rsid w:val="001D247A"/>
    <w:rsid w:val="001D2F1F"/>
    <w:rsid w:val="001D3C24"/>
    <w:rsid w:val="001D49EB"/>
    <w:rsid w:val="001D61C2"/>
    <w:rsid w:val="001D7850"/>
    <w:rsid w:val="001E00AB"/>
    <w:rsid w:val="001E15BE"/>
    <w:rsid w:val="001E1B42"/>
    <w:rsid w:val="001E1EDE"/>
    <w:rsid w:val="001E29F7"/>
    <w:rsid w:val="001E367A"/>
    <w:rsid w:val="001E3C0B"/>
    <w:rsid w:val="001E3E9F"/>
    <w:rsid w:val="001E4E13"/>
    <w:rsid w:val="001E4ECB"/>
    <w:rsid w:val="001E6566"/>
    <w:rsid w:val="001E729A"/>
    <w:rsid w:val="001F27C5"/>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59B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90B2B"/>
    <w:rsid w:val="00292D6F"/>
    <w:rsid w:val="00292E16"/>
    <w:rsid w:val="00293548"/>
    <w:rsid w:val="00293682"/>
    <w:rsid w:val="002937C0"/>
    <w:rsid w:val="00294A73"/>
    <w:rsid w:val="00296F9F"/>
    <w:rsid w:val="002A0062"/>
    <w:rsid w:val="002A0DC1"/>
    <w:rsid w:val="002A3017"/>
    <w:rsid w:val="002A39F9"/>
    <w:rsid w:val="002A44D6"/>
    <w:rsid w:val="002A5F27"/>
    <w:rsid w:val="002A69AB"/>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7140"/>
    <w:rsid w:val="002D2741"/>
    <w:rsid w:val="002D38C1"/>
    <w:rsid w:val="002D3C14"/>
    <w:rsid w:val="002D4A01"/>
    <w:rsid w:val="002D4B49"/>
    <w:rsid w:val="002D4D3F"/>
    <w:rsid w:val="002D76E3"/>
    <w:rsid w:val="002E0A70"/>
    <w:rsid w:val="002E16C0"/>
    <w:rsid w:val="002E16F1"/>
    <w:rsid w:val="002E177C"/>
    <w:rsid w:val="002E40BB"/>
    <w:rsid w:val="002E7B87"/>
    <w:rsid w:val="002F000E"/>
    <w:rsid w:val="002F002D"/>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43990"/>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0D3A"/>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4CF1"/>
    <w:rsid w:val="004658B6"/>
    <w:rsid w:val="004662CB"/>
    <w:rsid w:val="00467D79"/>
    <w:rsid w:val="00470A14"/>
    <w:rsid w:val="00471F7B"/>
    <w:rsid w:val="00473A7D"/>
    <w:rsid w:val="00474A2D"/>
    <w:rsid w:val="00475BEB"/>
    <w:rsid w:val="00477CC6"/>
    <w:rsid w:val="0048078A"/>
    <w:rsid w:val="00482857"/>
    <w:rsid w:val="00482901"/>
    <w:rsid w:val="00484E26"/>
    <w:rsid w:val="00486810"/>
    <w:rsid w:val="00487A7C"/>
    <w:rsid w:val="00487D2F"/>
    <w:rsid w:val="004918B5"/>
    <w:rsid w:val="00491BDF"/>
    <w:rsid w:val="0049263F"/>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339A"/>
    <w:rsid w:val="004B45E1"/>
    <w:rsid w:val="004B5951"/>
    <w:rsid w:val="004B5B4C"/>
    <w:rsid w:val="004B6CD6"/>
    <w:rsid w:val="004B754C"/>
    <w:rsid w:val="004C027D"/>
    <w:rsid w:val="004C2669"/>
    <w:rsid w:val="004C268C"/>
    <w:rsid w:val="004C305E"/>
    <w:rsid w:val="004C38AB"/>
    <w:rsid w:val="004C3C37"/>
    <w:rsid w:val="004C3D53"/>
    <w:rsid w:val="004C454E"/>
    <w:rsid w:val="004C4746"/>
    <w:rsid w:val="004C4AFF"/>
    <w:rsid w:val="004C67AA"/>
    <w:rsid w:val="004C77DF"/>
    <w:rsid w:val="004D009F"/>
    <w:rsid w:val="004D07CF"/>
    <w:rsid w:val="004D1359"/>
    <w:rsid w:val="004D159B"/>
    <w:rsid w:val="004D2A12"/>
    <w:rsid w:val="004D37B5"/>
    <w:rsid w:val="004D3DB8"/>
    <w:rsid w:val="004D5266"/>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3B63"/>
    <w:rsid w:val="00514AD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B01"/>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3574"/>
    <w:rsid w:val="00553E8E"/>
    <w:rsid w:val="005551A1"/>
    <w:rsid w:val="00555797"/>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2905"/>
    <w:rsid w:val="00572D19"/>
    <w:rsid w:val="0057349D"/>
    <w:rsid w:val="00574EFB"/>
    <w:rsid w:val="00575E28"/>
    <w:rsid w:val="00580DD5"/>
    <w:rsid w:val="005815F8"/>
    <w:rsid w:val="00581F0D"/>
    <w:rsid w:val="00582A28"/>
    <w:rsid w:val="00585574"/>
    <w:rsid w:val="0058561E"/>
    <w:rsid w:val="0058572A"/>
    <w:rsid w:val="005859F2"/>
    <w:rsid w:val="00586B2F"/>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6440"/>
    <w:rsid w:val="005C05A2"/>
    <w:rsid w:val="005C0D6B"/>
    <w:rsid w:val="005C33FA"/>
    <w:rsid w:val="005C4661"/>
    <w:rsid w:val="005C54CB"/>
    <w:rsid w:val="005C6094"/>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19EB"/>
    <w:rsid w:val="005F27D5"/>
    <w:rsid w:val="005F2D2B"/>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49EF"/>
    <w:rsid w:val="00635291"/>
    <w:rsid w:val="00636250"/>
    <w:rsid w:val="006365F5"/>
    <w:rsid w:val="00636A33"/>
    <w:rsid w:val="00636F71"/>
    <w:rsid w:val="006406E2"/>
    <w:rsid w:val="00641E4A"/>
    <w:rsid w:val="00642101"/>
    <w:rsid w:val="00642409"/>
    <w:rsid w:val="00642473"/>
    <w:rsid w:val="00642A1B"/>
    <w:rsid w:val="00645ABF"/>
    <w:rsid w:val="0064675D"/>
    <w:rsid w:val="0064719F"/>
    <w:rsid w:val="00647985"/>
    <w:rsid w:val="006501E4"/>
    <w:rsid w:val="006513D1"/>
    <w:rsid w:val="006534C9"/>
    <w:rsid w:val="006558F2"/>
    <w:rsid w:val="006560F1"/>
    <w:rsid w:val="006608C2"/>
    <w:rsid w:val="00660AFA"/>
    <w:rsid w:val="00661367"/>
    <w:rsid w:val="00661B6E"/>
    <w:rsid w:val="006622E9"/>
    <w:rsid w:val="00662551"/>
    <w:rsid w:val="00663299"/>
    <w:rsid w:val="0066526D"/>
    <w:rsid w:val="006674EB"/>
    <w:rsid w:val="0066780E"/>
    <w:rsid w:val="006701BC"/>
    <w:rsid w:val="0067103D"/>
    <w:rsid w:val="00672529"/>
    <w:rsid w:val="00673A62"/>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3239"/>
    <w:rsid w:val="006940CB"/>
    <w:rsid w:val="00694991"/>
    <w:rsid w:val="00694B55"/>
    <w:rsid w:val="00696F4A"/>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4547"/>
    <w:rsid w:val="006B54E6"/>
    <w:rsid w:val="006B5FD4"/>
    <w:rsid w:val="006C01BE"/>
    <w:rsid w:val="006C0859"/>
    <w:rsid w:val="006C0B43"/>
    <w:rsid w:val="006C157E"/>
    <w:rsid w:val="006C2574"/>
    <w:rsid w:val="006C2769"/>
    <w:rsid w:val="006C617F"/>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5A5C"/>
    <w:rsid w:val="006F7CFD"/>
    <w:rsid w:val="0070026A"/>
    <w:rsid w:val="007006BA"/>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58BC"/>
    <w:rsid w:val="00725A04"/>
    <w:rsid w:val="00725D6E"/>
    <w:rsid w:val="00726F41"/>
    <w:rsid w:val="00727995"/>
    <w:rsid w:val="0073047C"/>
    <w:rsid w:val="0073102E"/>
    <w:rsid w:val="00731FE7"/>
    <w:rsid w:val="00732B08"/>
    <w:rsid w:val="0073367E"/>
    <w:rsid w:val="0073446E"/>
    <w:rsid w:val="00740318"/>
    <w:rsid w:val="0074057F"/>
    <w:rsid w:val="00740B34"/>
    <w:rsid w:val="0074108E"/>
    <w:rsid w:val="0074184D"/>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90A18"/>
    <w:rsid w:val="007910CE"/>
    <w:rsid w:val="007932DA"/>
    <w:rsid w:val="00793B62"/>
    <w:rsid w:val="00795FC7"/>
    <w:rsid w:val="00797609"/>
    <w:rsid w:val="0079769D"/>
    <w:rsid w:val="007A089E"/>
    <w:rsid w:val="007A31AB"/>
    <w:rsid w:val="007A38FB"/>
    <w:rsid w:val="007A457E"/>
    <w:rsid w:val="007B094C"/>
    <w:rsid w:val="007B154D"/>
    <w:rsid w:val="007B17BA"/>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BD0"/>
    <w:rsid w:val="007C225D"/>
    <w:rsid w:val="007C2555"/>
    <w:rsid w:val="007C28DB"/>
    <w:rsid w:val="007C53E5"/>
    <w:rsid w:val="007C6690"/>
    <w:rsid w:val="007C6E58"/>
    <w:rsid w:val="007C763E"/>
    <w:rsid w:val="007C7FE6"/>
    <w:rsid w:val="007D13E3"/>
    <w:rsid w:val="007D1AE6"/>
    <w:rsid w:val="007D236C"/>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6DEC"/>
    <w:rsid w:val="00826EDE"/>
    <w:rsid w:val="00827E74"/>
    <w:rsid w:val="00827F09"/>
    <w:rsid w:val="008311FB"/>
    <w:rsid w:val="008329F7"/>
    <w:rsid w:val="00833656"/>
    <w:rsid w:val="00834288"/>
    <w:rsid w:val="00834AF5"/>
    <w:rsid w:val="00836899"/>
    <w:rsid w:val="0084092E"/>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2FA0"/>
    <w:rsid w:val="00854338"/>
    <w:rsid w:val="0085487D"/>
    <w:rsid w:val="00855190"/>
    <w:rsid w:val="00855C5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817AC"/>
    <w:rsid w:val="0088229F"/>
    <w:rsid w:val="008828A7"/>
    <w:rsid w:val="00882FE9"/>
    <w:rsid w:val="00886714"/>
    <w:rsid w:val="00886F18"/>
    <w:rsid w:val="008877C9"/>
    <w:rsid w:val="008906A5"/>
    <w:rsid w:val="008916CB"/>
    <w:rsid w:val="0089242B"/>
    <w:rsid w:val="0089357A"/>
    <w:rsid w:val="00894F1C"/>
    <w:rsid w:val="008953E1"/>
    <w:rsid w:val="008965BC"/>
    <w:rsid w:val="0089710B"/>
    <w:rsid w:val="00897748"/>
    <w:rsid w:val="00897B5D"/>
    <w:rsid w:val="00897BA4"/>
    <w:rsid w:val="008A02FB"/>
    <w:rsid w:val="008A08BF"/>
    <w:rsid w:val="008A1171"/>
    <w:rsid w:val="008A1D20"/>
    <w:rsid w:val="008A3376"/>
    <w:rsid w:val="008A4605"/>
    <w:rsid w:val="008A7589"/>
    <w:rsid w:val="008B360A"/>
    <w:rsid w:val="008B3F4F"/>
    <w:rsid w:val="008B5997"/>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5C70"/>
    <w:rsid w:val="008E5DEB"/>
    <w:rsid w:val="008E624A"/>
    <w:rsid w:val="008E65A6"/>
    <w:rsid w:val="008F0210"/>
    <w:rsid w:val="008F1236"/>
    <w:rsid w:val="008F16AA"/>
    <w:rsid w:val="008F3791"/>
    <w:rsid w:val="008F4FE7"/>
    <w:rsid w:val="008F5F2F"/>
    <w:rsid w:val="008F605B"/>
    <w:rsid w:val="008F7B13"/>
    <w:rsid w:val="00901674"/>
    <w:rsid w:val="00903BE5"/>
    <w:rsid w:val="00904365"/>
    <w:rsid w:val="00904764"/>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3154A"/>
    <w:rsid w:val="00933855"/>
    <w:rsid w:val="00934789"/>
    <w:rsid w:val="00934901"/>
    <w:rsid w:val="00934E93"/>
    <w:rsid w:val="009361A3"/>
    <w:rsid w:val="00936302"/>
    <w:rsid w:val="00937A20"/>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C54"/>
    <w:rsid w:val="00975E79"/>
    <w:rsid w:val="00975FFA"/>
    <w:rsid w:val="00980F48"/>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5059"/>
    <w:rsid w:val="009A7FD5"/>
    <w:rsid w:val="009B293C"/>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46D7"/>
    <w:rsid w:val="009D6586"/>
    <w:rsid w:val="009D7110"/>
    <w:rsid w:val="009D7EA5"/>
    <w:rsid w:val="009E091B"/>
    <w:rsid w:val="009E0E96"/>
    <w:rsid w:val="009E18BC"/>
    <w:rsid w:val="009E289D"/>
    <w:rsid w:val="009E4780"/>
    <w:rsid w:val="009E5FE3"/>
    <w:rsid w:val="009E60F8"/>
    <w:rsid w:val="009E68A4"/>
    <w:rsid w:val="009F001F"/>
    <w:rsid w:val="009F224A"/>
    <w:rsid w:val="009F2268"/>
    <w:rsid w:val="009F35DE"/>
    <w:rsid w:val="009F3C9E"/>
    <w:rsid w:val="009F580B"/>
    <w:rsid w:val="009F59C9"/>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FCC"/>
    <w:rsid w:val="00A2121D"/>
    <w:rsid w:val="00A225CD"/>
    <w:rsid w:val="00A242D1"/>
    <w:rsid w:val="00A243D6"/>
    <w:rsid w:val="00A31CE0"/>
    <w:rsid w:val="00A32078"/>
    <w:rsid w:val="00A33D33"/>
    <w:rsid w:val="00A345D5"/>
    <w:rsid w:val="00A34FAA"/>
    <w:rsid w:val="00A35B52"/>
    <w:rsid w:val="00A37E39"/>
    <w:rsid w:val="00A409D0"/>
    <w:rsid w:val="00A40F07"/>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6A6D"/>
    <w:rsid w:val="00A976B1"/>
    <w:rsid w:val="00AA0C55"/>
    <w:rsid w:val="00AA30C1"/>
    <w:rsid w:val="00AA3361"/>
    <w:rsid w:val="00AA4333"/>
    <w:rsid w:val="00AA46D6"/>
    <w:rsid w:val="00AA48DF"/>
    <w:rsid w:val="00AA4C86"/>
    <w:rsid w:val="00AA56E7"/>
    <w:rsid w:val="00AA76F1"/>
    <w:rsid w:val="00AA7878"/>
    <w:rsid w:val="00AA7BCB"/>
    <w:rsid w:val="00AB0317"/>
    <w:rsid w:val="00AB0E9F"/>
    <w:rsid w:val="00AB1A8A"/>
    <w:rsid w:val="00AB1B3A"/>
    <w:rsid w:val="00AB1D31"/>
    <w:rsid w:val="00AB3BBD"/>
    <w:rsid w:val="00AB5F6D"/>
    <w:rsid w:val="00AC1020"/>
    <w:rsid w:val="00AC1A4B"/>
    <w:rsid w:val="00AC262A"/>
    <w:rsid w:val="00AC2DE0"/>
    <w:rsid w:val="00AC48F6"/>
    <w:rsid w:val="00AC4C84"/>
    <w:rsid w:val="00AC5AF5"/>
    <w:rsid w:val="00AC659E"/>
    <w:rsid w:val="00AC67F9"/>
    <w:rsid w:val="00AD116F"/>
    <w:rsid w:val="00AD20E1"/>
    <w:rsid w:val="00AD340E"/>
    <w:rsid w:val="00AD4D84"/>
    <w:rsid w:val="00AD7147"/>
    <w:rsid w:val="00AD7308"/>
    <w:rsid w:val="00AE16D7"/>
    <w:rsid w:val="00AE1AFA"/>
    <w:rsid w:val="00AE1B9C"/>
    <w:rsid w:val="00AE35AF"/>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3AB9"/>
    <w:rsid w:val="00B14377"/>
    <w:rsid w:val="00B17EB4"/>
    <w:rsid w:val="00B22FF6"/>
    <w:rsid w:val="00B24529"/>
    <w:rsid w:val="00B25543"/>
    <w:rsid w:val="00B26B77"/>
    <w:rsid w:val="00B275F7"/>
    <w:rsid w:val="00B3107B"/>
    <w:rsid w:val="00B31DF8"/>
    <w:rsid w:val="00B32D0F"/>
    <w:rsid w:val="00B3366A"/>
    <w:rsid w:val="00B33C03"/>
    <w:rsid w:val="00B33D79"/>
    <w:rsid w:val="00B35049"/>
    <w:rsid w:val="00B35E87"/>
    <w:rsid w:val="00B36EDC"/>
    <w:rsid w:val="00B408A4"/>
    <w:rsid w:val="00B40BF4"/>
    <w:rsid w:val="00B427B8"/>
    <w:rsid w:val="00B42A58"/>
    <w:rsid w:val="00B42AD0"/>
    <w:rsid w:val="00B46159"/>
    <w:rsid w:val="00B4631F"/>
    <w:rsid w:val="00B474C9"/>
    <w:rsid w:val="00B50E09"/>
    <w:rsid w:val="00B512D1"/>
    <w:rsid w:val="00B51D30"/>
    <w:rsid w:val="00B558EF"/>
    <w:rsid w:val="00B55CBC"/>
    <w:rsid w:val="00B56B43"/>
    <w:rsid w:val="00B56CF9"/>
    <w:rsid w:val="00B56D14"/>
    <w:rsid w:val="00B5796B"/>
    <w:rsid w:val="00B612FD"/>
    <w:rsid w:val="00B61F2B"/>
    <w:rsid w:val="00B63B1C"/>
    <w:rsid w:val="00B63ED0"/>
    <w:rsid w:val="00B64370"/>
    <w:rsid w:val="00B65152"/>
    <w:rsid w:val="00B668F1"/>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D03F0"/>
    <w:rsid w:val="00BD0722"/>
    <w:rsid w:val="00BD0C2F"/>
    <w:rsid w:val="00BD2769"/>
    <w:rsid w:val="00BD2B12"/>
    <w:rsid w:val="00BD343B"/>
    <w:rsid w:val="00BD46EA"/>
    <w:rsid w:val="00BD4904"/>
    <w:rsid w:val="00BD59DA"/>
    <w:rsid w:val="00BD5EB8"/>
    <w:rsid w:val="00BD6125"/>
    <w:rsid w:val="00BD6611"/>
    <w:rsid w:val="00BD66B5"/>
    <w:rsid w:val="00BD687A"/>
    <w:rsid w:val="00BD7AFD"/>
    <w:rsid w:val="00BD7F69"/>
    <w:rsid w:val="00BE1535"/>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8CF"/>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607A2"/>
    <w:rsid w:val="00C6484D"/>
    <w:rsid w:val="00C6489A"/>
    <w:rsid w:val="00C6556B"/>
    <w:rsid w:val="00C65964"/>
    <w:rsid w:val="00C65D56"/>
    <w:rsid w:val="00C666D0"/>
    <w:rsid w:val="00C66D30"/>
    <w:rsid w:val="00C66EFE"/>
    <w:rsid w:val="00C70CC5"/>
    <w:rsid w:val="00C71C38"/>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7169"/>
    <w:rsid w:val="00CD0480"/>
    <w:rsid w:val="00CD1B34"/>
    <w:rsid w:val="00CD39C9"/>
    <w:rsid w:val="00CD4491"/>
    <w:rsid w:val="00CD47D5"/>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60D8"/>
    <w:rsid w:val="00CE619B"/>
    <w:rsid w:val="00CE7D17"/>
    <w:rsid w:val="00CF12DD"/>
    <w:rsid w:val="00CF27D7"/>
    <w:rsid w:val="00CF3FE7"/>
    <w:rsid w:val="00CF4894"/>
    <w:rsid w:val="00CF6981"/>
    <w:rsid w:val="00CF6FA0"/>
    <w:rsid w:val="00D00641"/>
    <w:rsid w:val="00D00794"/>
    <w:rsid w:val="00D01EFE"/>
    <w:rsid w:val="00D02704"/>
    <w:rsid w:val="00D02BE8"/>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83C"/>
    <w:rsid w:val="00D27901"/>
    <w:rsid w:val="00D33364"/>
    <w:rsid w:val="00D334FE"/>
    <w:rsid w:val="00D3356F"/>
    <w:rsid w:val="00D339B9"/>
    <w:rsid w:val="00D33F6A"/>
    <w:rsid w:val="00D34F7D"/>
    <w:rsid w:val="00D356CF"/>
    <w:rsid w:val="00D35FF7"/>
    <w:rsid w:val="00D36488"/>
    <w:rsid w:val="00D376A7"/>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270"/>
    <w:rsid w:val="00D55BCA"/>
    <w:rsid w:val="00D57A90"/>
    <w:rsid w:val="00D60AE9"/>
    <w:rsid w:val="00D61D8A"/>
    <w:rsid w:val="00D62118"/>
    <w:rsid w:val="00D6227F"/>
    <w:rsid w:val="00D6362D"/>
    <w:rsid w:val="00D63A75"/>
    <w:rsid w:val="00D63E6D"/>
    <w:rsid w:val="00D63EC8"/>
    <w:rsid w:val="00D65DC2"/>
    <w:rsid w:val="00D67087"/>
    <w:rsid w:val="00D679BC"/>
    <w:rsid w:val="00D70454"/>
    <w:rsid w:val="00D71F4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E35"/>
    <w:rsid w:val="00D94461"/>
    <w:rsid w:val="00D955B3"/>
    <w:rsid w:val="00D958F4"/>
    <w:rsid w:val="00D9675F"/>
    <w:rsid w:val="00DA26DE"/>
    <w:rsid w:val="00DA2AF8"/>
    <w:rsid w:val="00DB11C5"/>
    <w:rsid w:val="00DB1DC3"/>
    <w:rsid w:val="00DB30CE"/>
    <w:rsid w:val="00DB3934"/>
    <w:rsid w:val="00DB45D0"/>
    <w:rsid w:val="00DB48FB"/>
    <w:rsid w:val="00DB620E"/>
    <w:rsid w:val="00DB6253"/>
    <w:rsid w:val="00DB758B"/>
    <w:rsid w:val="00DC2A62"/>
    <w:rsid w:val="00DC3AC8"/>
    <w:rsid w:val="00DC5A2F"/>
    <w:rsid w:val="00DC61EA"/>
    <w:rsid w:val="00DC7325"/>
    <w:rsid w:val="00DC7B60"/>
    <w:rsid w:val="00DD0DFA"/>
    <w:rsid w:val="00DD0FB9"/>
    <w:rsid w:val="00DD1874"/>
    <w:rsid w:val="00DD18A0"/>
    <w:rsid w:val="00DD2003"/>
    <w:rsid w:val="00DD393E"/>
    <w:rsid w:val="00DD41FC"/>
    <w:rsid w:val="00DD54E5"/>
    <w:rsid w:val="00DD5720"/>
    <w:rsid w:val="00DD5D32"/>
    <w:rsid w:val="00DD69CB"/>
    <w:rsid w:val="00DE0784"/>
    <w:rsid w:val="00DE0CF5"/>
    <w:rsid w:val="00DE5D6F"/>
    <w:rsid w:val="00DE788E"/>
    <w:rsid w:val="00DF0887"/>
    <w:rsid w:val="00DF0FDA"/>
    <w:rsid w:val="00DF1E27"/>
    <w:rsid w:val="00DF3CE6"/>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59E"/>
    <w:rsid w:val="00E52314"/>
    <w:rsid w:val="00E532D8"/>
    <w:rsid w:val="00E53874"/>
    <w:rsid w:val="00E53C32"/>
    <w:rsid w:val="00E55864"/>
    <w:rsid w:val="00E55A83"/>
    <w:rsid w:val="00E55D67"/>
    <w:rsid w:val="00E57154"/>
    <w:rsid w:val="00E6349A"/>
    <w:rsid w:val="00E635FC"/>
    <w:rsid w:val="00E63B43"/>
    <w:rsid w:val="00E63E8D"/>
    <w:rsid w:val="00E640DE"/>
    <w:rsid w:val="00E668B7"/>
    <w:rsid w:val="00E66DFC"/>
    <w:rsid w:val="00E67BB7"/>
    <w:rsid w:val="00E70E1E"/>
    <w:rsid w:val="00E72CB3"/>
    <w:rsid w:val="00E72CB9"/>
    <w:rsid w:val="00E74B39"/>
    <w:rsid w:val="00E80D12"/>
    <w:rsid w:val="00E82936"/>
    <w:rsid w:val="00E8304E"/>
    <w:rsid w:val="00E86F6C"/>
    <w:rsid w:val="00E910F8"/>
    <w:rsid w:val="00E961B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F09"/>
    <w:rsid w:val="00EC7E81"/>
    <w:rsid w:val="00ED0F13"/>
    <w:rsid w:val="00ED2006"/>
    <w:rsid w:val="00ED225E"/>
    <w:rsid w:val="00ED2620"/>
    <w:rsid w:val="00ED2CAB"/>
    <w:rsid w:val="00ED32A3"/>
    <w:rsid w:val="00ED3B86"/>
    <w:rsid w:val="00ED4F66"/>
    <w:rsid w:val="00ED59C1"/>
    <w:rsid w:val="00ED5EF2"/>
    <w:rsid w:val="00ED72AB"/>
    <w:rsid w:val="00ED7B4A"/>
    <w:rsid w:val="00EE2DA3"/>
    <w:rsid w:val="00EE3987"/>
    <w:rsid w:val="00EE3CE6"/>
    <w:rsid w:val="00EE45B2"/>
    <w:rsid w:val="00EE4A97"/>
    <w:rsid w:val="00EE4DCD"/>
    <w:rsid w:val="00EE5354"/>
    <w:rsid w:val="00EE53BA"/>
    <w:rsid w:val="00EE53BD"/>
    <w:rsid w:val="00EE67BB"/>
    <w:rsid w:val="00EE7876"/>
    <w:rsid w:val="00EF0DFB"/>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E82"/>
    <w:rsid w:val="00FE27EC"/>
    <w:rsid w:val="00FE3215"/>
    <w:rsid w:val="00FE3BC5"/>
    <w:rsid w:val="00FE40BD"/>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DA-24-166A1.pdf" TargetMode="External"/><Relationship Id="rId2" Type="http://schemas.openxmlformats.org/officeDocument/2006/relationships/hyperlink" Target="https://ised-isde.canada.ca/site/certification-engineering-bureau/en/node/116" TargetMode="External"/><Relationship Id="rId1" Type="http://schemas.openxmlformats.org/officeDocument/2006/relationships/hyperlink" Target="https://6ghz.wirelessinnovation.org/baseline-standards" TargetMode="External"/><Relationship Id="rId5" Type="http://schemas.openxmlformats.org/officeDocument/2006/relationships/hyperlink" Target="https://www.fcc.gov/document/oet-announces-conditional-approval-6-ghz-band-afc-systems" TargetMode="External"/><Relationship Id="rId4" Type="http://schemas.openxmlformats.org/officeDocument/2006/relationships/hyperlink" Target="https://www.intel.com/content/www/us/en/wireless-network/spectrum-using-automated-frequency-coordin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F06D0-82AC-4AA0-989C-925341B0E282}">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11</TotalTime>
  <Pages>4</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18-24/0095r1</vt:lpstr>
    </vt:vector>
  </TitlesOfParts>
  <Company>Some Company</Company>
  <LinksUpToDate>false</LinksUpToDate>
  <CharactersWithSpaces>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18-24/0095r1</dc:title>
  <dc:subject>Submission</dc:subject>
  <dc:creator>Editor</dc:creator>
  <dc:description>Proposed response to Saudi Arabic CSA's consultation on spectrum outlook</dc:description>
  <cp:lastModifiedBy>Edward Au</cp:lastModifiedBy>
  <cp:revision>13</cp:revision>
  <cp:lastPrinted>2024-03-15T14:29:00Z</cp:lastPrinted>
  <dcterms:created xsi:type="dcterms:W3CDTF">2024-09-26T14:30:00Z</dcterms:created>
  <dcterms:modified xsi:type="dcterms:W3CDTF">2024-09-29T17:12:00Z</dcterms:modified>
  <dc:language>sv-SE</dc:language>
</cp:coreProperties>
</file>