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604E62">
            <w:pPr>
              <w:pStyle w:val="T2"/>
              <w:ind w:left="0"/>
              <w:rPr>
                <w:sz w:val="20"/>
              </w:rPr>
            </w:pPr>
            <w:r>
              <w:rPr>
                <w:sz w:val="20"/>
              </w:rPr>
              <w:t>Date:</w:t>
            </w:r>
            <w:r>
              <w:rPr>
                <w:b w:val="0"/>
                <w:sz w:val="20"/>
              </w:rPr>
              <w:t xml:space="preserve"> </w:t>
            </w:r>
            <w:r w:rsidR="004C6CA6">
              <w:rPr>
                <w:b w:val="0"/>
                <w:sz w:val="20"/>
              </w:rPr>
              <w:t xml:space="preserve"> </w:t>
            </w:r>
            <w:r w:rsidR="00604E62">
              <w:rPr>
                <w:b w:val="0"/>
                <w:sz w:val="20"/>
              </w:rPr>
              <w:t>16 January 2025</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944DA0">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944DA0">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944DA0">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944DA0">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944DA0">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944DA0">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 xml:space="preserve">Hassan </w:t>
      </w:r>
      <w:proofErr w:type="spellStart"/>
      <w:r w:rsidR="00AF3B5D">
        <w:rPr>
          <w:rFonts w:ascii="Arial" w:hAnsi="Arial" w:cs="Arial"/>
        </w:rPr>
        <w:t>Yaghoobi</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944DA0"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 xml:space="preserve">Hassan </w:t>
      </w:r>
      <w:proofErr w:type="spellStart"/>
      <w:r w:rsidR="007504EE">
        <w:rPr>
          <w:rFonts w:ascii="Arial" w:hAnsi="Arial" w:cs="Arial"/>
        </w:rPr>
        <w:t>Yaghoobi</w:t>
      </w:r>
      <w:proofErr w:type="spellEnd"/>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944DA0"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 xml:space="preserve">Gaurav </w:t>
      </w:r>
      <w:proofErr w:type="spellStart"/>
      <w:r w:rsidR="002B70C3">
        <w:rPr>
          <w:rFonts w:ascii="Arial" w:hAnsi="Arial" w:cs="Arial"/>
        </w:rPr>
        <w:t>Patwardhan</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 xml:space="preserve">Hassan </w:t>
      </w:r>
      <w:proofErr w:type="spellStart"/>
      <w:r w:rsidR="002B70C3">
        <w:rPr>
          <w:rFonts w:ascii="Arial" w:hAnsi="Arial" w:cs="Arial"/>
        </w:rPr>
        <w:t>Yaghoobi</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944DA0"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 xml:space="preserve">Gaurav </w:t>
      </w:r>
      <w:proofErr w:type="spellStart"/>
      <w:r w:rsidR="00F62EF6">
        <w:rPr>
          <w:rFonts w:ascii="Arial" w:hAnsi="Arial" w:cs="Arial"/>
        </w:rPr>
        <w:t>Patwardhan</w:t>
      </w:r>
      <w:proofErr w:type="spellEnd"/>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944DA0"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w:t>
      </w:r>
      <w:proofErr w:type="spellStart"/>
      <w:r w:rsidRPr="008F4F6F">
        <w:rPr>
          <w:rFonts w:ascii="Arial" w:hAnsi="Arial" w:cs="Arial"/>
        </w:rPr>
        <w:t>Instituto</w:t>
      </w:r>
      <w:proofErr w:type="spellEnd"/>
      <w:r w:rsidRPr="008F4F6F">
        <w:rPr>
          <w:rFonts w:ascii="Arial" w:hAnsi="Arial" w:cs="Arial"/>
        </w:rPr>
        <w:t xml:space="preserve"> Federal de </w:t>
      </w:r>
      <w:proofErr w:type="spellStart"/>
      <w:r w:rsidRPr="008F4F6F">
        <w:rPr>
          <w:rFonts w:ascii="Arial" w:hAnsi="Arial" w:cs="Arial"/>
        </w:rPr>
        <w:t>Telecomunicaciones</w:t>
      </w:r>
      <w:proofErr w:type="spellEnd"/>
      <w:r w:rsidRPr="008F4F6F">
        <w:rPr>
          <w:rFonts w:ascii="Arial" w:hAnsi="Arial" w:cs="Arial"/>
        </w:rPr>
        <w:t xml:space="preserve">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 xml:space="preserve">Hassan </w:t>
      </w:r>
      <w:proofErr w:type="spellStart"/>
      <w:r w:rsidR="008F4F6F">
        <w:rPr>
          <w:rFonts w:ascii="Arial" w:hAnsi="Arial" w:cs="Arial"/>
        </w:rPr>
        <w:t>Yaghoobi</w:t>
      </w:r>
      <w:proofErr w:type="spellEnd"/>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w:t>
      </w:r>
      <w:proofErr w:type="spellStart"/>
      <w:r w:rsidRPr="005556A0">
        <w:rPr>
          <w:rFonts w:ascii="Arial" w:hAnsi="Arial" w:cs="Arial"/>
        </w:rPr>
        <w:t>IoT</w:t>
      </w:r>
      <w:proofErr w:type="spellEnd"/>
      <w:r w:rsidRPr="005556A0">
        <w:rPr>
          <w:rFonts w:ascii="Arial" w:hAnsi="Arial" w:cs="Arial"/>
        </w:rPr>
        <w:t xml:space="preserve">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944DA0">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944DA0"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944DA0" w:rsidP="00B459AE">
      <w:pPr>
        <w:rPr>
          <w:rFonts w:ascii="Arial" w:hAnsi="Arial" w:cs="Arial"/>
          <w:u w:val="single"/>
        </w:rPr>
      </w:pPr>
      <w:hyperlink r:id="rId38" w:history="1">
        <w:r w:rsidR="00B459AE" w:rsidRPr="00C217EE">
          <w:rPr>
            <w:rStyle w:val="Hyperlink"/>
            <w:rFonts w:ascii="Arial" w:hAnsi="Arial" w:cs="Arial"/>
          </w:rPr>
          <w:t>https://mentor.ieee.org/802.18/dcn/24/18-24-0104-03-0000-rr-tag-agenda-24-october-2024.pptx</w:t>
        </w:r>
      </w:hyperlink>
      <w:r w:rsidR="00B459AE">
        <w:rPr>
          <w:rFonts w:ascii="Arial" w:hAnsi="Arial" w:cs="Arial"/>
          <w:u w:val="single"/>
        </w:rPr>
        <w:t xml:space="preserve"> </w:t>
      </w:r>
    </w:p>
    <w:p w:rsidR="00B459AE" w:rsidRPr="005556A0" w:rsidRDefault="00B459AE" w:rsidP="00B459AE">
      <w:pPr>
        <w:rPr>
          <w:rFonts w:ascii="Arial" w:hAnsi="Arial" w:cs="Arial"/>
        </w:rPr>
      </w:pPr>
    </w:p>
    <w:p w:rsidR="00B24B73" w:rsidRDefault="00B24B73">
      <w:pPr>
        <w:rPr>
          <w:rFonts w:ascii="Arial" w:hAnsi="Arial" w:cs="Arial"/>
          <w:b/>
          <w:u w:val="single"/>
        </w:rPr>
      </w:pPr>
      <w:r>
        <w:rPr>
          <w:rFonts w:ascii="Arial" w:hAnsi="Arial" w:cs="Arial"/>
          <w:b/>
          <w:u w:val="single"/>
        </w:rPr>
        <w:br w:type="page"/>
      </w:r>
    </w:p>
    <w:p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rsidR="00B24B73" w:rsidRDefault="00B24B73" w:rsidP="00B24B73">
      <w:pPr>
        <w:jc w:val="both"/>
        <w:rPr>
          <w:rFonts w:ascii="Arial" w:hAnsi="Arial" w:cs="Arial"/>
        </w:rPr>
      </w:pPr>
    </w:p>
    <w:p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rsidR="00B24B73" w:rsidRDefault="00B24B73" w:rsidP="00B24B73">
      <w:pPr>
        <w:rPr>
          <w:rFonts w:ascii="Arial" w:hAnsi="Arial" w:cs="Arial"/>
        </w:rPr>
      </w:pPr>
    </w:p>
    <w:p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Gaurav </w:t>
      </w:r>
      <w:proofErr w:type="spellStart"/>
      <w:r>
        <w:rPr>
          <w:rFonts w:ascii="Arial" w:hAnsi="Arial" w:cs="Arial"/>
        </w:rPr>
        <w:t>Patwardhan</w:t>
      </w:r>
      <w:proofErr w:type="spellEnd"/>
    </w:p>
    <w:p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620DC" w:rsidRDefault="001620DC" w:rsidP="00B24B73">
      <w:pPr>
        <w:tabs>
          <w:tab w:val="left" w:pos="1260"/>
        </w:tabs>
        <w:rPr>
          <w:rFonts w:ascii="Arial" w:hAnsi="Arial" w:cs="Arial"/>
        </w:rPr>
      </w:pPr>
    </w:p>
    <w:p w:rsidR="001620DC" w:rsidRDefault="00944DA0" w:rsidP="00B24B73">
      <w:pPr>
        <w:tabs>
          <w:tab w:val="left" w:pos="1260"/>
        </w:tabs>
        <w:rPr>
          <w:rFonts w:ascii="Arial" w:hAnsi="Arial" w:cs="Arial"/>
        </w:rPr>
      </w:pPr>
      <w:hyperlink r:id="rId40" w:history="1">
        <w:r w:rsidR="004408D1" w:rsidRPr="00273C6B">
          <w:rPr>
            <w:rStyle w:val="Hyperlink"/>
            <w:rFonts w:ascii="Arial" w:hAnsi="Arial" w:cs="Arial"/>
          </w:rPr>
          <w:t>https://mentor.ieee.org/802.18/dcn/24/18-24-0111-02-0000-rr-tag-agenda-7-november-2024.pptx</w:t>
        </w:r>
      </w:hyperlink>
      <w:r w:rsidR="004408D1">
        <w:rPr>
          <w:rFonts w:ascii="Arial" w:hAnsi="Arial" w:cs="Arial"/>
        </w:rPr>
        <w:t xml:space="preserve">  </w:t>
      </w:r>
    </w:p>
    <w:p w:rsidR="004408D1" w:rsidRDefault="004408D1">
      <w:pPr>
        <w:rPr>
          <w:rFonts w:ascii="Arial" w:hAnsi="Arial" w:cs="Arial"/>
          <w:b/>
          <w:u w:val="single"/>
        </w:rPr>
      </w:pPr>
      <w:r>
        <w:rPr>
          <w:rFonts w:ascii="Arial" w:hAnsi="Arial" w:cs="Arial"/>
          <w:b/>
          <w:u w:val="single"/>
        </w:rPr>
        <w:br w:type="page"/>
      </w:r>
    </w:p>
    <w:p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rsidR="004408D1" w:rsidRDefault="004408D1" w:rsidP="004408D1">
      <w:pPr>
        <w:jc w:val="both"/>
        <w:rPr>
          <w:rFonts w:ascii="Arial" w:hAnsi="Arial" w:cs="Arial"/>
        </w:rPr>
      </w:pPr>
    </w:p>
    <w:p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rsidR="004408D1" w:rsidRDefault="004408D1" w:rsidP="004408D1">
      <w:pPr>
        <w:rPr>
          <w:rFonts w:ascii="Arial" w:hAnsi="Arial" w:cs="Arial"/>
        </w:rPr>
      </w:pPr>
    </w:p>
    <w:p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 xml:space="preserve">Al </w:t>
      </w:r>
      <w:proofErr w:type="spellStart"/>
      <w:r w:rsidR="00BA5DBD">
        <w:rPr>
          <w:rFonts w:ascii="Arial" w:hAnsi="Arial" w:cs="Arial"/>
        </w:rPr>
        <w:t>Petrick</w:t>
      </w:r>
      <w:proofErr w:type="spellEnd"/>
    </w:p>
    <w:p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 xml:space="preserve">Dave </w:t>
      </w:r>
      <w:proofErr w:type="spellStart"/>
      <w:r w:rsidR="00BA5DBD">
        <w:rPr>
          <w:rFonts w:ascii="Arial" w:hAnsi="Arial" w:cs="Arial"/>
        </w:rPr>
        <w:t>Halasz</w:t>
      </w:r>
      <w:proofErr w:type="spellEnd"/>
    </w:p>
    <w:p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A5DBD" w:rsidRDefault="00BA5DBD" w:rsidP="004408D1">
      <w:pPr>
        <w:tabs>
          <w:tab w:val="left" w:pos="1260"/>
        </w:tabs>
        <w:rPr>
          <w:rFonts w:ascii="Arial" w:hAnsi="Arial" w:cs="Arial"/>
        </w:rPr>
      </w:pPr>
    </w:p>
    <w:p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rsidR="004408D1" w:rsidRDefault="004408D1" w:rsidP="004408D1">
      <w:pPr>
        <w:tabs>
          <w:tab w:val="left" w:pos="1260"/>
        </w:tabs>
        <w:rPr>
          <w:rFonts w:ascii="Arial" w:hAnsi="Arial" w:cs="Arial"/>
        </w:rPr>
      </w:pPr>
    </w:p>
    <w:p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Gaurav </w:t>
      </w:r>
      <w:proofErr w:type="spellStart"/>
      <w:r>
        <w:rPr>
          <w:rFonts w:ascii="Arial" w:hAnsi="Arial" w:cs="Arial"/>
        </w:rPr>
        <w:t>Patwardhan</w:t>
      </w:r>
      <w:proofErr w:type="spellEnd"/>
    </w:p>
    <w:p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34725" w:rsidRDefault="00734725" w:rsidP="004408D1">
      <w:pPr>
        <w:tabs>
          <w:tab w:val="left" w:pos="1260"/>
        </w:tabs>
        <w:rPr>
          <w:rFonts w:ascii="Arial" w:hAnsi="Arial" w:cs="Arial"/>
        </w:rPr>
      </w:pPr>
    </w:p>
    <w:p w:rsidR="00BA5DBD" w:rsidRDefault="00944DA0" w:rsidP="004408D1">
      <w:pPr>
        <w:tabs>
          <w:tab w:val="left" w:pos="1260"/>
        </w:tabs>
        <w:rPr>
          <w:rFonts w:ascii="Arial" w:hAnsi="Arial" w:cs="Arial"/>
        </w:rPr>
      </w:pPr>
      <w:hyperlink r:id="rId43" w:history="1">
        <w:r w:rsidR="00BA5DBD" w:rsidRPr="00273C6B">
          <w:rPr>
            <w:rStyle w:val="Hyperlink"/>
            <w:rFonts w:ascii="Arial" w:hAnsi="Arial" w:cs="Arial"/>
          </w:rPr>
          <w:t>https://mentor.ieee.org/802.18/dcn/24/18-24-0097-02-0000-2024-november-rr-tag-supplementary-materials.pptx</w:t>
        </w:r>
      </w:hyperlink>
      <w:r w:rsidR="00BA5DBD">
        <w:rPr>
          <w:rFonts w:ascii="Arial" w:hAnsi="Arial" w:cs="Arial"/>
        </w:rPr>
        <w:t xml:space="preserve"> </w:t>
      </w:r>
    </w:p>
    <w:p w:rsidR="00723308" w:rsidRDefault="00723308">
      <w:pPr>
        <w:rPr>
          <w:rFonts w:ascii="Arial" w:hAnsi="Arial" w:cs="Arial"/>
          <w:b/>
          <w:u w:val="single"/>
        </w:rPr>
      </w:pPr>
      <w:r>
        <w:rPr>
          <w:rFonts w:ascii="Arial" w:hAnsi="Arial" w:cs="Arial"/>
          <w:b/>
          <w:u w:val="single"/>
        </w:rPr>
        <w:br w:type="page"/>
      </w:r>
    </w:p>
    <w:p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rsidR="00723308" w:rsidRDefault="00723308" w:rsidP="00723308">
      <w:pPr>
        <w:jc w:val="both"/>
        <w:rPr>
          <w:rFonts w:ascii="Arial" w:hAnsi="Arial" w:cs="Arial"/>
        </w:rPr>
      </w:pPr>
    </w:p>
    <w:p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rsidR="00723308" w:rsidRDefault="00723308" w:rsidP="00723308">
      <w:pPr>
        <w:rPr>
          <w:rFonts w:ascii="Arial" w:hAnsi="Arial" w:cs="Arial"/>
        </w:rPr>
      </w:pPr>
    </w:p>
    <w:p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 xml:space="preserve">Gaurav </w:t>
      </w:r>
      <w:proofErr w:type="spellStart"/>
      <w:r w:rsidR="00C43531">
        <w:rPr>
          <w:rFonts w:ascii="Arial" w:hAnsi="Arial" w:cs="Arial"/>
        </w:rPr>
        <w:t>Patwardhan</w:t>
      </w:r>
      <w:proofErr w:type="spellEnd"/>
    </w:p>
    <w:p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23308" w:rsidRDefault="00723308" w:rsidP="00723308">
      <w:pPr>
        <w:tabs>
          <w:tab w:val="left" w:pos="1260"/>
        </w:tabs>
        <w:rPr>
          <w:rFonts w:ascii="Arial" w:hAnsi="Arial" w:cs="Arial"/>
        </w:rPr>
      </w:pPr>
    </w:p>
    <w:p w:rsidR="00C43531" w:rsidRDefault="00944DA0" w:rsidP="00723308">
      <w:pPr>
        <w:tabs>
          <w:tab w:val="left" w:pos="1260"/>
        </w:tabs>
        <w:rPr>
          <w:rFonts w:ascii="Arial" w:hAnsi="Arial" w:cs="Arial"/>
        </w:rPr>
      </w:pPr>
      <w:hyperlink r:id="rId45" w:history="1">
        <w:r w:rsidR="00C43531" w:rsidRPr="00022C27">
          <w:rPr>
            <w:rStyle w:val="Hyperlink"/>
            <w:rFonts w:ascii="Arial" w:hAnsi="Arial" w:cs="Arial"/>
          </w:rPr>
          <w:t>https://mentor.ieee.org/802.18/dcn/24/18-24-0122-01-0000-rr-tag-agenda-5-december-2024.pptx</w:t>
        </w:r>
      </w:hyperlink>
      <w:r w:rsidR="00C43531">
        <w:rPr>
          <w:rFonts w:ascii="Arial" w:hAnsi="Arial" w:cs="Arial"/>
        </w:rPr>
        <w:t xml:space="preserve"> </w:t>
      </w:r>
    </w:p>
    <w:p w:rsidR="00431FB8" w:rsidRDefault="00431FB8">
      <w:pPr>
        <w:rPr>
          <w:rFonts w:ascii="Arial" w:hAnsi="Arial" w:cs="Arial"/>
          <w:b/>
          <w:u w:val="single"/>
        </w:rPr>
      </w:pPr>
      <w:r>
        <w:rPr>
          <w:rFonts w:ascii="Arial" w:hAnsi="Arial" w:cs="Arial"/>
          <w:b/>
          <w:u w:val="single"/>
        </w:rPr>
        <w:br w:type="page"/>
      </w:r>
    </w:p>
    <w:p w:rsidR="00431FB8" w:rsidRPr="000A45A3" w:rsidRDefault="00431FB8" w:rsidP="00431FB8">
      <w:pPr>
        <w:spacing w:before="120"/>
        <w:rPr>
          <w:rFonts w:ascii="Arial" w:hAnsi="Arial" w:cs="Arial"/>
          <w:b/>
          <w:u w:val="single"/>
        </w:rPr>
      </w:pPr>
      <w:r>
        <w:rPr>
          <w:rFonts w:ascii="Arial" w:hAnsi="Arial" w:cs="Arial"/>
          <w:b/>
          <w:u w:val="single"/>
        </w:rPr>
        <w:lastRenderedPageBreak/>
        <w:t>14 January</w:t>
      </w:r>
      <w:r>
        <w:rPr>
          <w:rFonts w:ascii="Arial" w:hAnsi="Arial" w:cs="Arial"/>
          <w:b/>
          <w:u w:val="single"/>
        </w:rPr>
        <w:t xml:space="preserve"> 202</w:t>
      </w:r>
      <w:r>
        <w:rPr>
          <w:rFonts w:ascii="Arial" w:hAnsi="Arial" w:cs="Arial"/>
          <w:b/>
          <w:u w:val="single"/>
        </w:rPr>
        <w:t>5</w:t>
      </w:r>
    </w:p>
    <w:p w:rsidR="00431FB8" w:rsidRDefault="00431FB8" w:rsidP="00431FB8">
      <w:pPr>
        <w:jc w:val="both"/>
        <w:rPr>
          <w:rFonts w:ascii="Arial" w:hAnsi="Arial" w:cs="Arial"/>
        </w:rPr>
      </w:pPr>
    </w:p>
    <w:p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rsidR="00431FB8" w:rsidRDefault="00431FB8" w:rsidP="00431FB8">
      <w:pPr>
        <w:rPr>
          <w:rFonts w:ascii="Arial" w:hAnsi="Arial" w:cs="Arial"/>
        </w:rPr>
      </w:pPr>
    </w:p>
    <w:p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 xml:space="preserve">James </w:t>
      </w:r>
      <w:proofErr w:type="spellStart"/>
      <w:r w:rsidR="00A70117">
        <w:rPr>
          <w:rFonts w:ascii="Arial" w:hAnsi="Arial" w:cs="Arial"/>
        </w:rPr>
        <w:t>Gilb</w:t>
      </w:r>
      <w:proofErr w:type="spellEnd"/>
    </w:p>
    <w:p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431FB8" w:rsidRDefault="00431FB8" w:rsidP="00431FB8">
      <w:pPr>
        <w:tabs>
          <w:tab w:val="left" w:pos="1260"/>
        </w:tabs>
        <w:rPr>
          <w:rFonts w:ascii="Arial" w:hAnsi="Arial" w:cs="Arial"/>
        </w:rPr>
      </w:pPr>
    </w:p>
    <w:p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rsidR="008B0F39" w:rsidRDefault="008B0F39">
      <w:pPr>
        <w:rPr>
          <w:rFonts w:ascii="Arial" w:hAnsi="Arial" w:cs="Arial"/>
          <w:b/>
          <w:u w:val="single"/>
        </w:rPr>
      </w:pPr>
      <w:r>
        <w:rPr>
          <w:rFonts w:ascii="Arial" w:hAnsi="Arial" w:cs="Arial"/>
          <w:b/>
          <w:u w:val="single"/>
        </w:rPr>
        <w:br w:type="page"/>
      </w:r>
    </w:p>
    <w:p w:rsidR="008B0F39" w:rsidRPr="000A45A3" w:rsidRDefault="008B0F39" w:rsidP="008B0F39">
      <w:pPr>
        <w:spacing w:before="120"/>
        <w:rPr>
          <w:rFonts w:ascii="Arial" w:hAnsi="Arial" w:cs="Arial"/>
          <w:b/>
          <w:u w:val="single"/>
        </w:rPr>
      </w:pPr>
      <w:r>
        <w:rPr>
          <w:rFonts w:ascii="Arial" w:hAnsi="Arial" w:cs="Arial"/>
          <w:b/>
          <w:u w:val="single"/>
        </w:rPr>
        <w:lastRenderedPageBreak/>
        <w:t>1</w:t>
      </w:r>
      <w:r>
        <w:rPr>
          <w:rFonts w:ascii="Arial" w:hAnsi="Arial" w:cs="Arial"/>
          <w:b/>
          <w:u w:val="single"/>
        </w:rPr>
        <w:t>6</w:t>
      </w:r>
      <w:r>
        <w:rPr>
          <w:rFonts w:ascii="Arial" w:hAnsi="Arial" w:cs="Arial"/>
          <w:b/>
          <w:u w:val="single"/>
        </w:rPr>
        <w:t xml:space="preserve"> January 2025</w:t>
      </w:r>
    </w:p>
    <w:p w:rsidR="008B0F39" w:rsidRDefault="008B0F39" w:rsidP="008B0F39">
      <w:pPr>
        <w:jc w:val="both"/>
        <w:rPr>
          <w:rFonts w:ascii="Arial" w:hAnsi="Arial" w:cs="Arial"/>
        </w:rPr>
      </w:pPr>
    </w:p>
    <w:p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bookmarkStart w:id="0" w:name="_GoBack"/>
      <w:bookmarkEnd w:id="0"/>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rsidR="008B0F39" w:rsidRDefault="008B0F39" w:rsidP="008B0F39">
      <w:pPr>
        <w:rPr>
          <w:rFonts w:ascii="Arial" w:hAnsi="Arial" w:cs="Arial"/>
        </w:rPr>
      </w:pPr>
    </w:p>
    <w:p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 xml:space="preserve">Gaurav </w:t>
      </w:r>
      <w:proofErr w:type="spellStart"/>
      <w:r>
        <w:rPr>
          <w:rFonts w:ascii="Arial" w:hAnsi="Arial" w:cs="Arial"/>
        </w:rPr>
        <w:t>Patwardhan</w:t>
      </w:r>
      <w:proofErr w:type="spellEnd"/>
    </w:p>
    <w:p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8B0F39" w:rsidRDefault="008B0F39" w:rsidP="008B0F39">
      <w:pPr>
        <w:tabs>
          <w:tab w:val="left" w:pos="1260"/>
        </w:tabs>
        <w:rPr>
          <w:rFonts w:ascii="Arial" w:hAnsi="Arial" w:cs="Arial"/>
        </w:rPr>
      </w:pPr>
    </w:p>
    <w:p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rsidTr="00031152">
        <w:tc>
          <w:tcPr>
            <w:cnfStyle w:val="001000000000" w:firstRow="0" w:lastRow="0" w:firstColumn="1" w:lastColumn="0" w:oddVBand="0" w:evenVBand="0" w:oddHBand="0" w:evenHBand="0" w:firstRowFirstColumn="0" w:firstRowLastColumn="0" w:lastRowFirstColumn="0" w:lastRowLastColumn="0"/>
            <w:tcW w:w="639" w:type="dxa"/>
          </w:tcPr>
          <w:p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rsidTr="00B06436">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135946" w:rsidRPr="00D2797F" w:rsidTr="00135946">
        <w:tc>
          <w:tcPr>
            <w:cnfStyle w:val="001000000000" w:firstRow="0" w:lastRow="0" w:firstColumn="1" w:lastColumn="0" w:oddVBand="0" w:evenVBand="0" w:oddHBand="0" w:evenHBand="0" w:firstRowFirstColumn="0" w:firstRowLastColumn="0" w:lastRowFirstColumn="0" w:lastRowLastColumn="0"/>
            <w:tcW w:w="639" w:type="dxa"/>
          </w:tcPr>
          <w:p w:rsidR="00135946" w:rsidRPr="00D2797F" w:rsidRDefault="00135946" w:rsidP="00135946">
            <w:pPr>
              <w:spacing w:before="60" w:after="60"/>
              <w:rPr>
                <w:rFonts w:ascii="Arial" w:hAnsi="Arial" w:cs="Arial"/>
                <w:sz w:val="18"/>
                <w:szCs w:val="18"/>
              </w:rPr>
            </w:pPr>
            <w:r>
              <w:rPr>
                <w:rFonts w:ascii="Arial" w:hAnsi="Arial" w:cs="Arial"/>
                <w:sz w:val="18"/>
                <w:szCs w:val="18"/>
              </w:rPr>
              <w:t>1</w:t>
            </w:r>
            <w:r>
              <w:rPr>
                <w:rFonts w:ascii="Arial" w:hAnsi="Arial" w:cs="Arial"/>
                <w:sz w:val="18"/>
                <w:szCs w:val="18"/>
              </w:rPr>
              <w:t>7</w:t>
            </w:r>
          </w:p>
        </w:tc>
        <w:tc>
          <w:tcPr>
            <w:tcW w:w="1876" w:type="dxa"/>
          </w:tcPr>
          <w:p w:rsidR="00135946" w:rsidRPr="00D2797F" w:rsidRDefault="00135946" w:rsidP="001452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rsidR="00135946" w:rsidRPr="00D2797F" w:rsidRDefault="00135946" w:rsidP="0013594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 xml:space="preserve">the </w:t>
            </w:r>
            <w:r w:rsidR="0005094C">
              <w:rPr>
                <w:rFonts w:ascii="Arial" w:hAnsi="Arial" w:cs="Arial"/>
                <w:sz w:val="18"/>
                <w:szCs w:val="18"/>
              </w:rPr>
              <w:t xml:space="preserve">opening meeting (14 January 2025) and the closing meeting (16 January 2025) of the </w:t>
            </w:r>
            <w:r>
              <w:rPr>
                <w:rFonts w:ascii="Arial" w:hAnsi="Arial" w:cs="Arial"/>
                <w:sz w:val="18"/>
                <w:szCs w:val="18"/>
              </w:rPr>
              <w:t>January 2025 interim</w:t>
            </w:r>
            <w:r>
              <w:rPr>
                <w:rFonts w:ascii="Arial" w:hAnsi="Arial" w:cs="Arial"/>
                <w:sz w:val="18"/>
                <w:szCs w:val="18"/>
              </w:rPr>
              <w:t>.</w:t>
            </w:r>
          </w:p>
        </w:tc>
      </w:tr>
    </w:tbl>
    <w:p w:rsidR="00AA4B89" w:rsidRDefault="00AA4B89" w:rsidP="00883DC3">
      <w:pPr>
        <w:tabs>
          <w:tab w:val="left" w:pos="1260"/>
        </w:tabs>
      </w:pPr>
    </w:p>
    <w:sectPr w:rsidR="00AA4B89">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A0" w:rsidRDefault="00944DA0">
      <w:r>
        <w:separator/>
      </w:r>
    </w:p>
  </w:endnote>
  <w:endnote w:type="continuationSeparator" w:id="0">
    <w:p w:rsidR="00944DA0" w:rsidRDefault="0094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DD4A06">
      <w:rPr>
        <w:noProof/>
        <w:lang w:val="fr-CA"/>
      </w:rPr>
      <w:t>20</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A0" w:rsidRDefault="00944DA0">
      <w:r>
        <w:separator/>
      </w:r>
    </w:p>
  </w:footnote>
  <w:footnote w:type="continuationSeparator" w:id="0">
    <w:p w:rsidR="00944DA0" w:rsidRDefault="0094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04E62">
    <w:pPr>
      <w:pStyle w:val="Header"/>
      <w:tabs>
        <w:tab w:val="clear" w:pos="6480"/>
        <w:tab w:val="center" w:pos="4680"/>
        <w:tab w:val="right" w:pos="9360"/>
      </w:tabs>
    </w:pPr>
    <w:r>
      <w:t>January 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C05953">
      <w:t>1</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210DC"/>
    <w:rsid w:val="0012142F"/>
    <w:rsid w:val="00130AEF"/>
    <w:rsid w:val="00135946"/>
    <w:rsid w:val="00147E92"/>
    <w:rsid w:val="001620DC"/>
    <w:rsid w:val="0016640D"/>
    <w:rsid w:val="00174FBC"/>
    <w:rsid w:val="00176C7D"/>
    <w:rsid w:val="001773DF"/>
    <w:rsid w:val="00180594"/>
    <w:rsid w:val="001816C7"/>
    <w:rsid w:val="001879CC"/>
    <w:rsid w:val="0019511A"/>
    <w:rsid w:val="001A02AB"/>
    <w:rsid w:val="001A3623"/>
    <w:rsid w:val="001D4E7D"/>
    <w:rsid w:val="001F1017"/>
    <w:rsid w:val="001F2638"/>
    <w:rsid w:val="001F579A"/>
    <w:rsid w:val="002004C8"/>
    <w:rsid w:val="002046E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B6987"/>
    <w:rsid w:val="003D13F8"/>
    <w:rsid w:val="003D4E62"/>
    <w:rsid w:val="003F71C0"/>
    <w:rsid w:val="004007D6"/>
    <w:rsid w:val="00401389"/>
    <w:rsid w:val="00404278"/>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97022"/>
    <w:rsid w:val="005A1528"/>
    <w:rsid w:val="005A75AD"/>
    <w:rsid w:val="005B2A9B"/>
    <w:rsid w:val="005B43F0"/>
    <w:rsid w:val="005C0019"/>
    <w:rsid w:val="005C4617"/>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7690"/>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0F39"/>
    <w:rsid w:val="008B2CF6"/>
    <w:rsid w:val="008C674B"/>
    <w:rsid w:val="008E3EA5"/>
    <w:rsid w:val="008E526F"/>
    <w:rsid w:val="008F23CB"/>
    <w:rsid w:val="008F394D"/>
    <w:rsid w:val="008F4F6F"/>
    <w:rsid w:val="008F6BD8"/>
    <w:rsid w:val="00903998"/>
    <w:rsid w:val="00903F05"/>
    <w:rsid w:val="00921017"/>
    <w:rsid w:val="009250AA"/>
    <w:rsid w:val="00931FEA"/>
    <w:rsid w:val="00936BCD"/>
    <w:rsid w:val="00944DA0"/>
    <w:rsid w:val="00986BAE"/>
    <w:rsid w:val="009A111D"/>
    <w:rsid w:val="009A1D5E"/>
    <w:rsid w:val="009A7064"/>
    <w:rsid w:val="00A00181"/>
    <w:rsid w:val="00A00555"/>
    <w:rsid w:val="00A058B5"/>
    <w:rsid w:val="00A13CFE"/>
    <w:rsid w:val="00A16E27"/>
    <w:rsid w:val="00A2202F"/>
    <w:rsid w:val="00A338DF"/>
    <w:rsid w:val="00A37F03"/>
    <w:rsid w:val="00A4610D"/>
    <w:rsid w:val="00A520D1"/>
    <w:rsid w:val="00A5469C"/>
    <w:rsid w:val="00A607CA"/>
    <w:rsid w:val="00A70117"/>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3364"/>
    <w:rsid w:val="00B24B73"/>
    <w:rsid w:val="00B26A8A"/>
    <w:rsid w:val="00B27B36"/>
    <w:rsid w:val="00B459AE"/>
    <w:rsid w:val="00B52F6A"/>
    <w:rsid w:val="00B61768"/>
    <w:rsid w:val="00B650CC"/>
    <w:rsid w:val="00B65456"/>
    <w:rsid w:val="00B9049C"/>
    <w:rsid w:val="00B95BF4"/>
    <w:rsid w:val="00BA5DBD"/>
    <w:rsid w:val="00BB03A1"/>
    <w:rsid w:val="00BC64C3"/>
    <w:rsid w:val="00BE0A99"/>
    <w:rsid w:val="00BE268C"/>
    <w:rsid w:val="00BE41F3"/>
    <w:rsid w:val="00BE56A2"/>
    <w:rsid w:val="00BF2630"/>
    <w:rsid w:val="00BF49C8"/>
    <w:rsid w:val="00C02B53"/>
    <w:rsid w:val="00C05953"/>
    <w:rsid w:val="00C160AE"/>
    <w:rsid w:val="00C23899"/>
    <w:rsid w:val="00C43531"/>
    <w:rsid w:val="00C56EFF"/>
    <w:rsid w:val="00C57AD3"/>
    <w:rsid w:val="00C62FC9"/>
    <w:rsid w:val="00C6360E"/>
    <w:rsid w:val="00C666F1"/>
    <w:rsid w:val="00C70577"/>
    <w:rsid w:val="00C70CF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D4A06"/>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hyperlink" Target="https://mentor.ieee.org/802.18/dcn/24/18-24-0112-02-0000-proposed-response-to-saudi-arabia-s-cst-consultation-re-6-ghz-af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50C7-2AC0-4EE5-9D94-9970E376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236</TotalTime>
  <Pages>21</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18-24/0033r16</vt:lpstr>
    </vt:vector>
  </TitlesOfParts>
  <Manager/>
  <Company>Some Company</Company>
  <LinksUpToDate>false</LinksUpToDate>
  <CharactersWithSpaces>22016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18-24/0033r17</dc:title>
  <dc:subject>Submission</dc:subject>
  <dc:creator>Edward Au</dc:creator>
  <cp:keywords>Compendium of motions for the term 2024 March to 2026 March</cp:keywords>
  <dc:description/>
  <cp:lastModifiedBy>Edward Au</cp:lastModifiedBy>
  <cp:revision>286</cp:revision>
  <dcterms:created xsi:type="dcterms:W3CDTF">2022-03-20T11:39:00Z</dcterms:created>
  <dcterms:modified xsi:type="dcterms:W3CDTF">2025-01-16T01:31:00Z</dcterms:modified>
  <cp:category/>
</cp:coreProperties>
</file>