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6 April</w:t>
            </w:r>
            <w:r>
              <w:rPr/>
              <w:t xml:space="preserve">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w:t>
            </w:r>
            <w:r>
              <w:rPr>
                <w:b w:val="false"/>
                <w:sz w:val="20"/>
              </w:rPr>
              <w:t>9</w:t>
            </w:r>
            <w:r>
              <w:rPr>
                <w:b w:val="false"/>
                <w:sz w:val="20"/>
              </w:rPr>
              <w:t xml:space="preserve"> April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6 April</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 xml:space="preserve">This document constitutes the minutes of the IEEE 802.18 Radio Regulatory Technical Advisory Group (RR-TAG) for the weekly teleconference call on </w:t>
                      </w:r>
                      <w:r>
                        <w:rPr>
                          <w:color w:val="000000"/>
                        </w:rPr>
                        <w:t>6 April</w:t>
                      </w:r>
                      <w:r>
                        <w:rPr>
                          <w:color w:val="000000"/>
                        </w:rPr>
                        <w:t xml:space="preserve">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t xml:space="preserve">IEEE 802.18, RR-TAG website:  </w:t>
      </w:r>
      <w:hyperlink r:id="rId3">
        <w:r>
          <w:rPr>
            <w:rStyle w:val="Internetlnk"/>
          </w:rPr>
          <w:t>https://www.ieee802.org/18/</w:t>
        </w:r>
      </w:hyperlink>
      <w:r>
        <w:rPr/>
        <w:t xml:space="preserve"> .</w:t>
      </w:r>
      <w:r>
        <w:br w:type="page"/>
      </w:r>
    </w:p>
    <w:p>
      <w:pPr>
        <w:pStyle w:val="Normal"/>
        <w:rPr>
          <w:sz w:val="24"/>
          <w:szCs w:val="24"/>
        </w:rPr>
      </w:pPr>
      <w:r>
        <w:rPr>
          <w:sz w:val="24"/>
          <w:szCs w:val="24"/>
        </w:rPr>
        <w:t xml:space="preserve">These are minutes of the IEEE 802.18 RR-TAG teleconference on Thursday </w:t>
      </w:r>
      <w:r>
        <w:rPr>
          <w:sz w:val="24"/>
          <w:szCs w:val="24"/>
        </w:rPr>
        <w:t xml:space="preserve">6 Apr </w:t>
      </w:r>
      <w:r>
        <w:rPr>
          <w:sz w:val="24"/>
          <w:szCs w:val="24"/>
        </w:rPr>
        <w:t>2023, 15:00 ET.</w:t>
        <w:br/>
      </w:r>
    </w:p>
    <w:p>
      <w:pPr>
        <w:pStyle w:val="Normal"/>
        <w:numPr>
          <w:ilvl w:val="0"/>
          <w:numId w:val="1"/>
        </w:numPr>
        <w:spacing w:before="0" w:after="0"/>
        <w:contextualSpacing/>
        <w:rPr>
          <w:sz w:val="24"/>
          <w:szCs w:val="24"/>
        </w:rPr>
      </w:pPr>
      <w:r>
        <w:rPr>
          <w:sz w:val="24"/>
          <w:szCs w:val="24"/>
        </w:rPr>
        <w:t>Chair calls the meeting to order at 15:0</w:t>
      </w:r>
      <w:r>
        <w:rPr>
          <w:sz w:val="24"/>
          <w:szCs w:val="24"/>
        </w:rPr>
        <w:t>0</w:t>
      </w:r>
      <w:r>
        <w:rPr>
          <w:sz w:val="24"/>
          <w:szCs w:val="24"/>
        </w:rPr>
        <w:t xml:space="preserve">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4">
        <w:r>
          <w:rPr>
            <w:rStyle w:val="InternetLink"/>
            <w:sz w:val="24"/>
            <w:szCs w:val="24"/>
          </w:rPr>
          <w:t>18-23/0039r0</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 as of 20 March 2023</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50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4</w:t>
      </w:r>
    </w:p>
    <w:p>
      <w:pPr>
        <w:pStyle w:val="Normal"/>
        <w:numPr>
          <w:ilvl w:val="2"/>
          <w:numId w:val="1"/>
        </w:numPr>
        <w:spacing w:before="0" w:after="0"/>
        <w:contextualSpacing/>
        <w:rPr>
          <w:sz w:val="24"/>
          <w:szCs w:val="24"/>
        </w:rPr>
      </w:pPr>
      <w:r>
        <w:rPr>
          <w:sz w:val="24"/>
          <w:szCs w:val="24"/>
        </w:rPr>
        <w:t xml:space="preserve">  </w:t>
      </w:r>
      <w:r>
        <w:rPr>
          <w:sz w:val="24"/>
          <w:szCs w:val="24"/>
        </w:rPr>
        <w:t>Aspirant members:  14</w:t>
      </w:r>
    </w:p>
    <w:p>
      <w:pPr>
        <w:pStyle w:val="Normal"/>
        <w:numPr>
          <w:ilvl w:val="2"/>
          <w:numId w:val="1"/>
        </w:numPr>
        <w:spacing w:before="0" w:after="0"/>
        <w:contextualSpacing/>
        <w:rPr/>
      </w:pPr>
      <w:r>
        <w:rPr>
          <w:sz w:val="24"/>
          <w:szCs w:val="24"/>
        </w:rPr>
        <w:t xml:space="preserve">  </w:t>
      </w:r>
      <w:hyperlink r:id="rId5">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6">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8">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w:t>
      </w:r>
      <w:r>
        <w:rPr>
          <w:sz w:val="24"/>
          <w:szCs w:val="24"/>
        </w:rPr>
        <w:t>30</w:t>
      </w:r>
      <w:r>
        <w:rPr>
          <w:sz w:val="24"/>
          <w:szCs w:val="24"/>
        </w:rPr>
        <w:t xml:space="preserve"> March 2023 RR-TAG weekly teleconference. </w:t>
        <w:br/>
      </w:r>
      <w:r>
        <w:rPr>
          <w:b/>
          <w:bCs/>
          <w:sz w:val="24"/>
          <w:szCs w:val="24"/>
        </w:rPr>
        <w:br/>
        <w:t>Motion #2 (internal):</w:t>
      </w:r>
      <w:r>
        <w:rPr>
          <w:sz w:val="24"/>
          <w:szCs w:val="24"/>
        </w:rPr>
        <w:t xml:space="preserve"> </w:t>
      </w:r>
      <w:r>
        <w:rPr>
          <w:spacing w:val="-10"/>
          <w:sz w:val="24"/>
          <w:szCs w:val="24"/>
        </w:rPr>
        <w:t xml:space="preserve">To approve the weekly meeting minutes of the </w:t>
      </w:r>
      <w:r>
        <w:rPr>
          <w:spacing w:val="-10"/>
          <w:sz w:val="24"/>
          <w:szCs w:val="24"/>
        </w:rPr>
        <w:t xml:space="preserve">30 </w:t>
      </w:r>
      <w:r>
        <w:rPr>
          <w:spacing w:val="-10"/>
          <w:sz w:val="24"/>
          <w:szCs w:val="24"/>
        </w:rPr>
        <w:t xml:space="preserve">March 2023 RR-TAG call as shown in the document </w:t>
      </w:r>
      <w:hyperlink r:id="rId9">
        <w:r>
          <w:rPr>
            <w:rStyle w:val="InternetLink"/>
            <w:color w:val="3333CC"/>
            <w:spacing w:val="-10"/>
            <w:sz w:val="24"/>
            <w:szCs w:val="24"/>
          </w:rPr>
          <w:t>18-23/0040r0</w:t>
        </w:r>
      </w:hyperlink>
      <w:r>
        <w:rPr>
          <w:spacing w:val="-10"/>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t>Mike Lynch</w:t>
      </w:r>
    </w:p>
    <w:p>
      <w:pPr>
        <w:pStyle w:val="Normal"/>
        <w:spacing w:before="0" w:after="0"/>
        <w:ind w:left="1440" w:hanging="0"/>
        <w:contextualSpacing/>
        <w:rPr>
          <w:sz w:val="24"/>
          <w:szCs w:val="24"/>
        </w:rPr>
      </w:pPr>
      <w:r>
        <w:rPr>
          <w:sz w:val="24"/>
          <w:szCs w:val="24"/>
        </w:rPr>
        <w:t>Seconded by:  A</w:t>
      </w:r>
      <w:r>
        <w:rPr>
          <w:sz w:val="24"/>
          <w:szCs w:val="24"/>
        </w:rPr>
        <w:t>l Petrick</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 xml:space="preserve">US NTIA’s consultation on national spectrum strategy, </w:t>
      </w:r>
      <w:r>
        <w:rPr>
          <w:b w:val="false"/>
          <w:bCs w:val="false"/>
          <w:sz w:val="24"/>
          <w:szCs w:val="24"/>
        </w:rPr>
        <w:t>(</w:t>
      </w:r>
      <w:hyperlink r:id="rId10">
        <w:r>
          <w:rPr>
            <w:rStyle w:val="InternetLink"/>
            <w:b w:val="false"/>
            <w:bCs w:val="false"/>
            <w:sz w:val="24"/>
            <w:szCs w:val="24"/>
          </w:rPr>
          <w:t>18-23-0041r2</w:t>
        </w:r>
      </w:hyperlink>
      <w:r>
        <w:rPr>
          <w:b w:val="false"/>
          <w:bCs w:val="false"/>
          <w:sz w:val="24"/>
          <w:szCs w:val="24"/>
        </w:rPr>
        <w:t xml:space="preserve">), </w:t>
      </w:r>
      <w:r>
        <w:rPr>
          <w:b w:val="false"/>
          <w:bCs w:val="false"/>
          <w:sz w:val="24"/>
          <w:szCs w:val="24"/>
        </w:rPr>
        <w:t>Ben Rolfe (Blind Creek Associates)</w:t>
      </w:r>
      <w:r>
        <w:rPr>
          <w:sz w:val="24"/>
          <w:szCs w:val="24"/>
        </w:rPr>
        <w:br/>
        <w:br/>
      </w:r>
      <w:r>
        <w:rPr>
          <w:sz w:val="24"/>
          <w:szCs w:val="24"/>
        </w:rPr>
        <w:t>Stuart Kerry chairs the meeting while Edward Au presents the document.</w:t>
      </w:r>
      <w:r>
        <w:rPr>
          <w:sz w:val="24"/>
          <w:szCs w:val="24"/>
        </w:rPr>
        <w:br/>
        <w:br/>
        <w:t xml:space="preserve">Presentation of </w:t>
      </w:r>
      <w:r>
        <w:rPr>
          <w:sz w:val="24"/>
          <w:szCs w:val="24"/>
        </w:rPr>
        <w:t>latest</w:t>
      </w:r>
      <w:r>
        <w:rPr>
          <w:sz w:val="24"/>
          <w:szCs w:val="24"/>
        </w:rPr>
        <w:t xml:space="preserve"> revision. </w:t>
        <w:br/>
        <w:br/>
      </w:r>
      <w:r>
        <w:rPr>
          <w:b/>
          <w:bCs/>
          <w:sz w:val="24"/>
          <w:szCs w:val="24"/>
        </w:rPr>
        <w:t>Discussion:</w:t>
      </w:r>
      <w:r>
        <w:rPr>
          <w:sz w:val="24"/>
          <w:szCs w:val="24"/>
        </w:rPr>
        <w:br/>
      </w:r>
      <w:r>
        <w:rPr>
          <w:sz w:val="24"/>
          <w:szCs w:val="24"/>
        </w:rPr>
        <w:br/>
      </w:r>
      <w:r>
        <w:rPr>
          <w:b/>
          <w:bCs/>
          <w:sz w:val="24"/>
          <w:szCs w:val="24"/>
        </w:rPr>
        <w:t>C:</w:t>
      </w:r>
      <w:r>
        <w:rPr>
          <w:sz w:val="24"/>
          <w:szCs w:val="24"/>
        </w:rPr>
        <w:t xml:space="preserve"> Make sure the right contact person is addressed.</w:t>
        <w:br/>
      </w:r>
      <w:r>
        <w:rPr>
          <w:b/>
          <w:bCs/>
          <w:sz w:val="24"/>
          <w:szCs w:val="24"/>
        </w:rPr>
        <w:t>C:</w:t>
      </w:r>
      <w:r>
        <w:rPr>
          <w:sz w:val="24"/>
          <w:szCs w:val="24"/>
        </w:rPr>
        <w:t xml:space="preserve"> Introduce a reference to Wi-Fi Alliance's description of Wi-Fi 7.</w:t>
        <w:br/>
      </w:r>
      <w:r>
        <w:rPr>
          <w:b/>
          <w:bCs/>
          <w:sz w:val="24"/>
          <w:szCs w:val="24"/>
        </w:rPr>
        <w:t>C:</w:t>
      </w:r>
      <w:r>
        <w:rPr>
          <w:sz w:val="24"/>
          <w:szCs w:val="24"/>
        </w:rPr>
        <w:t xml:space="preserve"> Be consistent with the draft IEEE Spectrum Policy Statement position of defining the 6 GHz band as 5925 MHz to 7250 MHz. </w:t>
        <w:br/>
        <w:br/>
        <w:t>Chair proposes to extend the meeting by 5 minutes until 16:00 ET. No objections.</w:t>
        <w:br/>
      </w:r>
      <w:r>
        <w:rPr>
          <w:sz w:val="24"/>
          <w:szCs w:val="24"/>
        </w:rPr>
        <w:br/>
        <w:t xml:space="preserve">No further comments </w:t>
      </w:r>
      <w:r>
        <w:rPr>
          <w:sz w:val="24"/>
          <w:szCs w:val="24"/>
        </w:rPr>
        <w:t>on draft</w:t>
      </w:r>
      <w:r>
        <w:rPr>
          <w:sz w:val="24"/>
          <w:szCs w:val="24"/>
        </w:rPr>
        <w:t>.</w:t>
      </w:r>
      <w:r>
        <w:rPr>
          <w:sz w:val="24"/>
          <w:szCs w:val="24"/>
        </w:rPr>
        <w:t xml:space="preserve"> Edward Au publishes revision 3.</w:t>
        <w:br/>
        <w:br/>
        <w:t>Edward Au resumes chair role from Stuart Kerry.</w:t>
      </w:r>
      <w:r>
        <w:rPr>
          <w:sz w:val="24"/>
          <w:szCs w:val="24"/>
        </w:rPr>
        <w:br/>
      </w:r>
    </w:p>
    <w:p>
      <w:pPr>
        <w:pStyle w:val="ListParagraph"/>
        <w:numPr>
          <w:ilvl w:val="1"/>
          <w:numId w:val="1"/>
        </w:numPr>
        <w:spacing w:before="0" w:after="0"/>
        <w:contextualSpacing/>
        <w:rPr/>
      </w:pPr>
      <w:r>
        <w:rPr>
          <w:b/>
          <w:bCs/>
          <w:sz w:val="24"/>
          <w:szCs w:val="24"/>
        </w:rPr>
        <w:t xml:space="preserve">Motion #3 (External):  </w:t>
      </w:r>
      <w:r>
        <w:rPr>
          <w:b w:val="false"/>
          <w:bCs w:val="false"/>
          <w:sz w:val="24"/>
          <w:szCs w:val="24"/>
        </w:rPr>
        <w:t xml:space="preserve">Move to approve document </w:t>
      </w:r>
      <w:hyperlink r:id="rId11">
        <w:r>
          <w:rPr>
            <w:rStyle w:val="InternetLink"/>
            <w:b w:val="false"/>
            <w:bCs w:val="false"/>
            <w:sz w:val="24"/>
            <w:szCs w:val="24"/>
          </w:rPr>
          <w:t>18-23/0041r</w:t>
        </w:r>
        <w:r>
          <w:rPr>
            <w:rStyle w:val="InternetLink"/>
            <w:b w:val="false"/>
            <w:bCs w:val="false"/>
            <w:sz w:val="24"/>
            <w:szCs w:val="24"/>
          </w:rPr>
          <w:t>3</w:t>
        </w:r>
      </w:hyperlink>
      <w:r>
        <w:rPr>
          <w:b w:val="false"/>
          <w:bCs w:val="false"/>
          <w:sz w:val="24"/>
          <w:szCs w:val="24"/>
        </w:rPr>
        <w:t xml:space="preserve"> in response to US NTIA’s consultation “Development of a National Spectrum Strategy” for review and approval by the IEEE 802 LMSC for submission to European Commission RSPG by the response deadline. The IEEE 802.18 Chair is authorized to make editorial changes as necessary.</w:t>
      </w:r>
      <w:r>
        <w:rPr>
          <w:sz w:val="24"/>
          <w:szCs w:val="24"/>
        </w:rPr>
        <w:br/>
        <w:br/>
        <w:tab/>
        <w:t xml:space="preserve">Moved: </w:t>
      </w:r>
      <w:r>
        <w:rPr>
          <w:sz w:val="24"/>
          <w:szCs w:val="24"/>
        </w:rPr>
        <w:t>Stuart Kerry</w:t>
      </w:r>
      <w:r>
        <w:rPr>
          <w:sz w:val="24"/>
          <w:szCs w:val="24"/>
        </w:rPr>
        <w:br/>
        <w:tab/>
        <w:t xml:space="preserve">Seconded: </w:t>
      </w:r>
      <w:r>
        <w:rPr>
          <w:sz w:val="24"/>
          <w:szCs w:val="24"/>
        </w:rPr>
        <w:t>Mike Lynch</w:t>
      </w:r>
      <w:r>
        <w:rPr>
          <w:sz w:val="24"/>
          <w:szCs w:val="24"/>
        </w:rPr>
        <w:br/>
        <w:tab/>
        <w:t xml:space="preserve">Discussion: </w:t>
        <w:br/>
      </w:r>
      <w:r>
        <w:rPr>
          <w:sz w:val="24"/>
          <w:szCs w:val="24"/>
        </w:rPr>
        <w:tab/>
        <w:tab/>
        <w:t>To consult experts on the range 7125 to 7250 MHz.</w:t>
      </w:r>
      <w:r>
        <w:rPr>
          <w:sz w:val="24"/>
          <w:szCs w:val="24"/>
        </w:rPr>
        <w:br/>
        <w:tab/>
        <w:t xml:space="preserve">Attendees: </w:t>
      </w:r>
      <w:r>
        <w:rPr>
          <w:sz w:val="24"/>
          <w:szCs w:val="24"/>
        </w:rPr>
        <w:t>17</w:t>
      </w:r>
      <w:r>
        <w:rPr>
          <w:sz w:val="24"/>
          <w:szCs w:val="24"/>
        </w:rPr>
        <w:br/>
        <w:tab/>
        <w:t>Voters (present): 1</w:t>
      </w:r>
      <w:r>
        <w:rPr>
          <w:sz w:val="24"/>
          <w:szCs w:val="24"/>
        </w:rPr>
        <w:t>6</w:t>
      </w:r>
      <w:r>
        <w:rPr>
          <w:sz w:val="24"/>
          <w:szCs w:val="24"/>
        </w:rPr>
        <w:br/>
        <w:tab/>
        <w:t>Result: 1</w:t>
      </w:r>
      <w:r>
        <w:rPr>
          <w:sz w:val="24"/>
          <w:szCs w:val="24"/>
        </w:rPr>
        <w:t>2</w:t>
      </w:r>
      <w:r>
        <w:rPr>
          <w:sz w:val="24"/>
          <w:szCs w:val="24"/>
        </w:rPr>
        <w:t xml:space="preserve"> Y / 0 N / </w:t>
      </w:r>
      <w:r>
        <w:rPr>
          <w:sz w:val="24"/>
          <w:szCs w:val="24"/>
        </w:rPr>
        <w:t>3</w:t>
      </w:r>
      <w:r>
        <w:rPr>
          <w:sz w:val="24"/>
          <w:szCs w:val="24"/>
        </w:rPr>
        <w:t xml:space="preserve"> A, motion passes.</w:t>
        <w:br/>
        <w:tab/>
        <w:t>Remarks:  Chair did not vote</w:t>
      </w:r>
      <w:r>
        <w:rPr/>
        <w:br/>
      </w:r>
    </w:p>
    <w:p>
      <w:pPr>
        <w:pStyle w:val="ListParagraph"/>
        <w:numPr>
          <w:ilvl w:val="0"/>
          <w:numId w:val="1"/>
        </w:numPr>
        <w:spacing w:before="0" w:after="0"/>
        <w:contextualSpacing/>
        <w:rPr/>
      </w:pPr>
      <w:r>
        <w:rPr>
          <w:b/>
          <w:bCs/>
          <w:sz w:val="24"/>
          <w:szCs w:val="24"/>
        </w:rPr>
        <w:t xml:space="preserve">Status of ongoing consultations, </w:t>
      </w:r>
      <w:r>
        <w:rPr>
          <w:b w:val="false"/>
          <w:bCs w:val="false"/>
          <w:sz w:val="24"/>
          <w:szCs w:val="24"/>
        </w:rPr>
        <w:t>(</w:t>
      </w:r>
      <w:hyperlink r:id="rId12">
        <w:r>
          <w:rPr>
            <w:rStyle w:val="InternetLink"/>
            <w:b w:val="false"/>
            <w:bCs w:val="false"/>
            <w:sz w:val="24"/>
            <w:szCs w:val="24"/>
          </w:rPr>
          <w:t>18-22/0035r66</w:t>
        </w:r>
      </w:hyperlink>
      <w:r>
        <w:rPr>
          <w:b w:val="false"/>
          <w:bCs w:val="false"/>
          <w:sz w:val="24"/>
          <w:szCs w:val="24"/>
        </w:rPr>
        <w:t>), Edward Au (Chair)</w:t>
        <w:br/>
        <w:br/>
        <w:t>Chair presents ongoing consultations and upcoming deadlines to the group. No discussion.</w:t>
        <w:br/>
      </w:r>
    </w:p>
    <w:p>
      <w:pPr>
        <w:pStyle w:val="ListParagraph"/>
        <w:numPr>
          <w:ilvl w:val="0"/>
          <w:numId w:val="1"/>
        </w:numPr>
        <w:spacing w:before="0" w:after="0"/>
        <w:contextualSpacing/>
        <w:rPr/>
      </w:pPr>
      <w:r>
        <w:rPr>
          <w:b/>
          <w:bCs/>
          <w:sz w:val="24"/>
          <w:szCs w:val="24"/>
        </w:rPr>
        <w:t>General discussion topics</w:t>
        <w:br/>
      </w:r>
    </w:p>
    <w:p>
      <w:pPr>
        <w:pStyle w:val="ListParagraph"/>
        <w:numPr>
          <w:ilvl w:val="1"/>
          <w:numId w:val="1"/>
        </w:numPr>
        <w:spacing w:before="0" w:after="0"/>
        <w:contextualSpacing/>
        <w:rPr/>
      </w:pPr>
      <w:r>
        <w:rPr>
          <w:b/>
          <w:bCs/>
          <w:sz w:val="24"/>
          <w:szCs w:val="24"/>
        </w:rPr>
        <w:t>Europe</w:t>
        <w:br/>
        <w:br/>
      </w:r>
      <w:r>
        <w:rPr>
          <w:b w:val="false"/>
          <w:bCs w:val="false"/>
          <w:sz w:val="24"/>
          <w:szCs w:val="24"/>
        </w:rPr>
        <w:t>ETSI BRAN has opened 2nd ENAP on 6 GHz WAS/RLAN harmonised standard on 27 March 2023. It will run until 27 June 2023.</w:t>
      </w:r>
      <w:r>
        <w:rPr>
          <w:b/>
          <w:bCs/>
          <w:sz w:val="24"/>
          <w:szCs w:val="24"/>
        </w:rPr>
        <w:br/>
      </w:r>
    </w:p>
    <w:p>
      <w:pPr>
        <w:pStyle w:val="ListParagraph"/>
        <w:numPr>
          <w:ilvl w:val="1"/>
          <w:numId w:val="1"/>
        </w:numPr>
        <w:spacing w:before="0" w:after="0"/>
        <w:contextualSpacing/>
        <w:rPr/>
      </w:pPr>
      <w:r>
        <w:rPr>
          <w:b/>
          <w:bCs/>
          <w:sz w:val="24"/>
          <w:szCs w:val="24"/>
        </w:rPr>
        <w:t>Americas</w:t>
        <w:br/>
        <w:br/>
      </w:r>
      <w:r>
        <w:rPr>
          <w:b w:val="false"/>
          <w:bCs w:val="false"/>
          <w:sz w:val="24"/>
          <w:szCs w:val="24"/>
        </w:rPr>
        <w:t>30 March 2023, FCC chairwoman proposes agency “policy statement” of wireless receiver performance. In the upcoming FCC Open Commission April 2023 meeting, the Commission will consider a policy statement “Promoting Efficient Use of Spectrum and Opportunities for New Services”.</w:t>
      </w:r>
      <w:r>
        <w:rPr>
          <w:b/>
          <w:bCs/>
          <w:sz w:val="24"/>
          <w:szCs w:val="24"/>
        </w:rPr>
        <w:br/>
      </w:r>
    </w:p>
    <w:p>
      <w:pPr>
        <w:pStyle w:val="ListParagraph"/>
        <w:numPr>
          <w:ilvl w:val="1"/>
          <w:numId w:val="1"/>
        </w:numPr>
        <w:spacing w:before="0" w:after="0"/>
        <w:contextualSpacing/>
        <w:rPr/>
      </w:pPr>
      <w:r>
        <w:rPr>
          <w:b/>
          <w:bCs/>
          <w:sz w:val="24"/>
          <w:szCs w:val="24"/>
        </w:rPr>
        <w:t>Asia/Pacific</w:t>
        <w:br/>
        <w:br/>
      </w:r>
      <w:r>
        <w:rPr>
          <w:b w:val="false"/>
          <w:bCs w:val="false"/>
          <w:sz w:val="24"/>
          <w:szCs w:val="24"/>
        </w:rPr>
        <w:t>ACMA has published a THz report.</w:t>
        <w:br/>
        <w:br/>
        <w:t>Japan MIC has published a detailed report on US and EU WLAN standards testing.</w:t>
      </w:r>
      <w:r>
        <w:rPr>
          <w:b/>
          <w:bCs/>
          <w:sz w:val="24"/>
          <w:szCs w:val="24"/>
        </w:rPr>
        <w:br/>
      </w:r>
    </w:p>
    <w:p>
      <w:pPr>
        <w:pStyle w:val="ListParagraph"/>
        <w:numPr>
          <w:ilvl w:val="0"/>
          <w:numId w:val="1"/>
        </w:numPr>
        <w:spacing w:before="0" w:after="0"/>
        <w:contextualSpacing/>
        <w:rPr/>
      </w:pPr>
      <w:r>
        <w:rPr>
          <w:b/>
          <w:bCs/>
          <w:sz w:val="24"/>
          <w:szCs w:val="24"/>
        </w:rPr>
        <w:t>Reminder of future meetings</w:t>
      </w:r>
      <w:r>
        <w:rPr>
          <w:sz w:val="24"/>
          <w:szCs w:val="24"/>
        </w:rPr>
        <w:br/>
        <w:br/>
        <w:t>The ISUS ad-hoc call on 7 April 2023 is canceled.  The ad-hoc call on 14 April 2023 may be canceled if there is no update from the IEEE SA Policy Team</w:t>
      </w:r>
      <w:bookmarkStart w:id="0" w:name="_GoBack"/>
      <w:bookmarkEnd w:id="0"/>
      <w:r>
        <w:rPr>
          <w:sz w:val="24"/>
          <w:szCs w:val="24"/>
        </w:rPr>
        <w:t xml:space="preserve">. </w:t>
        <w:br/>
        <w:br/>
        <w:t xml:space="preserve">The weekly teleconference call is scheduled for </w:t>
      </w:r>
      <w:r>
        <w:rPr>
          <w:sz w:val="24"/>
          <w:szCs w:val="24"/>
        </w:rPr>
        <w:t>13</w:t>
      </w:r>
      <w:r>
        <w:rPr>
          <w:sz w:val="24"/>
          <w:szCs w:val="24"/>
        </w:rPr>
        <w:t xml:space="preserve"> April 2023.</w:t>
      </w:r>
    </w:p>
    <w:p>
      <w:pPr>
        <w:pStyle w:val="ListParagraph"/>
        <w:spacing w:before="0" w:after="0"/>
        <w:ind w:left="360" w:hanging="0"/>
        <w:contextualSpacing/>
        <w:rPr>
          <w:b/>
          <w:b/>
          <w:sz w:val="24"/>
          <w:szCs w:val="24"/>
        </w:rPr>
      </w:pPr>
      <w:r>
        <w:rPr>
          <w:b/>
          <w:sz w:val="24"/>
          <w:szCs w:val="24"/>
        </w:rPr>
      </w:r>
    </w:p>
    <w:p>
      <w:pPr>
        <w:pStyle w:val="ListParagraph"/>
        <w:spacing w:before="0" w:after="0"/>
        <w:ind w:left="360" w:hanging="0"/>
        <w:contextualSpacing/>
        <w:rPr/>
      </w:pPr>
      <w:r>
        <w:rPr>
          <w:sz w:val="24"/>
          <w:szCs w:val="24"/>
        </w:rPr>
        <w:t>Reminder of registration for the IEEE 802 Wireless Interim meeting in May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hanging="0"/>
        <w:contextualSpacing/>
        <w:rPr>
          <w:sz w:val="24"/>
          <w:szCs w:val="24"/>
        </w:rPr>
      </w:pPr>
      <w:r>
        <w:rPr>
          <w:sz w:val="24"/>
          <w:szCs w:val="24"/>
        </w:rPr>
        <w:b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1</w:t>
      </w:r>
      <w:r>
        <w:rPr>
          <w:color w:val="000000"/>
          <w:sz w:val="24"/>
          <w:szCs w:val="24"/>
        </w:rPr>
        <w:t>7</w:t>
      </w:r>
      <w:r>
        <w:rPr>
          <w:color w:val="000000"/>
          <w:sz w:val="24"/>
          <w:szCs w:val="24"/>
        </w:rPr>
        <w:t xml:space="preserve"> attendees, 1</w:t>
      </w:r>
      <w:r>
        <w:rPr>
          <w:color w:val="000000"/>
          <w:sz w:val="24"/>
          <w:szCs w:val="24"/>
        </w:rPr>
        <w:t>6</w:t>
      </w:r>
      <w:r>
        <w:rPr>
          <w:color w:val="000000"/>
          <w:sz w:val="24"/>
          <w:szCs w:val="24"/>
        </w:rPr>
        <w:t xml:space="preserve">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w:t>
      </w:r>
      <w:r>
        <w:rPr>
          <w:color w:val="000000"/>
          <w:sz w:val="24"/>
          <w:szCs w:val="24"/>
        </w:rPr>
        <w:t>13</w:t>
      </w:r>
      <w:r>
        <w:rPr>
          <w:color w:val="000000"/>
          <w:sz w:val="24"/>
          <w:szCs w:val="24"/>
        </w:rPr>
        <w:t xml:space="preserve"> Apr 2023, 15:00 ET. Next 802.18 Wireless Interim session is scheduled for week: 15 May to 19 May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https://mentor.ieee.org/802.18/dcn/16/18-16-0038-31-0000-teleconference-call-in-info.pptx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Wireless Interim meeting is 15-19 May 2023 in Orlando, Florida, US.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22 September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3">
        <w:r>
          <w:rPr>
            <w:rStyle w:val="Internetlnk"/>
            <w:sz w:val="24"/>
            <w:szCs w:val="24"/>
          </w:rPr>
          <w:t>https://ieee802.org/16/cal-temp.html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16:0</w:t>
      </w:r>
      <w:r>
        <w:rPr>
          <w:sz w:val="24"/>
          <w:szCs w:val="24"/>
        </w:rPr>
        <w:t>2</w:t>
      </w:r>
      <w:r>
        <w:rPr>
          <w:sz w:val="24"/>
          <w:szCs w:val="24"/>
        </w:rPr>
        <w:t xml:space="preserve"> ET</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tbl>
      <w:tblPr>
        <w:tblW w:w="10085" w:type="dxa"/>
        <w:jc w:val="left"/>
        <w:tblInd w:w="0" w:type="dxa"/>
        <w:tblLayout w:type="fixed"/>
        <w:tblCellMar>
          <w:top w:w="0" w:type="dxa"/>
          <w:left w:w="0" w:type="dxa"/>
          <w:bottom w:w="0" w:type="dxa"/>
          <w:right w:w="0" w:type="dxa"/>
        </w:tblCellMar>
      </w:tblPr>
      <w:tblGrid>
        <w:gridCol w:w="242"/>
        <w:gridCol w:w="1650"/>
        <w:gridCol w:w="2158"/>
        <w:gridCol w:w="5215"/>
        <w:gridCol w:w="820"/>
      </w:tblGrid>
      <w:tr>
        <w:trPr/>
        <w:tc>
          <w:tcPr>
            <w:tcW w:w="9265"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Voting Attendees:</w:t>
            </w:r>
          </w:p>
        </w:tc>
        <w:tc>
          <w:tcPr>
            <w:tcW w:w="82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6-Apr</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Andersdotter</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Amelia</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Sky Group/Comcast</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2</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Au</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Edward (Kwok Shum)</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Huawei Technologies Co., Ltd</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3</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Auluck</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Vijay</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4</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Fang</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Yonggang</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MediaTek</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5</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Halasz</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Dave</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Morse Micro</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6</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Holcomb</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Jay</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7</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Jeffries</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Timothy</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8</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Kain</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Carl</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USDOT, Noblis,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9</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Kennedy</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Richard</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Bluetooth SIG</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10</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Kerry</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Stuart</w:t>
            </w:r>
          </w:p>
        </w:tc>
        <w:tc>
          <w:tcPr>
            <w:tcW w:w="5215" w:type="dxa"/>
            <w:tcBorders/>
            <w:vAlign w:val="center"/>
          </w:tcPr>
          <w:p>
            <w:pPr>
              <w:pStyle w:val="TableContents"/>
              <w:spacing w:before="0" w:after="0"/>
              <w:rPr/>
            </w:pPr>
            <w:r>
              <w:rPr>
                <w:rFonts w:ascii="Arial;sans-serif" w:hAnsi="Arial;sans-serif"/>
                <w:sz w:val="20"/>
              </w:rPr>
              <w:t>OK</w:t>
            </w:r>
            <w:r>
              <w:rPr/>
              <w:t>‐</w:t>
            </w:r>
            <w:r>
              <w:rPr>
                <w:rFonts w:ascii="Arial;sans-serif" w:hAnsi="Arial;sans-serif"/>
                <w:sz w:val="20"/>
              </w:rPr>
              <w:t>Brit, Self</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11</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Lynch</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Michael</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MJ Lynch &amp; Associates, LLC.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12</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Petrick</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Al</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Skyworks Solutions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13</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Pirhonen</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Riku</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NXP Semiconductors</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14</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Powell</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Clint</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Meta Platforms, Inc.; Powell Wireless Commsulting, LLC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15</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Wang</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Lei</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FutureWei Technologies, Inc.</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16</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Yaghoobi</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Hassan</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Intel Corporation</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r>
        <w:trPr/>
        <w:tc>
          <w:tcPr>
            <w:tcW w:w="242" w:type="dxa"/>
            <w:tcBorders/>
            <w:vAlign w:val="center"/>
          </w:tcPr>
          <w:p>
            <w:pPr>
              <w:pStyle w:val="TableContents"/>
              <w:rPr>
                <w:sz w:val="4"/>
                <w:szCs w:val="4"/>
              </w:rPr>
            </w:pPr>
            <w:r>
              <w:rPr>
                <w:sz w:val="4"/>
                <w:szCs w:val="4"/>
              </w:rPr>
            </w:r>
          </w:p>
        </w:tc>
        <w:tc>
          <w:tcPr>
            <w:tcW w:w="1650" w:type="dxa"/>
            <w:tcBorders/>
            <w:vAlign w:val="center"/>
          </w:tcPr>
          <w:p>
            <w:pPr>
              <w:pStyle w:val="TableContents"/>
              <w:rPr>
                <w:sz w:val="4"/>
                <w:szCs w:val="4"/>
              </w:rPr>
            </w:pPr>
            <w:r>
              <w:rPr>
                <w:sz w:val="4"/>
                <w:szCs w:val="4"/>
              </w:rPr>
            </w:r>
          </w:p>
        </w:tc>
        <w:tc>
          <w:tcPr>
            <w:tcW w:w="2158" w:type="dxa"/>
            <w:tcBorders/>
            <w:vAlign w:val="center"/>
          </w:tcPr>
          <w:p>
            <w:pPr>
              <w:pStyle w:val="TableContents"/>
              <w:rPr>
                <w:sz w:val="4"/>
                <w:szCs w:val="4"/>
              </w:rPr>
            </w:pPr>
            <w:r>
              <w:rPr>
                <w:sz w:val="4"/>
                <w:szCs w:val="4"/>
              </w:rPr>
            </w:r>
          </w:p>
        </w:tc>
        <w:tc>
          <w:tcPr>
            <w:tcW w:w="5215" w:type="dxa"/>
            <w:tcBorders/>
            <w:vAlign w:val="center"/>
          </w:tcPr>
          <w:p>
            <w:pPr>
              <w:pStyle w:val="TableContents"/>
              <w:rPr>
                <w:sz w:val="4"/>
                <w:szCs w:val="4"/>
              </w:rPr>
            </w:pPr>
            <w:r>
              <w:rPr>
                <w:sz w:val="4"/>
                <w:szCs w:val="4"/>
              </w:rPr>
            </w:r>
          </w:p>
        </w:tc>
        <w:tc>
          <w:tcPr>
            <w:tcW w:w="820" w:type="dxa"/>
            <w:tcBorders/>
            <w:vAlign w:val="center"/>
          </w:tcPr>
          <w:p>
            <w:pPr>
              <w:pStyle w:val="TableContents"/>
              <w:rPr>
                <w:sz w:val="4"/>
                <w:szCs w:val="4"/>
              </w:rPr>
            </w:pPr>
            <w:r>
              <w:rPr>
                <w:sz w:val="4"/>
                <w:szCs w:val="4"/>
              </w:rPr>
            </w:r>
          </w:p>
        </w:tc>
      </w:tr>
      <w:tr>
        <w:trPr/>
        <w:tc>
          <w:tcPr>
            <w:tcW w:w="9265" w:type="dxa"/>
            <w:gridSpan w:val="4"/>
            <w:tcBorders/>
            <w:vAlign w:val="center"/>
          </w:tcPr>
          <w:p>
            <w:pPr>
              <w:pStyle w:val="TableContents"/>
              <w:spacing w:before="0" w:after="0"/>
              <w:rPr>
                <w:rFonts w:ascii="Arial;sans-serif" w:hAnsi="Arial;sans-serif"/>
                <w:b/>
                <w:sz w:val="20"/>
              </w:rPr>
            </w:pPr>
            <w:r>
              <w:rPr>
                <w:rFonts w:ascii="Arial;sans-serif" w:hAnsi="Arial;sans-serif"/>
                <w:b/>
                <w:sz w:val="20"/>
              </w:rPr>
              <w:t>Non-Voting Attendees:</w:t>
            </w:r>
          </w:p>
        </w:tc>
        <w:tc>
          <w:tcPr>
            <w:tcW w:w="820" w:type="dxa"/>
            <w:tcBorders/>
            <w:vAlign w:val="center"/>
          </w:tcPr>
          <w:p>
            <w:pPr>
              <w:pStyle w:val="TableContents"/>
              <w:spacing w:before="0" w:after="0"/>
              <w:jc w:val="center"/>
              <w:rPr>
                <w:rFonts w:ascii="Arial;sans-serif" w:hAnsi="Arial;sans-serif"/>
                <w:b/>
                <w:sz w:val="20"/>
              </w:rPr>
            </w:pPr>
            <w:r>
              <w:rPr>
                <w:rFonts w:ascii="Arial;sans-serif" w:hAnsi="Arial;sans-serif"/>
                <w:b/>
                <w:sz w:val="20"/>
              </w:rPr>
              <w:t>6-Apr</w:t>
            </w:r>
          </w:p>
        </w:tc>
      </w:tr>
      <w:tr>
        <w:trPr/>
        <w:tc>
          <w:tcPr>
            <w:tcW w:w="242" w:type="dxa"/>
            <w:tcBorders/>
            <w:vAlign w:val="center"/>
          </w:tcPr>
          <w:p>
            <w:pPr>
              <w:pStyle w:val="TableContents"/>
              <w:spacing w:before="0" w:after="0"/>
              <w:jc w:val="center"/>
              <w:rPr>
                <w:rFonts w:ascii="Arial;sans-serif" w:hAnsi="Arial;sans-serif"/>
                <w:sz w:val="20"/>
              </w:rPr>
            </w:pPr>
            <w:r>
              <w:rPr>
                <w:rFonts w:ascii="Arial;sans-serif" w:hAnsi="Arial;sans-serif"/>
                <w:sz w:val="20"/>
              </w:rPr>
              <w:t>1</w:t>
            </w:r>
          </w:p>
        </w:tc>
        <w:tc>
          <w:tcPr>
            <w:tcW w:w="1650" w:type="dxa"/>
            <w:tcBorders/>
            <w:vAlign w:val="center"/>
          </w:tcPr>
          <w:p>
            <w:pPr>
              <w:pStyle w:val="TableContents"/>
              <w:spacing w:before="0" w:after="0"/>
              <w:rPr>
                <w:rFonts w:ascii="Arial;sans-serif" w:hAnsi="Arial;sans-serif"/>
                <w:b/>
                <w:sz w:val="20"/>
              </w:rPr>
            </w:pPr>
            <w:r>
              <w:rPr>
                <w:rFonts w:ascii="Arial;sans-serif" w:hAnsi="Arial;sans-serif"/>
                <w:b/>
                <w:sz w:val="20"/>
              </w:rPr>
              <w:t>Rolfe</w:t>
            </w:r>
          </w:p>
        </w:tc>
        <w:tc>
          <w:tcPr>
            <w:tcW w:w="2158" w:type="dxa"/>
            <w:tcBorders/>
            <w:vAlign w:val="center"/>
          </w:tcPr>
          <w:p>
            <w:pPr>
              <w:pStyle w:val="TableContents"/>
              <w:spacing w:before="0" w:after="0"/>
              <w:rPr>
                <w:rFonts w:ascii="Arial;sans-serif" w:hAnsi="Arial;sans-serif"/>
                <w:sz w:val="20"/>
              </w:rPr>
            </w:pPr>
            <w:r>
              <w:rPr>
                <w:rFonts w:ascii="Arial;sans-serif" w:hAnsi="Arial;sans-serif"/>
                <w:sz w:val="20"/>
              </w:rPr>
              <w:t>Benjamin</w:t>
            </w:r>
          </w:p>
        </w:tc>
        <w:tc>
          <w:tcPr>
            <w:tcW w:w="5215" w:type="dxa"/>
            <w:tcBorders/>
            <w:vAlign w:val="center"/>
          </w:tcPr>
          <w:p>
            <w:pPr>
              <w:pStyle w:val="TableContents"/>
              <w:spacing w:before="0" w:after="0"/>
              <w:rPr>
                <w:rFonts w:ascii="Arial;sans-serif" w:hAnsi="Arial;sans-serif"/>
                <w:sz w:val="20"/>
              </w:rPr>
            </w:pPr>
            <w:r>
              <w:rPr>
                <w:rFonts w:ascii="Arial;sans-serif" w:hAnsi="Arial;sans-serif"/>
                <w:sz w:val="20"/>
              </w:rPr>
              <w:t>Blind Creek Associates</w:t>
            </w:r>
          </w:p>
        </w:tc>
        <w:tc>
          <w:tcPr>
            <w:tcW w:w="820" w:type="dxa"/>
            <w:tcBorders/>
            <w:vAlign w:val="center"/>
          </w:tcPr>
          <w:p>
            <w:pPr>
              <w:pStyle w:val="TableContents"/>
              <w:spacing w:before="0" w:after="0"/>
              <w:jc w:val="center"/>
              <w:rPr>
                <w:rFonts w:ascii="Arial;sans-serif" w:hAnsi="Arial;sans-serif"/>
                <w:b/>
                <w:sz w:val="18"/>
              </w:rPr>
            </w:pPr>
            <w:r>
              <w:rPr>
                <w:rFonts w:ascii="Arial;sans-serif" w:hAnsi="Arial;sans-serif"/>
                <w:b/>
                <w:sz w:val="18"/>
              </w:rPr>
              <w:t>x</w:t>
            </w:r>
          </w:p>
        </w:tc>
      </w:tr>
    </w:tbl>
    <w:p>
      <w:pPr>
        <w:pStyle w:val="ListParagraph"/>
        <w:ind w:left="0" w:hanging="0"/>
        <w:rPr>
          <w:rFonts w:eastAsia="Times New Roman"/>
          <w:b/>
          <w:b/>
          <w:bCs/>
          <w:sz w:val="24"/>
          <w:szCs w:val="24"/>
        </w:rPr>
      </w:pPr>
      <w:r>
        <w:rPr/>
      </w:r>
    </w:p>
    <w:sectPr>
      <w:headerReference w:type="default" r:id="rId15"/>
      <w:footerReference w:type="default" r:id="rId16"/>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auto"/>
    <w:pitch w:val="default"/>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Apr 2023</w:t>
      <w:tab/>
      <w:tab/>
      <w:t>doc.: IEEE 802.18-23-004</w:t>
    </w:r>
    <w:r>
      <w:rPr/>
      <w:t>3</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numbering" w:styleId="Numbering123" w:customStyle="1">
    <w:name w:val="Numbering 123"/>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3/18-23-0039-00-0000-rr-tag-agenda-6-april-2023.pptx" TargetMode="External"/><Relationship Id="rId5" Type="http://schemas.openxmlformats.org/officeDocument/2006/relationships/hyperlink" Target="https://www.ieee802.org/18/RRTAG_Voters.pdf" TargetMode="External"/><Relationship Id="rId6" Type="http://schemas.openxmlformats.org/officeDocument/2006/relationships/hyperlink" Target="https://mentor.ieee.org/802-ec/dcn/21/ec-21-0207-23-0PNP-ieee-802-lmsc-working-group-policies-and-procedures.pdf" TargetMode="External"/><Relationship Id="rId7" Type="http://schemas.openxmlformats.org/officeDocument/2006/relationships/hyperlink" Target="http://www.ieee802.org/devdocs.shtml" TargetMode="External"/><Relationship Id="rId8" Type="http://schemas.openxmlformats.org/officeDocument/2006/relationships/hyperlink" Target="https://standards.ieee.org/about/policies/opman/" TargetMode="External"/><Relationship Id="rId9" Type="http://schemas.openxmlformats.org/officeDocument/2006/relationships/hyperlink" Target="https://mentor.ieee.org/802.18/dcn/23/18-23-0040-00-0000-weekly-teleconference-minutes-30-march-2023.docx" TargetMode="External"/><Relationship Id="rId10" Type="http://schemas.openxmlformats.org/officeDocument/2006/relationships/hyperlink" Target="https://mentor.ieee.org/802.18/dcn/23/18-23-0041-02-0000-draft-response-to-ntia-s-consultation-on-the-development-of-a-national-spectrum-strategy.docx" TargetMode="External"/><Relationship Id="rId11" Type="http://schemas.openxmlformats.org/officeDocument/2006/relationships/hyperlink" Target="https://mentor.ieee.org/802.18/dcn/23/18-23-0041-03-0000-draft-response-to-ntia-s-consultation-on-the-development-of-a-national-spectrum-strategy.docx" TargetMode="External"/><Relationship Id="rId12" Type="http://schemas.openxmlformats.org/officeDocument/2006/relationships/hyperlink" Target="https://mentor.ieee.org/802.18/dcn/22/18-22-0035-66-0000-status-of-ongoing-consultations-and-tag-documents-for-approval.docx" TargetMode="External"/><Relationship Id="rId13" Type="http://schemas.openxmlformats.org/officeDocument/2006/relationships/hyperlink" Target="https://ieee802.org/16/cal-temp.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C47A-6F7E-44CF-A687-9351BC41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42716</TotalTime>
  <Application>LibreOffice/7.4.6.2$Linux_X86_64 LibreOffice_project/40$Build-2</Application>
  <AppVersion>15.0000</AppVersion>
  <Pages>4</Pages>
  <Words>1016</Words>
  <Characters>5550</Characters>
  <CharactersWithSpaces>6454</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2023-04-09T10:28:11Z</dcterms:modified>
  <cp:revision>66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