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3"/>
        <w:gridCol w:w="1976"/>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2023-01-2</w:t>
            </w:r>
            <w:r>
              <w:rPr>
                <w:b w:val="false"/>
                <w:sz w:val="20"/>
              </w:rPr>
              <w:t>8</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4555EC3D">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highlight w:val="none"/>
                                <w:shd w:fill="CCF4C6" w:val="clear"/>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4555EC3D">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highlight w:val="none"/>
                          <w:shd w:fill="CCF4C6" w:val="clear"/>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IEEE 802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They are used wherever there is need for connectivity, be it between humans, humans and devices or devices and devices. </w:t>
      </w:r>
    </w:p>
    <w:p>
      <w:pPr>
        <w:pStyle w:val="TextBody"/>
        <w:spacing w:lineRule="auto" w:line="276"/>
        <w:ind w:left="180" w:right="89" w:hanging="0"/>
        <w:rPr>
          <w:b/>
          <w:b/>
          <w:bCs/>
        </w:rPr>
      </w:pPr>
      <w:r>
        <w:rPr>
          <w:b/>
          <w:bCs/>
        </w:rPr>
        <w:t>Main priorities for IEEE 802 wireless technologies in spectrum policy</w:t>
      </w:r>
    </w:p>
    <w:p>
      <w:pPr>
        <w:pStyle w:val="TextBody"/>
        <w:numPr>
          <w:ilvl w:val="0"/>
          <w:numId w:val="2"/>
        </w:numPr>
        <w:spacing w:lineRule="auto" w:line="276"/>
        <w:ind w:left="540" w:right="89" w:hanging="360"/>
        <w:jc w:val="both"/>
        <w:rPr/>
      </w:pPr>
      <w:r>
        <w:rPr/>
        <w:t>Spectrum policies should encourage flexible and shared spectrum use, where multiple users can co-exist and provide social and economic benefits to communities.</w:t>
      </w:r>
    </w:p>
    <w:p>
      <w:pPr>
        <w:pStyle w:val="TextBody"/>
        <w:numPr>
          <w:ilvl w:val="0"/>
          <w:numId w:val="2"/>
        </w:numPr>
        <w:spacing w:lineRule="auto" w:line="276"/>
        <w:ind w:left="540" w:right="89" w:hanging="360"/>
        <w:jc w:val="both"/>
        <w:rPr/>
      </w:pPr>
      <w:r>
        <w:rPr/>
        <w:t>A core principle of IEEE 802 wireless standards is to enable spectrum sharing. To enable and protect sharing, technology neutrality, and, where necessary, priority access for incumbents, various levels of coexistence techniques are necessary. For example:</w:t>
      </w:r>
    </w:p>
    <w:p>
      <w:pPr>
        <w:pStyle w:val="TextBody"/>
        <w:numPr>
          <w:ilvl w:val="0"/>
          <w:numId w:val="1"/>
        </w:numPr>
        <w:spacing w:lineRule="auto" w:line="276"/>
        <w:ind w:left="1000" w:right="106" w:hanging="360"/>
        <w:jc w:val="both"/>
        <w:rPr/>
      </w:pPr>
      <w:r>
        <w:rPr/>
        <w:t>Devices using the same standard need ways to fairly share spectrum resources when they are in close proximity.</w:t>
      </w:r>
    </w:p>
    <w:p>
      <w:pPr>
        <w:pStyle w:val="TextBody"/>
        <w:numPr>
          <w:ilvl w:val="0"/>
          <w:numId w:val="1"/>
        </w:numPr>
        <w:spacing w:lineRule="auto" w:line="276"/>
        <w:ind w:left="1000" w:right="106" w:hanging="360"/>
        <w:jc w:val="both"/>
        <w:rPr/>
      </w:pPr>
      <w:r>
        <w:rPr/>
        <w:t xml:space="preserve">Devices using different standards (IEEE 802.11, 802.15 or technologies developed by other organizations (such as 3GPP)) must be able to fairly share spectrum resources.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harmful 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 can be met by introducing flexibility into the use of lightly used spectrum. This includes spectrum that is being used sparsely on a geographic basis or temporally.</w:t>
      </w:r>
    </w:p>
    <w:p>
      <w:pPr>
        <w:pStyle w:val="TextBody"/>
        <w:numPr>
          <w:ilvl w:val="0"/>
          <w:numId w:val="2"/>
        </w:numPr>
        <w:spacing w:lineRule="auto" w:line="276"/>
        <w:ind w:left="540" w:right="89" w:hanging="360"/>
        <w:jc w:val="both"/>
        <w:rPr/>
      </w:pPr>
      <w:r>
        <w:rPr>
          <w:szCs w:val="22"/>
        </w:rPr>
        <w:t>Full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numPr>
          <w:ilvl w:val="0"/>
          <w:numId w:val="2"/>
        </w:numPr>
        <w:spacing w:lineRule="auto" w:line="276"/>
        <w:ind w:left="540" w:right="89" w:hanging="360"/>
        <w:jc w:val="both"/>
        <w:rPr/>
      </w:pPr>
      <w:r>
        <w:rPr>
          <w:szCs w:val="22"/>
        </w:rPr>
        <w:t xml:space="preserve">Global convergence on policies for the sub-1 GHz bands will enable wider deployment of technologies already developed by IEEE 802, increasing the benefit to societies and economies. </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and connects machines and people.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Each new generation of IEEE 802.11 technologies continues to improve efficiency, reliability, latency, through-put and determinism. IEEE 802.11 supports operation in the 6 GHz (5925 MHz to 7250 MHz) band, and thousands of 6 GHz enabled products (Wi-Fi 6E) are seeing significant adoption where regulations permit deployment.</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Networks based on 802.15 standards are embedded in an increasing number of devices. For some applications, such as cars or utilities, industry consortia exist to manage deployments. For other applications, single corporate entities depend on speciality solutions. IEEE 802.15.4 can operate between 6425 MHz to 7125 MHz and support data collection, location discovery and device ranging. IEEE 802.15.6 is specialised for short range communication in the vicinity of, or inside, a human body. For high-speed, low-latency media transfers, IEEE 802.15.3 provides a speciality solution. IEEE 802.15.16 accommodates the needs of some utilities networks.</w:t>
      </w:r>
    </w:p>
    <w:p>
      <w:pPr>
        <w:pStyle w:val="TextBody"/>
        <w:spacing w:lineRule="auto" w:line="276"/>
        <w:ind w:left="180" w:right="89" w:hanging="0"/>
        <w:jc w:val="both"/>
        <w:rPr>
          <w:shd w:fill="FFFF00" w:val="clear"/>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w:t>
      </w:r>
    </w:p>
    <w:p>
      <w:pPr>
        <w:pStyle w:val="TextBody"/>
        <w:spacing w:lineRule="auto" w:line="276" w:before="1" w:after="120"/>
        <w:ind w:left="180" w:right="89" w:hanging="0"/>
        <w:rPr>
          <w:b/>
          <w:b/>
          <w:bCs/>
        </w:rPr>
      </w:pPr>
      <w:r>
        <w:rPr>
          <w:b/>
          <w:bCs/>
        </w:rPr>
        <w:t>IEEE 802 wireless technologies are developed and designed for co-existence</w:t>
      </w:r>
    </w:p>
    <w:p>
      <w:pPr>
        <w:pStyle w:val="TextBody"/>
        <w:spacing w:lineRule="auto" w:line="276" w:before="1" w:after="120"/>
        <w:ind w:left="180" w:right="89" w:hanging="0"/>
        <w:jc w:val="both"/>
        <w:rPr>
          <w:i/>
          <w:i/>
          <w:iCs/>
          <w:szCs w:val="22"/>
          <w:shd w:fill="FFFF00" w:val="clear"/>
        </w:rPr>
      </w:pPr>
      <w:r>
        <w:rPr>
          <w:spacing w:val="-2"/>
          <w:szCs w:val="22"/>
        </w:rPr>
        <w:t xml:space="preserve">IEEE 802 wireless technologies are designed to not cause any harmful interference to other users in bands where they operate, comply with minimum regulatory requirements for interference mitigation and working on improved co-existence mechanisms. </w:t>
      </w:r>
    </w:p>
    <w:p>
      <w:pPr>
        <w:pStyle w:val="TextBody"/>
        <w:spacing w:lineRule="auto" w:line="276" w:before="1" w:after="120"/>
        <w:ind w:left="180" w:right="89" w:hanging="0"/>
        <w:jc w:val="both"/>
        <w:rPr>
          <w:szCs w:val="22"/>
        </w:rPr>
      </w:pPr>
      <w:r>
        <w:rPr>
          <w:spacing w:val="-2"/>
          <w:szCs w:val="22"/>
        </w:rPr>
        <w:t>The IEEE 802.19 Wireless Coexistence Working Group completed work in sub-1GHz</w:t>
      </w:r>
      <w:r>
        <w:rPr>
          <w:rStyle w:val="FootnoteAnchor"/>
          <w:spacing w:val="-2"/>
          <w:szCs w:val="22"/>
        </w:rPr>
        <w:footnoteReference w:id="5"/>
      </w:r>
      <w:r>
        <w:rPr>
          <w:spacing w:val="-2"/>
          <w:szCs w:val="22"/>
        </w:rPr>
        <w:t xml:space="preserve"> and for automotive use scenarios. Task forces such as the Co-existence Standing Committee of IEEE 802.11 follow co-existence research at the ISO and ETSI levels.</w:t>
      </w:r>
    </w:p>
    <w:p>
      <w:pPr>
        <w:pStyle w:val="TextBody"/>
        <w:spacing w:lineRule="auto" w:line="276"/>
        <w:ind w:left="180" w:right="89" w:hanging="0"/>
        <w:jc w:val="both"/>
        <w:rPr/>
      </w:pPr>
      <w:r>
        <w:rPr/>
        <w:t>As additional spectrum and bands are identified for new and expanded uses, IEEE 802 will continue its deliberate and determined efforts to enable robust coexistence and sharing with incumbent users.</w:t>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Technologies which are designed to use license-exempt or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w:t>
      </w:r>
      <w:bookmarkStart w:id="0" w:name="_GoBack"/>
      <w:bookmarkEnd w:id="0"/>
      <w:r>
        <w:rPr/>
        <w:t xml:space="preserve">m. </w:t>
      </w:r>
    </w:p>
    <w:p>
      <w:pPr>
        <w:pStyle w:val="TextBody"/>
        <w:spacing w:before="11" w:after="120"/>
        <w:rPr>
          <w:sz w:val="19"/>
          <w:szCs w:val="19"/>
        </w:rPr>
      </w:pPr>
      <w:r>
        <w:rPr>
          <w:sz w:val="19"/>
          <w:szCs w:val="19"/>
        </w:rPr>
        <mc:AlternateContent>
          <mc:Choice Requires="wps">
            <w:drawing>
              <wp:anchor behindDoc="0" distT="0" distB="38100" distL="0" distR="0" simplePos="0" locked="0" layoutInCell="0" allowOverlap="1" relativeHeight="4" wp14:anchorId="28035419">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Jan 2023</w:t>
      <w:tab/>
      <w:t>doc.: IEEE 802.18-23/0015r</w:t>
    </w:r>
    <w:r>
      <w:rPr/>
      <w:t>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doNotHyphenateCap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uiPriority="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LibreOffice/7.3.7.2$Linux_X86_64 LibreOffice_project/30$Build-2</Application>
  <AppVersion>15.0000</AppVersion>
  <Pages>4</Pages>
  <Words>1624</Words>
  <Characters>9860</Characters>
  <CharactersWithSpaces>11418</CharactersWithSpaces>
  <Paragraphs>72</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2023-01-27T22:55:00Z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2023-01-28T12:30:55Z</dcterms:modified>
  <cp:revision>3</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