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 September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1 September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simplePos x="0" y="0"/>
                <wp:positionH relativeFrom="column">
                  <wp:posOffset>165735</wp:posOffset>
                </wp:positionH>
                <wp:positionV relativeFrom="paragraph">
                  <wp:posOffset>27305</wp:posOffset>
                </wp:positionV>
                <wp:extent cx="6090920" cy="2853055"/>
                <wp:effectExtent l="0" t="0"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1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1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These are minutes of the IEEE 802 RR-TAG teleconference on Thursday, 1 September 2022, 15:00 ET.</w:t>
        <w:br/>
      </w:r>
    </w:p>
    <w:p>
      <w:pPr>
        <w:pStyle w:val="Normal"/>
        <w:numPr>
          <w:ilvl w:val="0"/>
          <w:numId w:val="1"/>
        </w:numPr>
        <w:spacing w:before="0" w:after="0"/>
        <w:contextualSpacing/>
        <w:rPr/>
      </w:pPr>
      <w:r>
        <w:rPr>
          <w:sz w:val="24"/>
          <w:szCs w:val="24"/>
        </w:rPr>
        <w:t>Chair calls the meeting to order at 15:01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18/22-0101r0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47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0</w:t>
      </w:r>
    </w:p>
    <w:p>
      <w:pPr>
        <w:pStyle w:val="Normal"/>
        <w:numPr>
          <w:ilvl w:val="2"/>
          <w:numId w:val="1"/>
        </w:numPr>
        <w:spacing w:before="0" w:after="0"/>
        <w:contextualSpacing/>
        <w:rPr>
          <w:sz w:val="24"/>
          <w:szCs w:val="24"/>
        </w:rPr>
      </w:pPr>
      <w:r>
        <w:rPr>
          <w:sz w:val="24"/>
          <w:szCs w:val="24"/>
        </w:rPr>
        <w:t xml:space="preserve">  </w:t>
      </w:r>
      <w:r>
        <w:rPr>
          <w:sz w:val="24"/>
          <w:szCs w:val="24"/>
        </w:rPr>
        <w:t>Aspirant members:  9</w:t>
      </w:r>
    </w:p>
    <w:p>
      <w:pPr>
        <w:pStyle w:val="Normal"/>
        <w:numPr>
          <w:ilvl w:val="2"/>
          <w:numId w:val="1"/>
        </w:numPr>
        <w:spacing w:before="0" w:after="0"/>
        <w:contextualSpacing/>
        <w:rPr>
          <w:sz w:val="24"/>
          <w:szCs w:val="24"/>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sz w:val="24"/>
          <w:szCs w:val="24"/>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sz w:val="24"/>
          <w:szCs w:val="24"/>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sz w:val="24"/>
          <w:szCs w:val="24"/>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sz w:val="24"/>
          <w:szCs w:val="24"/>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Amelia Andersdotter</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draft meeting minutes from 18 August 2022 RR-TAG weekly teleconference. No comments.</w:t>
        <w:br/>
      </w:r>
      <w:r>
        <w:rPr>
          <w:b/>
          <w:bCs/>
          <w:sz w:val="24"/>
          <w:szCs w:val="24"/>
        </w:rPr>
        <w:br/>
        <w:t>Motion #2 (internal):</w:t>
      </w:r>
      <w:r>
        <w:rPr>
          <w:sz w:val="24"/>
          <w:szCs w:val="24"/>
        </w:rPr>
        <w:t xml:space="preserve"> To approve the weekly meeting minutes of the 11 August 2022 RR-TAG call as shown in the document </w:t>
      </w:r>
      <w:hyperlink r:id="rId8">
        <w:r>
          <w:rPr>
            <w:rStyle w:val="Internetlnk"/>
            <w:sz w:val="24"/>
            <w:szCs w:val="24"/>
          </w:rPr>
          <w:t>18-22/0102r0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kiwin Palm</w:t>
      </w:r>
    </w:p>
    <w:p>
      <w:pPr>
        <w:pStyle w:val="Normal"/>
        <w:spacing w:before="0" w:after="0"/>
        <w:ind w:left="1440" w:hanging="0"/>
        <w:contextualSpacing/>
        <w:rPr/>
      </w:pPr>
      <w:r>
        <w:rPr>
          <w:sz w:val="24"/>
          <w:szCs w:val="24"/>
        </w:rPr>
        <w:t xml:space="preserve">Seconded by: </w:t>
        <w:tab/>
        <w:t>Al Petrick</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18-22/0035r32</w:t>
        </w:r>
      </w:hyperlink>
      <w:r>
        <w:rPr>
          <w:b/>
          <w:bCs/>
          <w:sz w:val="24"/>
          <w:szCs w:val="24"/>
        </w:rPr>
        <w:t>)</w:t>
      </w:r>
      <w:r>
        <w:rPr>
          <w:sz w:val="24"/>
          <w:szCs w:val="24"/>
        </w:rPr>
        <w:t xml:space="preserve"> contains the status of ongoing consultations along with internal deadlines for EC approval and external approval.</w:t>
        <w:br/>
        <w:br/>
        <w:t>A draft response for the ARCEP consultation is under way.</w:t>
        <w:br/>
        <w:br/>
        <w:t>A draft response for the Ofcom consultation is announced.</w:t>
      </w:r>
      <w:r>
        <w:rPr>
          <w:b/>
          <w:sz w:val="24"/>
          <w:szCs w:val="24"/>
        </w:rPr>
        <w:br/>
      </w:r>
    </w:p>
    <w:p>
      <w:pPr>
        <w:pStyle w:val="Normal"/>
        <w:numPr>
          <w:ilvl w:val="0"/>
          <w:numId w:val="1"/>
        </w:numPr>
        <w:spacing w:before="0" w:after="0"/>
        <w:contextualSpacing/>
        <w:rPr>
          <w:sz w:val="24"/>
          <w:szCs w:val="24"/>
        </w:rPr>
      </w:pPr>
      <w:r>
        <w:rPr>
          <w:b/>
          <w:sz w:val="24"/>
          <w:szCs w:val="24"/>
        </w:rPr>
        <w:t>General discussion items</w:t>
        <w:br/>
      </w:r>
    </w:p>
    <w:p>
      <w:pPr>
        <w:pStyle w:val="Normal"/>
        <w:numPr>
          <w:ilvl w:val="1"/>
          <w:numId w:val="1"/>
        </w:numPr>
        <w:spacing w:before="0" w:after="0"/>
        <w:contextualSpacing/>
        <w:rPr>
          <w:sz w:val="24"/>
          <w:szCs w:val="24"/>
        </w:rPr>
      </w:pPr>
      <w:r>
        <w:rPr>
          <w:b/>
          <w:sz w:val="24"/>
          <w:szCs w:val="24"/>
        </w:rPr>
        <w:t>Europe</w:t>
        <w:br/>
        <w:br/>
      </w:r>
      <w:r>
        <w:rPr>
          <w:sz w:val="24"/>
          <w:szCs w:val="24"/>
        </w:rPr>
        <w:t xml:space="preserve">Update from ETSI BRAN. </w:t>
        <w:br/>
        <w:br/>
        <w:t xml:space="preserve">A harmonised standard developed and approved by ETSI can be published in the Official Journal of the European Union (OJEU). If it is published in the OJEU, the harmonised standard can be used as a basis for self-certification by manufacturers who wish to place their equipment on the European Single Market. In the absence of an OJEU-listed harmonised standard, each manufacturer would have to go to a </w:t>
      </w:r>
      <w:r>
        <w:rPr>
          <w:sz w:val="24"/>
          <w:szCs w:val="24"/>
        </w:rPr>
        <w:t>notified body (</w:t>
      </w:r>
      <w:r>
        <w:rPr>
          <w:sz w:val="24"/>
          <w:szCs w:val="24"/>
        </w:rPr>
        <w:t>certified testing facility</w:t>
      </w:r>
      <w:r>
        <w:rPr>
          <w:sz w:val="24"/>
          <w:szCs w:val="24"/>
        </w:rPr>
        <w:t>)</w:t>
      </w:r>
      <w:r>
        <w:rPr>
          <w:sz w:val="24"/>
          <w:szCs w:val="24"/>
        </w:rPr>
        <w:t xml:space="preserve"> to have their devices or equipment independently assessed. Between publication by ETSI and publication in the OJEU, the average time is 300 days.</w:t>
        <w:br/>
        <w:br/>
        <w:t>During the development of a harmonised standard ETSI must offer this HS for assessment by the European Commission. Such EC assessment helps to identify aspects that the Commission may consider prohibitive of listing the HS in the OJEU. Approval of an HS happens through an EN approval procedure (ENAP) that involves National Standards Organizations (NSOs)</w:t>
        <w:br/>
        <w:br/>
        <w:t>After ETSI published an HS, the EC conducts a final verification to determine whether a harmonised standard is indeed conformant with European law. This verification occurs in addition an independent of the EC's assessment during the development of the HS. In two cases relating to 60 GHz and TVWS, the European Commission sent comments to ETSI TC BRAN. Until ETSI TC BRAN responds to these comments, the EC will not list these standards in the OJEU. Responding to the EC's comments, however, does not guarantee that the EC's will list the standards in the OJEU.</w:t>
      </w:r>
    </w:p>
    <w:p>
      <w:pPr>
        <w:pStyle w:val="Normal"/>
        <w:numPr>
          <w:ilvl w:val="0"/>
          <w:numId w:val="0"/>
        </w:numPr>
        <w:spacing w:before="0" w:after="0"/>
        <w:ind w:left="720" w:hanging="0"/>
        <w:contextualSpacing/>
        <w:rPr>
          <w:sz w:val="24"/>
          <w:szCs w:val="24"/>
        </w:rPr>
      </w:pPr>
      <w:r>
        <w:rPr>
          <w:sz w:val="24"/>
          <w:szCs w:val="24"/>
        </w:rPr>
        <w:br/>
        <w:t xml:space="preserve">ETSI BRAN has already requested a review by the European Commission on the 6 GHz standard under development, but the European Commission did not have the capacity to assess the standard draft at that time. This means that there is a risk that the European Commission will find that capacity in future, after a 2nd ENAP (see previous meeting minutes) is announced for 6 GHz, and that there will be legal certainty problems with the harmonised standard for 6 GHz that emerge only after the standard is published by ETSI. If this were to happen, a new work item would have to be opened for 6 GHz. </w:t>
        <w:br/>
        <w:br/>
        <w:t>ETSI BRAN will have a plenary on 5-9 Sep 14h CEST. This issue will be discussed in that meeting, and the plenary is open to any employee whose employer is an ETSI member.</w:t>
        <w:br/>
        <w:br/>
        <w:t>No comment on CEPT, ECC, or other European institutions.</w:t>
      </w:r>
      <w:r>
        <w:rPr>
          <w:b/>
          <w:sz w:val="24"/>
          <w:szCs w:val="24"/>
        </w:rPr>
        <w:br/>
      </w:r>
    </w:p>
    <w:p>
      <w:pPr>
        <w:pStyle w:val="Normal"/>
        <w:numPr>
          <w:ilvl w:val="1"/>
          <w:numId w:val="1"/>
        </w:numPr>
        <w:spacing w:before="0" w:after="0"/>
        <w:contextualSpacing/>
        <w:rPr>
          <w:sz w:val="24"/>
          <w:szCs w:val="24"/>
        </w:rPr>
      </w:pPr>
      <w:r>
        <w:rPr>
          <w:b/>
          <w:sz w:val="24"/>
          <w:szCs w:val="24"/>
        </w:rPr>
        <w:t>Americas</w:t>
        <w:br/>
        <w:br/>
      </w:r>
      <w:r>
        <w:rPr>
          <w:sz w:val="24"/>
          <w:szCs w:val="24"/>
        </w:rPr>
        <w:t>Next open FCC meeting is scheduled for 29 September 2022 at 10h30 AM ET.</w:t>
        <w:br/>
        <w:br/>
        <w:t>Canada RABC is still considering the outcome of their previous consultations.</w:t>
        <w:br/>
        <w:br/>
        <w:t>No other updates.</w:t>
      </w:r>
      <w:r>
        <w:rPr>
          <w:b/>
          <w:sz w:val="24"/>
          <w:szCs w:val="24"/>
        </w:rPr>
        <w:br/>
      </w:r>
    </w:p>
    <w:p>
      <w:pPr>
        <w:pStyle w:val="Normal"/>
        <w:numPr>
          <w:ilvl w:val="1"/>
          <w:numId w:val="1"/>
        </w:numPr>
        <w:spacing w:before="0" w:after="0"/>
        <w:contextualSpacing/>
        <w:rPr>
          <w:sz w:val="24"/>
          <w:szCs w:val="24"/>
        </w:rPr>
      </w:pPr>
      <w:r>
        <w:rPr>
          <w:b/>
          <w:sz w:val="24"/>
          <w:szCs w:val="24"/>
        </w:rPr>
        <w:t>Asia</w:t>
        <w:br/>
        <w:br/>
      </w:r>
      <w:r>
        <w:rPr>
          <w:sz w:val="24"/>
          <w:szCs w:val="24"/>
        </w:rPr>
        <w:t>The APT Wireless Group will meet between 5-9 September in Bangkok, Thailand.</w:t>
        <w:br/>
        <w:br/>
        <w:t>No other updates.</w:t>
        <w:br/>
      </w:r>
    </w:p>
    <w:p>
      <w:pPr>
        <w:pStyle w:val="Normal"/>
        <w:numPr>
          <w:ilvl w:val="1"/>
          <w:numId w:val="1"/>
        </w:numPr>
        <w:spacing w:before="0" w:after="0"/>
        <w:contextualSpacing/>
        <w:rPr>
          <w:sz w:val="24"/>
          <w:szCs w:val="24"/>
        </w:rPr>
      </w:pPr>
      <w:r>
        <w:rPr>
          <w:b/>
          <w:sz w:val="24"/>
          <w:szCs w:val="24"/>
        </w:rPr>
        <w:t>Other</w:t>
        <w:br/>
        <w:br/>
      </w:r>
      <w:r>
        <w:rPr>
          <w:sz w:val="24"/>
          <w:szCs w:val="24"/>
        </w:rPr>
        <w:t>No other updates.</w:t>
      </w:r>
      <w:r>
        <w:rPr>
          <w:b/>
          <w:sz w:val="24"/>
          <w:szCs w:val="24"/>
        </w:rPr>
        <w:br/>
        <w:br/>
      </w:r>
    </w:p>
    <w:p>
      <w:pPr>
        <w:pStyle w:val="Normal"/>
        <w:numPr>
          <w:ilvl w:val="0"/>
          <w:numId w:val="1"/>
        </w:numPr>
        <w:spacing w:before="0" w:after="0"/>
        <w:contextualSpacing/>
        <w:rPr>
          <w:sz w:val="24"/>
          <w:szCs w:val="24"/>
        </w:rPr>
      </w:pPr>
      <w:r>
        <w:rPr>
          <w:b/>
          <w:sz w:val="24"/>
          <w:szCs w:val="24"/>
        </w:rPr>
        <w:t>Future meetings reminders</w:t>
        <w:br/>
        <w:br/>
      </w:r>
      <w:r>
        <w:rPr>
          <w:sz w:val="24"/>
          <w:szCs w:val="24"/>
        </w:rPr>
        <w:t>ISUS Ad-Hoc call for 5 September 2022 is cancelled. A short presentation will be given to the Executive Committee on the outcome of ISUS Ad-Hoc on 6 September.</w:t>
      </w:r>
      <w:r>
        <w:rPr>
          <w:sz w:val="24"/>
          <w:szCs w:val="24"/>
          <w:shd w:fill="FFFF00" w:val="clear"/>
        </w:rPr>
        <w:t xml:space="preserve"> A report will be given to IEEE 802.18 on 8 September 2011.</w:t>
      </w:r>
      <w:r>
        <w:rPr>
          <w:sz w:val="24"/>
          <w:szCs w:val="24"/>
        </w:rPr>
        <w:br/>
        <w:br/>
        <w:t>mmWave Ad-Hoc call is organised on 7 September 2022 at 15h00-16h00 ET.</w:t>
        <w:br/>
        <w:br/>
        <w:t>Weekly teleconference on 8 September 2022 expects to consider an ARCEP consultation draft response.</w:t>
        <w:br/>
        <w:br/>
      </w:r>
    </w:p>
    <w:p>
      <w:pPr>
        <w:pStyle w:val="Normal"/>
        <w:numPr>
          <w:ilvl w:val="1"/>
          <w:numId w:val="1"/>
        </w:numPr>
        <w:spacing w:before="0" w:after="0"/>
        <w:contextualSpacing/>
        <w:rPr>
          <w:sz w:val="24"/>
          <w:szCs w:val="24"/>
        </w:rPr>
      </w:pPr>
      <w:r>
        <w:rPr>
          <w:b/>
          <w:bCs/>
          <w:sz w:val="24"/>
          <w:szCs w:val="24"/>
        </w:rPr>
        <w:t>mmWave Ad-Hoc presentation in IEEE 802.11</w:t>
      </w:r>
      <w:r>
        <w:rPr>
          <w:sz w:val="24"/>
          <w:szCs w:val="24"/>
        </w:rPr>
        <w:br/>
        <w:br/>
        <w:t xml:space="preserve">Update from Ad-Hoc chair. The presentation, contained in document </w:t>
      </w:r>
      <w:hyperlink r:id="rId10">
        <w:r>
          <w:rPr>
            <w:rStyle w:val="Internetlnk"/>
            <w:sz w:val="24"/>
            <w:szCs w:val="24"/>
          </w:rPr>
          <w:t>11-22-1398r0</w:t>
        </w:r>
      </w:hyperlink>
      <w:r>
        <w:rPr>
          <w:sz w:val="24"/>
          <w:szCs w:val="24"/>
        </w:rPr>
        <w:t>, will be given in UHR SG at IEEE 802.11 to present the goals and scope of mmWave Ad-Hoc. There will be an opportunity for members in IEEE 802.18 to comment on the presentation before it is shared with IEEE 802.11.</w:t>
        <w:br/>
        <w:br/>
      </w:r>
      <w:r>
        <w:rPr>
          <w:b/>
          <w:bCs/>
          <w:sz w:val="24"/>
          <w:szCs w:val="24"/>
        </w:rPr>
        <w:t>Chair:</w:t>
      </w:r>
      <w:r>
        <w:rPr>
          <w:sz w:val="24"/>
          <w:szCs w:val="24"/>
        </w:rPr>
        <w:t xml:space="preserve"> If we use up all of our agenda time in 8 September 2022, we can use the 13 September 2022 IEEE 802.18 opening plenary to review the presentation.</w:t>
        <w:br/>
      </w:r>
      <w:r>
        <w:rPr>
          <w:b/>
          <w:bCs/>
          <w:sz w:val="24"/>
          <w:szCs w:val="24"/>
        </w:rPr>
        <w:t>mmWave Ad-Hoc Chair:</w:t>
      </w:r>
      <w:r>
        <w:rPr>
          <w:sz w:val="24"/>
          <w:szCs w:val="24"/>
        </w:rPr>
        <w:t xml:space="preserve"> This is fine. We can also postpone the presentation until the Bangkok plenary meeting. </w:t>
        <w:br/>
      </w:r>
    </w:p>
    <w:p>
      <w:pPr>
        <w:pStyle w:val="Normal"/>
        <w:numPr>
          <w:ilvl w:val="1"/>
          <w:numId w:val="1"/>
        </w:numPr>
        <w:spacing w:before="0" w:after="0"/>
        <w:contextualSpacing/>
        <w:rPr>
          <w:sz w:val="24"/>
          <w:szCs w:val="24"/>
        </w:rPr>
      </w:pPr>
      <w:r>
        <w:rPr>
          <w:b/>
          <w:bCs/>
          <w:sz w:val="24"/>
          <w:szCs w:val="24"/>
        </w:rPr>
        <w:t>Reminder about the credited IEEE 802 Wireless Interim meeting</w:t>
      </w:r>
      <w:r>
        <w:rPr>
          <w:sz w:val="24"/>
          <w:szCs w:val="24"/>
        </w:rPr>
        <w:br/>
        <w:br/>
        <w:t xml:space="preserve">Chair reminds all participants that the IEEE 802 Wireless interim meeting 12-16 September in Hawaii, US, is a credited meeting which requires registration. Chair reminds all participants of registration terms and fees, for both remote and on-site participants. </w:t>
        <w:br/>
      </w:r>
    </w:p>
    <w:p>
      <w:pPr>
        <w:pStyle w:val="Normal"/>
        <w:numPr>
          <w:ilvl w:val="1"/>
          <w:numId w:val="1"/>
        </w:numPr>
        <w:spacing w:before="0" w:after="0"/>
        <w:contextualSpacing/>
        <w:rPr>
          <w:sz w:val="24"/>
          <w:szCs w:val="24"/>
        </w:rPr>
      </w:pPr>
      <w:r>
        <w:rPr>
          <w:b/>
          <w:sz w:val="24"/>
          <w:szCs w:val="24"/>
        </w:rPr>
        <w:t>Reminder about the credited IEEE 802 Plenary meeting</w:t>
        <w:br/>
        <w:br/>
      </w:r>
      <w:r>
        <w:rPr>
          <w:sz w:val="24"/>
          <w:szCs w:val="24"/>
        </w:rPr>
        <w:t xml:space="preserve">Chair reminds all participants that the IEEE 802 </w:t>
      </w:r>
      <w:bookmarkStart w:id="0" w:name="_GoBack"/>
      <w:bookmarkEnd w:id="0"/>
      <w:r>
        <w:rPr>
          <w:sz w:val="24"/>
          <w:szCs w:val="24"/>
        </w:rPr>
        <w:t xml:space="preserve">Plenary meeting 14-18 November in Bangkok, Thailand, is a credited meeting which requires registration. Chair reminds all participants of registration terms and fees, for both remote and on-site participants. </w:t>
      </w:r>
      <w:r>
        <w:rPr>
          <w:b/>
          <w:sz w:val="24"/>
          <w:szCs w:val="24"/>
        </w:rPr>
        <w:br/>
      </w:r>
    </w:p>
    <w:p>
      <w:pPr>
        <w:pStyle w:val="Normal"/>
        <w:numPr>
          <w:ilvl w:val="0"/>
          <w:numId w:val="1"/>
        </w:numPr>
        <w:spacing w:before="0" w:after="0"/>
        <w:contextualSpacing/>
        <w:rPr>
          <w:sz w:val="24"/>
          <w:szCs w:val="24"/>
        </w:rPr>
      </w:pPr>
      <w:r>
        <w:rPr>
          <w:b/>
          <w:sz w:val="24"/>
          <w:szCs w:val="24"/>
        </w:rPr>
        <w:t>Any other business</w:t>
      </w:r>
    </w:p>
    <w:p>
      <w:pPr>
        <w:pStyle w:val="Normal"/>
        <w:spacing w:before="0" w:after="0"/>
        <w:ind w:left="720" w:hanging="0"/>
        <w:contextualSpacing/>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color w:val="000000"/>
        </w:rPr>
      </w:pPr>
      <w:r>
        <w:rPr>
          <w:color w:val="000000"/>
          <w:sz w:val="24"/>
          <w:szCs w:val="24"/>
        </w:rPr>
        <w:t xml:space="preserve">19 participants and 17 voters (including the chair) [Report by Stuart Kerry]. </w:t>
      </w:r>
    </w:p>
    <w:p>
      <w:pPr>
        <w:pStyle w:val="Normal"/>
        <w:numPr>
          <w:ilvl w:val="1"/>
          <w:numId w:val="1"/>
        </w:numPr>
        <w:spacing w:before="0" w:after="0"/>
        <w:contextualSpacing/>
        <w:rPr>
          <w:color w:val="000000"/>
        </w:rPr>
      </w:pPr>
      <w:r>
        <w:rPr>
          <w:color w:val="000000"/>
          <w:sz w:val="24"/>
          <w:szCs w:val="24"/>
        </w:rPr>
        <w:t xml:space="preserve">Next weekly teleconference call scheduled for: 8 September 2022, 15h00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rPr>
      </w:pPr>
      <w:r>
        <w:rPr>
          <w:color w:val="000000"/>
          <w:sz w:val="24"/>
          <w:szCs w:val="24"/>
        </w:rPr>
        <w:t xml:space="preserve">IEEE 802 Wireless interim is 12-16 September in Waikoloa.  </w:t>
      </w:r>
    </w:p>
    <w:p>
      <w:pPr>
        <w:pStyle w:val="Normal"/>
        <w:numPr>
          <w:ilvl w:val="3"/>
          <w:numId w:val="1"/>
        </w:numPr>
        <w:spacing w:before="0" w:after="0"/>
        <w:contextualSpacing/>
        <w:rPr>
          <w:color w:val="000000"/>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15:45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Normal"/>
        <w:ind w:left="0" w:hanging="0"/>
        <w:rPr/>
      </w:pPr>
      <w:r>
        <w:rPr/>
      </w:r>
    </w:p>
    <w:tbl>
      <w:tblPr>
        <w:tblW w:w="94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42"/>
        <w:gridCol w:w="1485"/>
        <w:gridCol w:w="2573"/>
        <w:gridCol w:w="3776"/>
        <w:gridCol w:w="1174"/>
      </w:tblGrid>
      <w:tr>
        <w:trPr>
          <w:trHeight w:val="435" w:hRule="atLeast"/>
        </w:trPr>
        <w:tc>
          <w:tcPr>
            <w:tcW w:w="1927" w:type="dxa"/>
            <w:gridSpan w:val="2"/>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Voting Attendees:</w:t>
            </w:r>
          </w:p>
        </w:tc>
        <w:tc>
          <w:tcPr>
            <w:tcW w:w="2573"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3776" w:type="dxa"/>
            <w:tcBorders/>
            <w:vAlign w:val="center"/>
          </w:tcPr>
          <w:p>
            <w:pPr>
              <w:pStyle w:val="Normal"/>
              <w:widowControl w:val="false"/>
              <w:rPr>
                <w:rFonts w:eastAsia="Times New Roman"/>
                <w:sz w:val="20"/>
              </w:rPr>
            </w:pPr>
            <w:r>
              <w:rPr>
                <w:rFonts w:eastAsia="Times New Roman"/>
                <w:sz w:val="20"/>
              </w:rPr>
            </w:r>
          </w:p>
        </w:tc>
        <w:tc>
          <w:tcPr>
            <w:tcW w:w="1174"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1-Sep</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Andersdotter</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Amelia</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Comcast</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Au</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Edward (Kwok Shum)</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Huawei Technologies Co., Ltd</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3</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da Silva</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Claudio</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Meta Platforms, Inc.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4</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Fang</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Yonggang</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MediaTek</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5</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Hiertz</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Guido</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Ericsson GmbH</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6</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Holcomb</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Jay</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Itron Inc.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7</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Kain</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Carl</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USDOT, Noblis, Inc.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8</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Kennedy</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Richard</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Unlicensed Spectrum Advocates, LLC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9</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Kerry</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Stuart</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OK</w:t>
            </w:r>
            <w:r>
              <w:rPr>
                <w:rFonts w:eastAsia="Times New Roman" w:cs="Cambria Math" w:ascii="Cambria Math" w:hAnsi="Cambria Math"/>
                <w:sz w:val="20"/>
              </w:rPr>
              <w:t>‐</w:t>
            </w:r>
            <w:r>
              <w:rPr>
                <w:rFonts w:eastAsia="Times New Roman" w:cs="Arial" w:ascii="Arial" w:hAnsi="Arial"/>
                <w:sz w:val="20"/>
              </w:rPr>
              <w:t>Brit, Self</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10</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Levy</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Joseph</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InterDigital, Inc.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11</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Lynch</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Michael</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MJ Lynch &amp; Associates, LLC.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510"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12</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Nikolich</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Paul</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Self, HPE, Huawei, Wyebot, UNH BCoE, YAS BBV, Origin Wireless</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13</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Palm</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kiwin (Stephen)</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Broadcom Corporation</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14</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Petrick</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Al</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Skyworks Solutions Inc.</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15</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Rolfe</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Benjamin</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Blind Creek Associates</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510"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16</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Scott</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Andy</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NCTA – The Internet &amp; Television Association</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17</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Ward</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Lisa</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Rohde &amp; Schwarz</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exact"/>
        </w:trPr>
        <w:tc>
          <w:tcPr>
            <w:tcW w:w="442" w:type="dxa"/>
            <w:tcBorders/>
            <w:vAlign w:val="center"/>
          </w:tcPr>
          <w:p>
            <w:pPr>
              <w:pStyle w:val="Normal"/>
              <w:widowControl w:val="false"/>
              <w:rPr>
                <w:rFonts w:ascii="Arial" w:hAnsi="Arial" w:eastAsia="Times New Roman" w:cs="Arial"/>
                <w:b/>
                <w:b/>
                <w:bCs/>
                <w:sz w:val="18"/>
                <w:szCs w:val="18"/>
              </w:rPr>
            </w:pPr>
            <w:r>
              <w:rPr>
                <w:rFonts w:eastAsia="Times New Roman" w:cs="Arial" w:ascii="Arial" w:hAnsi="Arial"/>
                <w:b/>
                <w:bCs/>
                <w:sz w:val="18"/>
                <w:szCs w:val="18"/>
              </w:rPr>
            </w:r>
          </w:p>
        </w:tc>
        <w:tc>
          <w:tcPr>
            <w:tcW w:w="1485" w:type="dxa"/>
            <w:tcBorders/>
            <w:vAlign w:val="center"/>
          </w:tcPr>
          <w:p>
            <w:pPr>
              <w:pStyle w:val="Normal"/>
              <w:widowControl w:val="false"/>
              <w:rPr>
                <w:rFonts w:eastAsia="Times New Roman"/>
                <w:sz w:val="20"/>
              </w:rPr>
            </w:pPr>
            <w:r>
              <w:rPr>
                <w:rFonts w:eastAsia="Times New Roman"/>
                <w:sz w:val="20"/>
              </w:rPr>
            </w:r>
          </w:p>
        </w:tc>
        <w:tc>
          <w:tcPr>
            <w:tcW w:w="2573" w:type="dxa"/>
            <w:tcBorders/>
            <w:vAlign w:val="center"/>
          </w:tcPr>
          <w:p>
            <w:pPr>
              <w:pStyle w:val="Normal"/>
              <w:widowControl w:val="false"/>
              <w:rPr>
                <w:rFonts w:eastAsia="Times New Roman"/>
                <w:sz w:val="20"/>
              </w:rPr>
            </w:pPr>
            <w:r>
              <w:rPr>
                <w:rFonts w:eastAsia="Times New Roman"/>
                <w:sz w:val="20"/>
              </w:rPr>
            </w:r>
          </w:p>
        </w:tc>
        <w:tc>
          <w:tcPr>
            <w:tcW w:w="3776" w:type="dxa"/>
            <w:tcBorders/>
            <w:vAlign w:val="center"/>
          </w:tcPr>
          <w:p>
            <w:pPr>
              <w:pStyle w:val="Normal"/>
              <w:widowControl w:val="false"/>
              <w:rPr>
                <w:rFonts w:eastAsia="Times New Roman"/>
                <w:sz w:val="20"/>
              </w:rPr>
            </w:pPr>
            <w:r>
              <w:rPr>
                <w:rFonts w:eastAsia="Times New Roman"/>
                <w:sz w:val="20"/>
              </w:rPr>
            </w:r>
          </w:p>
        </w:tc>
        <w:tc>
          <w:tcPr>
            <w:tcW w:w="1174" w:type="dxa"/>
            <w:tcBorders/>
            <w:vAlign w:val="center"/>
          </w:tcPr>
          <w:p>
            <w:pPr>
              <w:pStyle w:val="Normal"/>
              <w:widowControl w:val="false"/>
              <w:rPr>
                <w:rFonts w:eastAsia="Times New Roman"/>
                <w:sz w:val="20"/>
              </w:rPr>
            </w:pPr>
            <w:r>
              <w:rPr>
                <w:rFonts w:eastAsia="Times New Roman"/>
                <w:sz w:val="20"/>
              </w:rPr>
            </w:r>
          </w:p>
        </w:tc>
      </w:tr>
      <w:tr>
        <w:trPr>
          <w:trHeight w:val="435" w:hRule="atLeast"/>
        </w:trPr>
        <w:tc>
          <w:tcPr>
            <w:tcW w:w="4500" w:type="dxa"/>
            <w:gridSpan w:val="3"/>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Non-Voting Attendees:</w:t>
            </w:r>
          </w:p>
        </w:tc>
        <w:tc>
          <w:tcPr>
            <w:tcW w:w="3776"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1174"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1-Sep</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Halasz</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Dave</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Morse Micro</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2"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w:t>
            </w:r>
          </w:p>
        </w:tc>
        <w:tc>
          <w:tcPr>
            <w:tcW w:w="14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Hamilton</w:t>
            </w:r>
          </w:p>
        </w:tc>
        <w:tc>
          <w:tcPr>
            <w:tcW w:w="2573"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Mark</w:t>
            </w:r>
          </w:p>
        </w:tc>
        <w:tc>
          <w:tcPr>
            <w:tcW w:w="3776"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Ruckus/CommScope</w:t>
            </w:r>
          </w:p>
        </w:tc>
        <w:tc>
          <w:tcPr>
            <w:tcW w:w="1174"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bl>
    <w:p>
      <w:pPr>
        <w:pStyle w:val="ListParagraph"/>
        <w:ind w:left="0" w:hanging="0"/>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September 2022</w:t>
      <w:tab/>
      <w:tab/>
      <w:t>doc.: IEEE 802.18-22-0108r0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Annotationtext"/>
    <w:qFormat/>
    <w:rsid w:val="00c20ea8"/>
    <w:rPr/>
  </w:style>
  <w:style w:type="character" w:styleId="CommentSubjectChar" w:customStyle="1">
    <w:name w:val="Comment Subject Char"/>
    <w:basedOn w:val="CommentTextChar"/>
    <w:link w:val="Annotation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01-00-0000-rr-tag-agenda-1-sept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02-00-0000-weekly-teleconference-minutes-18-august-2022.docx" TargetMode="External"/><Relationship Id="rId9" Type="http://schemas.openxmlformats.org/officeDocument/2006/relationships/hyperlink" Target="https://mentor.ieee.org/802.18/dcn/22/18-22-0035-32-0000-status-of-ongoing-consultations-and-tag-documents-for-approval.docx" TargetMode="External"/><Relationship Id="rId10" Type="http://schemas.openxmlformats.org/officeDocument/2006/relationships/hyperlink" Target="https://mentor.ieee.org/802.11/dcn/22/11-22-1398-00-0uhr-rr-tag-mmwave-spectrum-survey.ppt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9A48-6214-46A9-997C-3B55F920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Application>LibreOffice/7.3.5.2$Linux_X86_64 LibreOffice_project/30$Build-2</Application>
  <AppVersion>15.0000</AppVersion>
  <Pages>5</Pages>
  <Words>1376</Words>
  <Characters>7297</Characters>
  <CharactersWithSpaces>8547</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2022-08-19T14:07:00Z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2022-09-02T17:43:27Z</dcterms:modified>
  <cp:revision>11</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