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P802.18</w:t>
        <w:br/>
        <w:t>Radio Regulatory Technical Advisory Group (RR-TAG)</w:t>
      </w:r>
    </w:p>
    <w:tbl>
      <w:tblPr>
        <w:tblW w:w="95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334"/>
        <w:gridCol w:w="2282"/>
        <w:gridCol w:w="2139"/>
        <w:gridCol w:w="1283"/>
        <w:gridCol w:w="2538"/>
      </w:tblGrid>
      <w:tr>
        <w:trPr>
          <w:trHeight w:val="485" w:hRule="atLeast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rPr/>
            </w:pPr>
            <w:r>
              <w:rPr/>
              <w:t>Radio Regulatory Technical Advisory Group Minutes</w:t>
            </w:r>
          </w:p>
          <w:p>
            <w:pPr>
              <w:pStyle w:val="T2"/>
              <w:widowControl w:val="false"/>
              <w:spacing w:before="0" w:after="120"/>
              <w:rPr/>
            </w:pPr>
            <w:r>
              <w:rPr/>
              <w:t xml:space="preserve">– </w:t>
            </w:r>
            <w:r>
              <w:rPr/>
              <w:t>5 May 2022</w:t>
            </w:r>
          </w:p>
        </w:tc>
      </w:tr>
      <w:tr>
        <w:trPr>
          <w:trHeight w:val="359" w:hRule="atLeast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ind w:left="0" w:right="720" w:hanging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</w:t>
            </w:r>
            <w:r>
              <w:rPr>
                <w:b w:val="false"/>
                <w:sz w:val="20"/>
              </w:rPr>
              <w:t>12</w:t>
            </w:r>
            <w:r>
              <w:rPr>
                <w:b w:val="false"/>
                <w:sz w:val="20"/>
              </w:rPr>
              <w:t xml:space="preserve"> May 2022</w:t>
            </w:r>
          </w:p>
        </w:tc>
      </w:tr>
      <w:tr>
        <w:trPr>
          <w:cantSplit w:val="true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>
        <w:trPr/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 Andersdotter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SkyUK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Belgium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amelia.ieee@andersdotter.cc</w:t>
            </w:r>
          </w:p>
        </w:tc>
      </w:tr>
      <w:tr>
        <w:trPr/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1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66EF9E94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83935" cy="2846070"/>
                <wp:effectExtent l="0" t="0" r="0" b="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280" cy="28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 document constitutes the minutes of the IEEE 802.18 Technical Advisory Group for the weekly teleconference call on 5 May 2022.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fillcolor="white" stroked="f" o:allowincell="f" style="position:absolute;margin-left:13.05pt;margin-top:2.15pt;width:478.95pt;height:224pt;mso-wrap-style:square;v-text-anchor:top" wp14:anchorId="66EF9E94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 document constitutes the minutes of the IEEE 802.18 Technical Advisory Group for the weekly teleconference call on 5 May 2022.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br w:type="page"/>
      </w:r>
    </w:p>
    <w:p>
      <w:pPr>
        <w:pStyle w:val="T1"/>
        <w:spacing w:before="0" w:after="120"/>
        <w:rPr/>
      </w:pPr>
      <w:r>
        <w:rPr>
          <w:b w:val="false"/>
          <w:bCs/>
          <w:sz w:val="24"/>
          <w:szCs w:val="24"/>
        </w:rPr>
        <w:t>Chair:  Edward Au (Huawei)</w:t>
      </w:r>
    </w:p>
    <w:p>
      <w:pPr>
        <w:pStyle w:val="T1"/>
        <w:spacing w:before="0" w:after="120"/>
        <w:rPr>
          <w:rStyle w:val="Internetlnk"/>
          <w:b w:val="false"/>
          <w:b w:val="false"/>
          <w:bCs/>
          <w:color w:val="000000"/>
          <w:sz w:val="24"/>
          <w:szCs w:val="24"/>
          <w:u w:val="none"/>
        </w:rPr>
      </w:pPr>
      <w:r>
        <w:rPr>
          <w:b w:val="false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>Stuart Kerry (OK-Brit/Self)</w:t>
      </w:r>
      <w:r>
        <w:rPr>
          <w:b w:val="false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 xml:space="preserve">Al Petrick (Skyworks Solutions) </w:t>
      </w:r>
    </w:p>
    <w:p>
      <w:pPr>
        <w:pStyle w:val="T1"/>
        <w:spacing w:before="0" w:after="120"/>
        <w:rPr/>
      </w:pPr>
      <w:r>
        <w:rPr>
          <w:rStyle w:val="Internetlnk"/>
          <w:b w:val="false"/>
          <w:color w:val="000000"/>
          <w:sz w:val="24"/>
          <w:szCs w:val="24"/>
          <w:u w:val="none"/>
        </w:rPr>
        <w:t>Secretary: Amelia Andersdotter (Sky)</w:t>
      </w:r>
    </w:p>
    <w:p>
      <w:pPr>
        <w:pStyle w:val="T1"/>
        <w:spacing w:before="0" w:after="12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IEEE SA Program Manager:  Jodi Hassz (IEEE SA)</w:t>
      </w:r>
    </w:p>
    <w:p>
      <w:pPr>
        <w:pStyle w:val="T1"/>
        <w:numPr>
          <w:ilvl w:val="0"/>
          <w:numId w:val="2"/>
        </w:numPr>
        <w:spacing w:before="0" w:after="120"/>
        <w:rPr/>
      </w:pPr>
      <w:r>
        <w:rPr>
          <w:b w:val="false"/>
          <w:sz w:val="24"/>
          <w:szCs w:val="24"/>
        </w:rPr>
        <w:t xml:space="preserve">IEEE 802.18, RR-TAG website:  </w:t>
      </w:r>
      <w:hyperlink r:id="rId2">
        <w:r>
          <w:rPr>
            <w:rStyle w:val="Internetlnk"/>
            <w:b w:val="false"/>
            <w:sz w:val="24"/>
            <w:szCs w:val="24"/>
          </w:rPr>
          <w:t>https://www.ieee802.org/18/</w:t>
        </w:r>
      </w:hyperlink>
      <w:r>
        <w:rPr>
          <w:b w:val="false"/>
          <w:sz w:val="24"/>
          <w:szCs w:val="24"/>
        </w:rPr>
        <w:t xml:space="preserve"> </w:t>
      </w:r>
    </w:p>
    <w:p>
      <w:pPr>
        <w:pStyle w:val="T1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These are the minutes of the IEEE 802 RR-TAG teleconference on Thursday, 5 May 2022.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Chair calls the meeting to order at 15:01 ET.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contextualSpacing/>
        <w:rPr/>
      </w:pPr>
      <w:r>
        <w:rPr>
          <w:sz w:val="24"/>
          <w:szCs w:val="24"/>
        </w:rPr>
        <w:t xml:space="preserve">Agenda slide deck </w:t>
      </w:r>
      <w:hyperlink r:id="rId3">
        <w:r>
          <w:rPr>
            <w:rStyle w:val="Internetlnk"/>
            <w:sz w:val="24"/>
            <w:szCs w:val="24"/>
          </w:rPr>
          <w:t>18/22-0049r1</w:t>
        </w:r>
      </w:hyperlink>
      <w:r>
        <w:rPr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Chair presents administrative items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Group officers and voting membership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/>
        <w:t xml:space="preserve">  </w:t>
      </w:r>
      <w:r>
        <w:rPr/>
        <w:t xml:space="preserve">Voters:  46 (8 on LMSC) 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/>
        <w:t xml:space="preserve">  </w:t>
      </w:r>
      <w:r>
        <w:rPr/>
        <w:t>Nearly Voters:  2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/>
        <w:t xml:space="preserve">  </w:t>
      </w:r>
      <w:r>
        <w:rPr/>
        <w:t>Aspirant members:  3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/>
        <w:t xml:space="preserve">  </w:t>
      </w:r>
      <w:hyperlink r:id="rId4">
        <w:r>
          <w:rPr>
            <w:rStyle w:val="Internetlnk"/>
          </w:rPr>
          <w:t>802.18 Voters List</w:t>
        </w:r>
      </w:hyperlink>
    </w:p>
    <w:p>
      <w:pPr>
        <w:pStyle w:val="Normal"/>
        <w:numPr>
          <w:ilvl w:val="1"/>
          <w:numId w:val="1"/>
        </w:numPr>
        <w:tabs>
          <w:tab w:val="clear" w:pos="720"/>
        </w:tabs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RR-TAG Policies &amp; Procedures</w:t>
      </w:r>
      <w:r>
        <w:rPr>
          <w:sz w:val="24"/>
          <w:szCs w:val="24"/>
        </w:rPr>
        <w:t xml:space="preserve"> [</w:t>
      </w:r>
      <w:r>
        <w:rPr>
          <w:rStyle w:val="Internetlnk"/>
        </w:rPr>
        <w:t xml:space="preserve">  </w:t>
      </w:r>
      <w:hyperlink r:id="rId5">
        <w:r>
          <w:rPr>
            <w:rStyle w:val="Internetlnk"/>
            <w:sz w:val="24"/>
            <w:szCs w:val="24"/>
            <w:lang w:val="nl-NL"/>
          </w:rPr>
          <w:t>8</w:t>
        </w:r>
        <w:r>
          <w:rPr>
            <w:rStyle w:val="Internetlnk"/>
            <w:szCs w:val="22"/>
            <w:lang w:val="nl-NL"/>
          </w:rPr>
          <w:t>02 LMSC WG P&amp;P</w:t>
        </w:r>
      </w:hyperlink>
      <w:r>
        <w:rPr>
          <w:szCs w:val="22"/>
          <w:lang w:val="nl-NL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802 meeting and participant’s guidelines and requirements [</w:t>
      </w:r>
      <w:hyperlink r:id="rId6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policies and procedures [</w:t>
      </w:r>
      <w:hyperlink r:id="rId7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 xml:space="preserve">Reminder that IMAT is </w:t>
      </w:r>
      <w:r>
        <w:rPr>
          <w:b/>
          <w:bCs/>
          <w:sz w:val="24"/>
          <w:szCs w:val="24"/>
        </w:rPr>
        <w:t>not</w:t>
      </w:r>
      <w:r>
        <w:rPr>
          <w:bCs/>
          <w:sz w:val="24"/>
          <w:szCs w:val="24"/>
        </w:rPr>
        <w:t xml:space="preserve"> being used for attendance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Online meeting procedures reminder</w:t>
        <w:br/>
        <w:t xml:space="preserve"> </w:t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Chair presents the agenda (slide #9).  No modification to the agenda.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Administrative: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before="0" w:after="0"/>
        <w:contextualSpacing/>
        <w:rPr/>
      </w:pPr>
      <w:r>
        <w:rPr>
          <w:b/>
          <w:bCs/>
          <w:sz w:val="24"/>
          <w:szCs w:val="24"/>
        </w:rPr>
        <w:t xml:space="preserve">Motion #1: </w:t>
      </w:r>
      <w:r>
        <w:rPr>
          <w:sz w:val="24"/>
          <w:szCs w:val="24"/>
        </w:rPr>
        <w:t>To approve the agenda as presented on previous slide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Moved by: </w:t>
        <w:tab/>
        <w:t>Hassan Yaghoobi (Intel Corporation)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Seconded by: </w:t>
        <w:tab/>
        <w:t>Stuart Kerry (OK-Brit, Self)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Discussion?  </w:t>
        <w:tab/>
        <w:t>None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Vote:  Passed with unanimous consent</w:t>
      </w:r>
    </w:p>
    <w:p>
      <w:pPr>
        <w:pStyle w:val="Normal"/>
        <w:spacing w:before="0" w:after="0"/>
        <w:ind w:left="1440" w:hanging="0"/>
        <w:contextualSpacing/>
        <w:rPr/>
      </w:pPr>
      <w:r>
        <w:rPr/>
      </w:r>
    </w:p>
    <w:p>
      <w:pPr>
        <w:pStyle w:val="Normal"/>
        <w:numPr>
          <w:ilvl w:val="1"/>
          <w:numId w:val="1"/>
        </w:numPr>
        <w:rPr/>
      </w:pPr>
      <w:r>
        <w:rPr>
          <w:b/>
          <w:bCs/>
          <w:sz w:val="24"/>
          <w:szCs w:val="24"/>
        </w:rPr>
        <w:t>Motion #2:</w:t>
      </w:r>
      <w:r>
        <w:rPr>
          <w:sz w:val="24"/>
          <w:szCs w:val="24"/>
        </w:rPr>
        <w:t xml:space="preserve"> To approve the meeting minutes of the 28 April 2022, RR-TAG call as shown in the document </w:t>
      </w:r>
      <w:hyperlink r:id="rId8">
        <w:r>
          <w:rPr>
            <w:rStyle w:val="Internetlnk"/>
            <w:sz w:val="24"/>
            <w:szCs w:val="24"/>
          </w:rPr>
          <w:t>18-22/0051r0</w:t>
        </w:r>
      </w:hyperlink>
      <w:r>
        <w:rPr>
          <w:sz w:val="24"/>
          <w:szCs w:val="24"/>
        </w:rPr>
        <w:t>, with editorial privilege for the 802.18 Chair.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Moved by: </w:t>
        <w:tab/>
        <w:t>Al Petrick (Skyworks Solutions)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Seconded by: </w:t>
        <w:tab/>
        <w:t>Ben Rolfe (BCA)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>Discussion?  None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>Vote:  Passed with unanimous consent</w:t>
        <w:br/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br w:type="page"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Status of ongoing consultations (</w:t>
      </w:r>
      <w:hyperlink r:id="rId9">
        <w:r>
          <w:rPr>
            <w:rStyle w:val="Internetlnk"/>
            <w:b/>
            <w:bCs/>
            <w:sz w:val="24"/>
            <w:szCs w:val="24"/>
          </w:rPr>
          <w:t>18-22/0035r10</w:t>
        </w:r>
      </w:hyperlink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contains the status of ongoing consultations. </w:t>
        <w:br/>
        <w:br/>
        <w:t>Chair presents the update and asks the group if anyone wanted to prepare submission on the doc links.  No comments received.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General topics.</w:t>
      </w:r>
      <w:r>
        <w:rPr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EC</w:t>
        <w:br/>
      </w:r>
      <w:hyperlink r:id="rId10">
        <w:r>
          <w:rPr>
            <w:rStyle w:val="Internetlnk"/>
            <w:sz w:val="24"/>
            <w:szCs w:val="24"/>
          </w:rPr>
          <w:t xml:space="preserve">2022 Rolling plan for ICT </w:t>
        </w:r>
      </w:hyperlink>
      <w:hyperlink r:id="rId11">
        <w:r>
          <w:rPr>
            <w:rStyle w:val="Internetlnk"/>
            <w:sz w:val="24"/>
            <w:szCs w:val="24"/>
          </w:rPr>
          <w:t>standardization</w:t>
        </w:r>
      </w:hyperlink>
      <w:r>
        <w:rPr>
          <w:sz w:val="24"/>
          <w:szCs w:val="24"/>
        </w:rPr>
        <w:t>, last updated on 26 April 2022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ETSI BRAN </w:t>
        <w:br/>
      </w:r>
      <w:hyperlink r:id="rId12">
        <w:r>
          <w:rPr>
            <w:rStyle w:val="Internetlnk"/>
            <w:sz w:val="24"/>
            <w:szCs w:val="24"/>
          </w:rPr>
          <w:t>ETSI Seminar</w:t>
        </w:r>
      </w:hyperlink>
      <w:r>
        <w:rPr>
          <w:sz w:val="24"/>
          <w:szCs w:val="24"/>
        </w:rPr>
        <w:t xml:space="preserve"> is being organized in person at the ETSI HQs on 19 May 2022. 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ab/>
        <w:t>A member provides the following update: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59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Ad-hoc meeting on a liaison to ITU-R Working Party 5A. The document that was agreed is BRAN(22)113i006. 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Canada ISED</w:t>
        <w:br/>
        <w:t>A member notes the following: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/>
      </w:pPr>
      <w:r>
        <w:rPr>
          <w:sz w:val="24"/>
          <w:szCs w:val="24"/>
        </w:rPr>
        <w:t>IEEE 802.18 should review the proposed security requirements for the Database Specification.</w:t>
      </w:r>
    </w:p>
    <w:p>
      <w:pPr>
        <w:pStyle w:val="ListParagraph"/>
        <w:spacing w:before="0" w:after="0"/>
        <w:ind w:left="1440" w:hanging="0"/>
        <w:contextualSpacing/>
        <w:jc w:val="both"/>
        <w:rPr/>
      </w:pPr>
      <w:r>
        <w:rP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FCC</w:t>
        <w:br/>
        <w:t>April 2022 Open Commission meeting was held at 10:30am ET on 21 April 2022.</w:t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20" w:hanging="0"/>
        <w:jc w:val="both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>Comment:  I found that the Receiver performance NOI was published on 22 April 2022. That would mean a deadline for making a response is on 6 June 2022.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Comment:  I do not see a deadline in the document that is currently posted at the Federal Register. I can only see that they have had an open meeting where this was on the agenda. I don't see that this already starts the clock ticking for the 45 day deadline.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Comment: We are heading into federal process territory so we may need to escalate this to someone with greater knowledge. </w:t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HKCA</w:t>
        <w:br/>
        <w:br/>
        <w:t xml:space="preserve">Creation of a Class Licence for Regulating the Use of and Trade in 6 GHz Devices for Wireless Local Area Network and Variation to the Class Licence for Provision of Public Wireless Local Area Network Services 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Decision: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Create the WLAN Device Class Licence and vary the PWLAN Service Class Licence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Refer to HKCA 1081 (Issue 1, April 2022): Performance Specification for radiocommunications apparatus operating in the 6 GHz band for wireless local area network for technical conditions:</w:t>
      </w:r>
    </w:p>
    <w:p>
      <w:pPr>
        <w:pStyle w:val="Normal"/>
        <w:numPr>
          <w:ilvl w:val="4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The apparatus shall operate in the 5.925 – 6.425 GHz frequency range</w:t>
      </w:r>
    </w:p>
    <w:p>
      <w:pPr>
        <w:pStyle w:val="Normal"/>
        <w:numPr>
          <w:ilvl w:val="4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The power limits for WLAN  are 24 dBm EIRP for indoor use and 14 dBm EIRP for outdoor use</w:t>
      </w:r>
    </w:p>
    <w:p>
      <w:pPr>
        <w:pStyle w:val="Normal"/>
        <w:numPr>
          <w:ilvl w:val="4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apparatus shall meet the technical requirements specified in the standard EN 303 687 “6 GHz WAS/RLAN; Harmonised Standard for access to radio spectrum”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Refer to HKCA 3211 (Issue 5, April 2022): Standardisation Guide for Labelling of Terlecommunications Equipments on (compulsory) labeling requirements.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An introductory article on Wi-Fi 6E for general users</w:t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br/>
        <w:t xml:space="preserve">Creation of a Class Licence for Regulating the Use of and Trade in 6 GHz Devices for Wireless Local Area Network and Variation to the Class Licence for Provision of Public Wireless Local Area Network Services 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Selected HKCA’s response: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Paragraph 12:  As mentioned in the Consultation Paper, the CA will consider the use of the 6425 – 7125 MHz band, or parts thereof, for 5G services in Hong Kong subject to the outcomes of WRC-23 and other considerations including co-existence with the incumbent services and frequency coordination with the neighbouring regions.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Paragraph 13: [t]he effectiveness of AFC to protect radio services from interference is still uncertain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Paragraph 17: [t]he CA would like to reiterate that compulsory certification of 6 GHz APs is necessary in order to deter illegal import and use of non-compliant devices which may cause in-band interference to the future 5G services likely to operate in the 6425 – 7125 MHz band, or parts thereof, in Hong Kong, while compulsory labelling can help the consumers identify compliant 6 GHz APs. In fact, similar compulsory labelling requirements have been implemented in the US and the EU to allow easy identification of compliant products.</w:t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UK Ofcom</w:t>
      </w:r>
    </w:p>
    <w:p>
      <w:pPr>
        <w:pStyle w:val="ListParagraph"/>
        <w:numPr>
          <w:ilvl w:val="0"/>
          <w:numId w:val="5"/>
        </w:numPr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Spectrum Workshop: understanding dynamic spectrum access, was organised 5 May 2022.</w:t>
      </w:r>
    </w:p>
    <w:p>
      <w:pPr>
        <w:pStyle w:val="ListParagraph"/>
        <w:spacing w:before="0" w:after="0"/>
        <w:ind w:left="108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802.18 and 802.19 Frequency ad-hoc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The comment collection for frequency table closed on 30 April 2022.  10 comments received by the deadline and 2 late comments received on 2 May 2022.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Next joint call on Tuesday 24 May 2022, 15:00-16:00 ET.</w:t>
        <w:br/>
      </w:r>
      <w:bookmarkStart w:id="0" w:name="_GoBack"/>
      <w:bookmarkEnd w:id="0"/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Reminder about Wireless interim meeting in May 2022.</w:t>
      </w:r>
      <w:r>
        <w:rPr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Reminder that the interim meeting is a credited session with attendance credit.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Registration deadlines and fees (standard registration rate expired on 29 April 2022). 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Links for registration and applicable cancellation policy.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Chair reminds the group a new Webex meeting invite for the May 2022 Wireless Interim is set up for the two sessions:  15:00 ET 12 May 2022 and 15:00 ET 19 May 2022.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Reminder about IEEE 802 Plenary meeting in July 2022.</w:t>
      </w:r>
      <w:r>
        <w:rPr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Meeting registration begins (early bird registration rate expires on 20 May 2022).</w:t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Hotel reservations are quickly running out.</w:t>
      </w:r>
    </w:p>
    <w:p>
      <w:pPr>
        <w:pStyle w:val="Normal"/>
        <w:spacing w:before="0" w:after="0"/>
        <w:ind w:left="72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Any other business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No one raises other issues.</w:t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Final administrative items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20 participants and 17 voters (including the chair) [Report by Stuart Kerry]. 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Next teleconference during interim meeting: 12 May 2022</w:t>
      </w:r>
      <w:r>
        <w:rPr>
          <w:b/>
          <w:bCs/>
          <w:sz w:val="24"/>
          <w:szCs w:val="24"/>
          <w:highlight w:val="cyan"/>
        </w:rPr>
        <w:t xml:space="preserve">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Call in info: </w:t>
      </w:r>
      <w:hyperlink r:id="rId13">
        <w:r>
          <w:rPr>
            <w:rStyle w:val="Internetlnk"/>
            <w:sz w:val="24"/>
            <w:szCs w:val="24"/>
          </w:rPr>
          <w:t>https://mentor.ieee.org/802.18/dcn/16/18-16-0038-21-0000-teleconference-call-in-info.pptx</w:t>
        </w:r>
      </w:hyperlink>
      <w:r>
        <w:rPr>
          <w:sz w:val="24"/>
          <w:szCs w:val="24"/>
        </w:rPr>
        <w:t xml:space="preserve"> 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Currently, weekly teleconferences are scheduled until 22 September 2022.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late changes/cancellations will be sent out to the 802.18 list server.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Overall IEEE 802 schedule: </w:t>
      </w:r>
      <w:hyperlink r:id="rId14">
        <w:r>
          <w:rPr>
            <w:rStyle w:val="Internetlnk"/>
            <w:sz w:val="24"/>
            <w:szCs w:val="24"/>
          </w:rPr>
          <w:t>http://ieee802.org/802tele_calendar.html</w:t>
        </w:r>
      </w:hyperlink>
      <w:r>
        <w:rPr>
          <w:sz w:val="24"/>
          <w:szCs w:val="24"/>
        </w:rPr>
        <w:t xml:space="preserve"> or only 802.18:  </w:t>
      </w:r>
      <w:hyperlink r:id="rId15">
        <w:r>
          <w:rPr>
            <w:rStyle w:val="Internetlnk"/>
            <w:sz w:val="24"/>
            <w:szCs w:val="24"/>
          </w:rPr>
          <w:t>IEEE 802.18 TAG Calendar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Cs/>
          <w:sz w:val="24"/>
          <w:szCs w:val="24"/>
        </w:rPr>
        <w:t xml:space="preserve">Adjourn: </w:t>
        <w:tab/>
        <w:t xml:space="preserve"> </w:t>
      </w:r>
    </w:p>
    <w:p>
      <w:pPr>
        <w:pStyle w:val="ListParagraph"/>
        <w:numPr>
          <w:ilvl w:val="0"/>
          <w:numId w:val="5"/>
        </w:numPr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Any objection to Adjourn?  None heard.</w:t>
      </w:r>
    </w:p>
    <w:p>
      <w:pPr>
        <w:pStyle w:val="ListParagraph"/>
        <w:numPr>
          <w:ilvl w:val="0"/>
          <w:numId w:val="5"/>
        </w:numPr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Adjourn at 15:56 ET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ATTENDANCE (</w:t>
      </w:r>
      <w:r>
        <w:rPr>
          <w:rFonts w:eastAsia="Times New Roman"/>
          <w:b/>
          <w:bCs/>
          <w:sz w:val="24"/>
          <w:szCs w:val="24"/>
        </w:rPr>
        <w:t>Weekly Meeting Attendance Names and Affiliations):</w:t>
      </w:r>
    </w:p>
    <w:p>
      <w:pPr>
        <w:pStyle w:val="ListParagraph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826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266"/>
        <w:gridCol w:w="1442"/>
        <w:gridCol w:w="1927"/>
        <w:gridCol w:w="4063"/>
        <w:gridCol w:w="566"/>
      </w:tblGrid>
      <w:tr>
        <w:trPr/>
        <w:tc>
          <w:tcPr>
            <w:tcW w:w="1708" w:type="dxa"/>
            <w:gridSpan w:val="2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Voting Attendees: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5-May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Au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Edward (Kwok Shum)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Huawei Technologies Co., Ltd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Auluck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Vijay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Self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3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Boldy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David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Broadcom Corporation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4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Ecclesine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Peter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Cisco Systems, Inc.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5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Hiertz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Guido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Ericsson GmbH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6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Holcomb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Jay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Itron Inc.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Jeffries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Timothy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FutureWei Technologies, Inc.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8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Kennedy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Richard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Self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9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Kenney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John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TOYOTA InfoTechnology Center U.S.A.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10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Kerry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Stuart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/>
            </w:pPr>
            <w:r>
              <w:rPr>
                <w:rFonts w:ascii="Arial;sans-serif" w:hAnsi="Arial;sans-serif"/>
                <w:sz w:val="20"/>
              </w:rPr>
              <w:t>OK</w:t>
            </w:r>
            <w:r>
              <w:rPr/>
              <w:t>‐</w:t>
            </w:r>
            <w:r>
              <w:rPr>
                <w:rFonts w:ascii="Arial;sans-serif" w:hAnsi="Arial;sans-serif"/>
                <w:sz w:val="20"/>
              </w:rPr>
              <w:t>Brit, Self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11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Levy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Joseph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InterDigital, Inc.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12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Lynch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Michael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MJ Lynch &amp; Associates, LLC.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13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Petrick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Al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Skyworks Solutions Inc.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14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Pirhonen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Riku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NXP Semiconductors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15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Rolfe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Benjamin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Blind Creek Associates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16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Scott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Andy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NCTA – The Internet &amp; Television Association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17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Yaghoobi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Hassan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Intel Corporation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35" w:type="dxa"/>
            <w:gridSpan w:val="3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Non-Voting Attendees: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Andersdotter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Amelia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 UK Group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Fang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Yonggang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MediaTek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3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Haasz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Jodi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IEEE SA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</w:tbl>
    <w:p>
      <w:pPr>
        <w:pStyle w:val="ListParagraph"/>
        <w:ind w:left="0" w:hanging="0"/>
        <w:rPr>
          <w:b/>
          <w:b/>
          <w:sz w:val="24"/>
          <w:szCs w:val="24"/>
        </w:rPr>
      </w:pPr>
      <w:r>
        <w:rPr/>
      </w:r>
    </w:p>
    <w:sectPr>
      <w:headerReference w:type="default" r:id="rId16"/>
      <w:footerReference w:type="default" r:id="rId17"/>
      <w:type w:val="nextPage"/>
      <w:pgSz w:w="12240" w:h="15840"/>
      <w:pgMar w:left="360" w:right="1080" w:gutter="720" w:header="432" w:top="1080" w:footer="432" w:bottom="10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Consola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Noto Sans Devanagari">
    <w:charset w:val="01"/>
    <w:family w:val="roman"/>
    <w:pitch w:val="variable"/>
  </w:font>
  <w:font w:name="Noto Sans"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Arial">
    <w:charset w:val="01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tabs>
        <w:tab w:val="clear" w:pos="6480"/>
        <w:tab w:val="center" w:pos="5040" w:leader="none"/>
        <w:tab w:val="right" w:pos="9990" w:leader="none"/>
        <w:tab w:val="right" w:pos="12960" w:leader="none"/>
      </w:tabs>
      <w:rPr/>
    </w:pPr>
    <w:r>
      <w:rPr/>
      <w:fldChar w:fldCharType="begin"/>
    </w:r>
    <w:r>
      <w:rPr/>
      <w:instrText> SUBJECT </w:instrText>
    </w:r>
    <w:r>
      <w:rPr/>
      <w:fldChar w:fldCharType="separate"/>
    </w:r>
    <w:r>
      <w:rPr/>
      <w:t>RR-TAG Minutes</w:t>
    </w:r>
    <w:r>
      <w:rPr/>
      <w:fldChar w:fldCharType="end"/>
    </w:r>
    <w:r>
      <w:rPr/>
      <w:tab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5</w:t>
    </w:r>
    <w:r>
      <w:rPr/>
      <w:fldChar w:fldCharType="end"/>
    </w:r>
    <w:r>
      <w:rPr/>
      <w:tab/>
      <w:t>Amelia Andersdotter (Sky UK)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tabs>
        <w:tab w:val="clear" w:pos="6480"/>
        <w:tab w:val="center" w:pos="4680" w:leader="none"/>
        <w:tab w:val="right" w:pos="9990" w:leader="none"/>
        <w:tab w:val="right" w:pos="12960" w:leader="none"/>
      </w:tabs>
      <w:rPr/>
    </w:pPr>
    <w:r>
      <w:rPr/>
      <w:t>May 2022</w:t>
      <w:tab/>
      <w:tab/>
      <w:t>doc.: IEEE.18-22-005</w:t>
    </w:r>
    <w:r>
      <w:rPr/>
      <w:t>2</w:t>
    </w:r>
    <w:r>
      <w:rPr/>
      <w:t>r0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SimSu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mirrorMargins/>
  <w:defaultTabStop w:val="720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02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Rubrik1">
    <w:name w:val="Heading 1"/>
    <w:basedOn w:val="Normal"/>
    <w:next w:val="Normal"/>
    <w:qFormat/>
    <w:pPr>
      <w:keepNext w:val="true"/>
      <w:keepLines/>
      <w:spacing w:before="320" w:after="0"/>
      <w:outlineLvl w:val="0"/>
    </w:pPr>
    <w:rPr>
      <w:rFonts w:ascii="Arial" w:hAnsi="Arial"/>
      <w:b/>
      <w:sz w:val="32"/>
      <w:u w:val="single"/>
    </w:rPr>
  </w:style>
  <w:style w:type="paragraph" w:styleId="Rubrik2">
    <w:name w:val="Heading 2"/>
    <w:basedOn w:val="Normal"/>
    <w:next w:val="Normal"/>
    <w:qFormat/>
    <w:pPr>
      <w:keepNext w:val="true"/>
      <w:keepLines/>
      <w:spacing w:before="280" w:after="0"/>
      <w:outlineLvl w:val="1"/>
    </w:pPr>
    <w:rPr>
      <w:rFonts w:ascii="Arial" w:hAnsi="Arial"/>
      <w:b/>
      <w:sz w:val="28"/>
      <w:u w:val="single"/>
    </w:rPr>
  </w:style>
  <w:style w:type="paragraph" w:styleId="Rubrik3">
    <w:name w:val="Heading 3"/>
    <w:basedOn w:val="Normal"/>
    <w:next w:val="Normal"/>
    <w:qFormat/>
    <w:pPr>
      <w:keepNext w:val="true"/>
      <w:keepLines/>
      <w:spacing w:before="240" w:after="60"/>
      <w:outlineLvl w:val="2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 w:customStyle="1">
    <w:name w:val="Internetlänk"/>
    <w:basedOn w:val="DefaultParagraphFont"/>
    <w:uiPriority w:val="99"/>
    <w:rsid w:val="00794702"/>
    <w:rPr>
      <w:color w:val="0563C1" w:themeColor="hyperlink"/>
      <w:u w:val="single"/>
    </w:rPr>
  </w:style>
  <w:style w:type="character" w:styleId="AnvndInternetlnk" w:customStyle="1">
    <w:name w:val="Använd Internetlänk"/>
    <w:rsid w:val="002e5b8c"/>
    <w:rPr>
      <w:color w:val="800080"/>
      <w:u w:val="single"/>
    </w:rPr>
  </w:style>
  <w:style w:type="character" w:styleId="Highlight1" w:customStyle="1">
    <w:name w:val="highlight1"/>
    <w:qFormat/>
    <w:rsid w:val="00ff0e1b"/>
    <w:rPr>
      <w:b/>
      <w:bCs/>
    </w:rPr>
  </w:style>
  <w:style w:type="character" w:styleId="Applestylespan" w:customStyle="1">
    <w:name w:val="apple-style-span"/>
    <w:basedOn w:val="DefaultParagraphFont"/>
    <w:qFormat/>
    <w:rsid w:val="00b72ac7"/>
    <w:rPr/>
  </w:style>
  <w:style w:type="character" w:styleId="Style11" w:customStyle="1">
    <w:name w:val="style1"/>
    <w:basedOn w:val="DefaultParagraphFont"/>
    <w:qFormat/>
    <w:rsid w:val="00b96db2"/>
    <w:rPr/>
  </w:style>
  <w:style w:type="character" w:styleId="BalloonTextChar" w:customStyle="1">
    <w:name w:val="Balloon Text Char"/>
    <w:link w:val="BalloonText"/>
    <w:qFormat/>
    <w:rsid w:val="00175872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styleId="Rsgtitle1" w:customStyle="1">
    <w:name w:val="rsg-title1"/>
    <w:qFormat/>
    <w:rsid w:val="0056473e"/>
    <w:rPr>
      <w:b/>
      <w:bCs/>
      <w:color w:val="37ACAB"/>
      <w:sz w:val="26"/>
      <w:szCs w:val="26"/>
    </w:rPr>
  </w:style>
  <w:style w:type="character" w:styleId="PlainTextChar" w:customStyle="1">
    <w:name w:val="Plain Text Char"/>
    <w:link w:val="PlainText"/>
    <w:uiPriority w:val="99"/>
    <w:qFormat/>
    <w:rsid w:val="009d0fe5"/>
    <w:rPr>
      <w:rFonts w:ascii="Consolas" w:hAnsi="Consolas" w:eastAsia="Calibri" w:cs="Consolas"/>
      <w:sz w:val="22"/>
      <w:szCs w:val="22"/>
    </w:rPr>
  </w:style>
  <w:style w:type="character" w:styleId="Appleconvertedspace" w:customStyle="1">
    <w:name w:val="apple-converted-space"/>
    <w:qFormat/>
    <w:rsid w:val="00386cfb"/>
    <w:rPr/>
  </w:style>
  <w:style w:type="character" w:styleId="BodyTextChar" w:customStyle="1">
    <w:name w:val="Body Text Char"/>
    <w:link w:val="BodyText"/>
    <w:qFormat/>
    <w:rsid w:val="006c5e1c"/>
    <w:rPr>
      <w:sz w:val="22"/>
    </w:rPr>
  </w:style>
  <w:style w:type="character" w:styleId="Betonad" w:customStyle="1">
    <w:name w:val="Betonad"/>
    <w:uiPriority w:val="20"/>
    <w:qFormat/>
    <w:rsid w:val="00124d75"/>
    <w:rPr>
      <w:i/>
      <w:iCs/>
    </w:rPr>
  </w:style>
  <w:style w:type="character" w:styleId="Fotnotsankare" w:customStyle="1">
    <w:name w:val="Fotnotsankare"/>
    <w:rPr>
      <w:sz w:val="18"/>
      <w:vertAlign w:val="superscript"/>
    </w:rPr>
  </w:style>
  <w:style w:type="character" w:styleId="FootnoteCharacters" w:customStyle="1">
    <w:name w:val="Footnote Characters"/>
    <w:uiPriority w:val="99"/>
    <w:qFormat/>
    <w:rsid w:val="006b3b87"/>
    <w:rPr>
      <w:sz w:val="18"/>
      <w:vertAlign w:val="superscript"/>
    </w:rPr>
  </w:style>
  <w:style w:type="character" w:styleId="FootnoteTextChar" w:customStyle="1">
    <w:name w:val="Footnote Text Char"/>
    <w:link w:val="FootnoteText"/>
    <w:qFormat/>
    <w:rsid w:val="006b3b87"/>
    <w:rPr>
      <w:sz w:val="24"/>
    </w:rPr>
  </w:style>
  <w:style w:type="character" w:styleId="Mention1" w:customStyle="1">
    <w:name w:val="Mention1"/>
    <w:uiPriority w:val="99"/>
    <w:semiHidden/>
    <w:unhideWhenUsed/>
    <w:qFormat/>
    <w:rsid w:val="00211283"/>
    <w:rPr>
      <w:color w:val="2B579A"/>
      <w:shd w:fill="E6E6E6" w:val="clear"/>
    </w:rPr>
  </w:style>
  <w:style w:type="character" w:styleId="UnresolvedMention1" w:customStyle="1">
    <w:name w:val="Unresolved Mention1"/>
    <w:uiPriority w:val="99"/>
    <w:semiHidden/>
    <w:unhideWhenUsed/>
    <w:qFormat/>
    <w:rsid w:val="0064115a"/>
    <w:rPr>
      <w:color w:val="808080"/>
      <w:shd w:fill="E6E6E6" w:val="clear"/>
    </w:rPr>
  </w:style>
  <w:style w:type="character" w:styleId="NichtaufgelsteErwhnung1" w:customStyle="1">
    <w:name w:val="Nicht aufgelöste Erwähnung1"/>
    <w:uiPriority w:val="99"/>
    <w:semiHidden/>
    <w:unhideWhenUsed/>
    <w:qFormat/>
    <w:rsid w:val="00d30224"/>
    <w:rPr>
      <w:color w:val="605E5C"/>
      <w:shd w:fill="E1DFDD" w:val="clear"/>
    </w:rPr>
  </w:style>
  <w:style w:type="character" w:styleId="Punkter" w:customStyle="1">
    <w:name w:val="Punkter"/>
    <w:qFormat/>
    <w:rPr>
      <w:rFonts w:ascii="OpenSymbol" w:hAnsi="OpenSymbol" w:eastAsia="OpenSymbol" w:cs="OpenSymbol"/>
    </w:rPr>
  </w:style>
  <w:style w:type="character" w:styleId="Radnumrering" w:customStyle="1">
    <w:name w:val="Radnumrering"/>
    <w:rPr/>
  </w:style>
  <w:style w:type="character" w:styleId="Annotationreference">
    <w:name w:val="annotation reference"/>
    <w:basedOn w:val="DefaultParagraphFont"/>
    <w:qFormat/>
    <w:rsid w:val="00c20ea8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qFormat/>
    <w:rsid w:val="00c20ea8"/>
    <w:rPr/>
  </w:style>
  <w:style w:type="character" w:styleId="CommentSubjectChar" w:customStyle="1">
    <w:name w:val="Comment Subject Char"/>
    <w:basedOn w:val="CommentTextChar"/>
    <w:link w:val="CommentSubject"/>
    <w:semiHidden/>
    <w:qFormat/>
    <w:rsid w:val="00c20ea8"/>
    <w:rPr>
      <w:b/>
      <w:bCs/>
    </w:rPr>
  </w:style>
  <w:style w:type="paragraph" w:styleId="Rubrik" w:customStyle="1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rdtext">
    <w:name w:val="Body Text"/>
    <w:basedOn w:val="Normal"/>
    <w:link w:val="BodyTextChar"/>
    <w:rsid w:val="006c5e1c"/>
    <w:pPr>
      <w:spacing w:before="0" w:after="120"/>
    </w:pPr>
    <w:rPr/>
  </w:style>
  <w:style w:type="paragraph" w:styleId="Lista">
    <w:name w:val="List"/>
    <w:basedOn w:val="Brdtext"/>
    <w:pPr/>
    <w:rPr>
      <w:rFonts w:cs="Noto Sans Devanagari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Frteckning" w:customStyle="1">
    <w:name w:val="Förteckning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idhuvudochsidfot" w:customStyle="1">
    <w:name w:val="Sidhuvud och sidfot"/>
    <w:basedOn w:val="Normal"/>
    <w:qFormat/>
    <w:pPr/>
    <w:rPr/>
  </w:style>
  <w:style w:type="paragraph" w:styleId="Sidfot">
    <w:name w:val="Footer"/>
    <w:basedOn w:val="Normal"/>
    <w:pPr>
      <w:pBdr>
        <w:top w:val="single" w:sz="6" w:space="1" w:color="000000"/>
      </w:pBdr>
      <w:tabs>
        <w:tab w:val="clear" w:pos="720"/>
        <w:tab w:val="center" w:pos="6480" w:leader="none"/>
        <w:tab w:val="right" w:pos="12960" w:leader="none"/>
      </w:tabs>
    </w:pPr>
    <w:rPr>
      <w:sz w:val="24"/>
    </w:rPr>
  </w:style>
  <w:style w:type="paragraph" w:styleId="Sidhuvud">
    <w:name w:val="Header"/>
    <w:basedOn w:val="Normal"/>
    <w:pPr>
      <w:pBdr>
        <w:bottom w:val="single" w:sz="6" w:space="2" w:color="000000"/>
      </w:pBdr>
      <w:tabs>
        <w:tab w:val="clear" w:pos="720"/>
        <w:tab w:val="center" w:pos="6480" w:leader="none"/>
        <w:tab w:val="right" w:pos="12960" w:leader="none"/>
      </w:tabs>
    </w:pPr>
    <w:rPr>
      <w:b/>
      <w:sz w:val="28"/>
    </w:rPr>
  </w:style>
  <w:style w:type="paragraph" w:styleId="T1" w:customStyle="1">
    <w:name w:val="T1"/>
    <w:basedOn w:val="Normal"/>
    <w:qFormat/>
    <w:pPr>
      <w:jc w:val="center"/>
    </w:pPr>
    <w:rPr>
      <w:b/>
      <w:sz w:val="28"/>
    </w:rPr>
  </w:style>
  <w:style w:type="paragraph" w:styleId="T2" w:customStyle="1">
    <w:name w:val="T2"/>
    <w:basedOn w:val="T1"/>
    <w:qFormat/>
    <w:pPr>
      <w:spacing w:before="0" w:after="240"/>
      <w:ind w:left="720" w:right="720" w:hanging="0"/>
    </w:pPr>
    <w:rPr/>
  </w:style>
  <w:style w:type="paragraph" w:styleId="T3" w:customStyle="1">
    <w:name w:val="T3"/>
    <w:basedOn w:val="T1"/>
    <w:qFormat/>
    <w:pPr>
      <w:pBdr>
        <w:bottom w:val="single" w:sz="6" w:space="1" w:color="000000"/>
      </w:pBdr>
      <w:tabs>
        <w:tab w:val="clear" w:pos="720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Drainhelastycket">
    <w:name w:val="Body Text Indent"/>
    <w:basedOn w:val="Normal"/>
    <w:pPr>
      <w:ind w:left="720" w:hanging="720"/>
    </w:pPr>
    <w:rPr/>
  </w:style>
  <w:style w:type="paragraph" w:styleId="ListParagraph">
    <w:name w:val="List Paragraph"/>
    <w:basedOn w:val="Normal"/>
    <w:uiPriority w:val="34"/>
    <w:qFormat/>
    <w:rsid w:val="003f3970"/>
    <w:pPr>
      <w:ind w:left="720" w:hanging="0"/>
    </w:pPr>
    <w:rPr/>
  </w:style>
  <w:style w:type="paragraph" w:styleId="Default" w:customStyle="1">
    <w:name w:val="Default"/>
    <w:qFormat/>
    <w:rsid w:val="004c5e41"/>
    <w:pPr>
      <w:widowControl/>
      <w:suppressAutoHyphens w:val="true"/>
      <w:bidi w:val="0"/>
      <w:spacing w:before="0" w:after="0"/>
      <w:jc w:val="left"/>
    </w:pPr>
    <w:rPr>
      <w:rFonts w:ascii="Arial" w:hAnsi="Arial" w:cs="Arial" w:eastAsia="SimSun"/>
      <w:color w:val="000000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qFormat/>
    <w:rsid w:val="00175872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410713"/>
    <w:pPr>
      <w:spacing w:beforeAutospacing="1" w:afterAutospacing="1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rsid w:val="009c6c15"/>
    <w:pPr>
      <w:widowControl w:val="false"/>
      <w:tabs>
        <w:tab w:val="clear" w:pos="720"/>
        <w:tab w:val="right" w:pos="9360" w:leader="none"/>
      </w:tabs>
    </w:pPr>
    <w:rPr>
      <w:kern w:val="2"/>
    </w:rPr>
  </w:style>
  <w:style w:type="paragraph" w:styleId="PlainText">
    <w:name w:val="Plain Text"/>
    <w:basedOn w:val="Normal"/>
    <w:link w:val="PlainTextChar"/>
    <w:uiPriority w:val="99"/>
    <w:unhideWhenUsed/>
    <w:qFormat/>
    <w:rsid w:val="009d0fe5"/>
    <w:pPr/>
    <w:rPr>
      <w:rFonts w:ascii="Consolas" w:hAnsi="Consolas" w:eastAsia="Calibri" w:cs="Consolas"/>
      <w:szCs w:val="22"/>
    </w:rPr>
  </w:style>
  <w:style w:type="paragraph" w:styleId="Style51" w:customStyle="1">
    <w:name w:val="style5"/>
    <w:basedOn w:val="Normal"/>
    <w:qFormat/>
    <w:rsid w:val="00a442b1"/>
    <w:pPr/>
    <w:rPr>
      <w:sz w:val="24"/>
      <w:szCs w:val="24"/>
    </w:rPr>
  </w:style>
  <w:style w:type="paragraph" w:styleId="Style12" w:customStyle="1">
    <w:name w:val="Style1"/>
    <w:basedOn w:val="Brdtext"/>
    <w:qFormat/>
    <w:rsid w:val="006c5e1c"/>
    <w:pPr>
      <w:widowControl w:val="false"/>
      <w:spacing w:before="0" w:after="0"/>
      <w:jc w:val="center"/>
    </w:pPr>
    <w:rPr>
      <w:b/>
      <w:sz w:val="20"/>
    </w:rPr>
  </w:style>
  <w:style w:type="paragraph" w:styleId="Fotnot">
    <w:name w:val="Footnote Text"/>
    <w:basedOn w:val="Normal"/>
    <w:link w:val="FootnoteTextChar"/>
    <w:rsid w:val="006b3b87"/>
    <w:pPr>
      <w:keepLines/>
      <w:tabs>
        <w:tab w:val="clear" w:pos="720"/>
        <w:tab w:val="left" w:pos="255" w:leader="none"/>
        <w:tab w:val="left" w:pos="1134" w:leader="none"/>
        <w:tab w:val="left" w:pos="1871" w:leader="none"/>
        <w:tab w:val="left" w:pos="2268" w:leader="none"/>
      </w:tabs>
      <w:spacing w:before="120" w:after="0"/>
      <w:textAlignment w:val="baseline"/>
    </w:pPr>
    <w:rPr>
      <w:sz w:val="24"/>
    </w:rPr>
  </w:style>
  <w:style w:type="paragraph" w:styleId="Ofcnormal" w:customStyle="1">
    <w:name w:val="ofcnormal"/>
    <w:basedOn w:val="Normal"/>
    <w:qFormat/>
    <w:rsid w:val="00200006"/>
    <w:pPr>
      <w:spacing w:beforeAutospacing="1" w:after="0"/>
    </w:pPr>
    <w:rPr>
      <w:rFonts w:ascii="Calibri" w:hAnsi="Calibri" w:eastAsia="Times New Roman"/>
      <w:sz w:val="20"/>
    </w:rPr>
  </w:style>
  <w:style w:type="paragraph" w:styleId="Standard1" w:customStyle="1">
    <w:name w:val="Standard1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Objektutanfyllning" w:customStyle="1">
    <w:name w:val="Objekt utan fyllning"/>
    <w:basedOn w:val="Standard1"/>
    <w:qFormat/>
    <w:pPr/>
    <w:rPr/>
  </w:style>
  <w:style w:type="paragraph" w:styleId="Objektutanfyllningochutanlinjer" w:customStyle="1">
    <w:name w:val="Objekt utan fyllning och utan linjer"/>
    <w:basedOn w:val="Standard1"/>
    <w:qFormat/>
    <w:pPr/>
    <w:rPr/>
  </w:style>
  <w:style w:type="paragraph" w:styleId="A4" w:customStyle="1">
    <w:name w:val="A4"/>
    <w:basedOn w:val="Text"/>
    <w:qFormat/>
    <w:pPr/>
    <w:rPr>
      <w:rFonts w:ascii="Noto Sans" w:hAnsi="Noto Sans"/>
      <w:sz w:val="36"/>
    </w:rPr>
  </w:style>
  <w:style w:type="paragraph" w:styleId="Text" w:customStyle="1">
    <w:name w:val="Text"/>
    <w:basedOn w:val="Caption"/>
    <w:qFormat/>
    <w:pPr/>
    <w:rPr/>
  </w:style>
  <w:style w:type="paragraph" w:styleId="TitelA4" w:customStyle="1">
    <w:name w:val="Titel A4"/>
    <w:basedOn w:val="A4"/>
    <w:qFormat/>
    <w:pPr/>
    <w:rPr>
      <w:sz w:val="87"/>
    </w:rPr>
  </w:style>
  <w:style w:type="paragraph" w:styleId="RubrikA4" w:customStyle="1">
    <w:name w:val="Rubrik A4"/>
    <w:basedOn w:val="A4"/>
    <w:qFormat/>
    <w:pPr/>
    <w:rPr>
      <w:sz w:val="48"/>
    </w:rPr>
  </w:style>
  <w:style w:type="paragraph" w:styleId="TextA4" w:customStyle="1">
    <w:name w:val="Text A4"/>
    <w:basedOn w:val="A4"/>
    <w:qFormat/>
    <w:pPr/>
    <w:rPr/>
  </w:style>
  <w:style w:type="paragraph" w:styleId="A0" w:customStyle="1">
    <w:name w:val="A0"/>
    <w:basedOn w:val="Text"/>
    <w:qFormat/>
    <w:pPr/>
    <w:rPr>
      <w:rFonts w:ascii="Noto Sans" w:hAnsi="Noto Sans"/>
      <w:sz w:val="95"/>
    </w:rPr>
  </w:style>
  <w:style w:type="paragraph" w:styleId="TitelA0" w:customStyle="1">
    <w:name w:val="Titel A0"/>
    <w:basedOn w:val="A0"/>
    <w:qFormat/>
    <w:pPr/>
    <w:rPr>
      <w:sz w:val="191"/>
    </w:rPr>
  </w:style>
  <w:style w:type="paragraph" w:styleId="RubrikA0" w:customStyle="1">
    <w:name w:val="Rubrik A0"/>
    <w:basedOn w:val="A0"/>
    <w:qFormat/>
    <w:pPr/>
    <w:rPr>
      <w:sz w:val="143"/>
    </w:rPr>
  </w:style>
  <w:style w:type="paragraph" w:styleId="TextA0" w:customStyle="1">
    <w:name w:val="Text A0"/>
    <w:basedOn w:val="A0"/>
    <w:qFormat/>
    <w:pPr/>
    <w:rPr/>
  </w:style>
  <w:style w:type="paragraph" w:styleId="Grafik" w:customStyle="1">
    <w:name w:val="Grafik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Noto Sans" w:cs="Liberation Sans"/>
      <w:color w:val="auto"/>
      <w:kern w:val="0"/>
      <w:sz w:val="36"/>
      <w:szCs w:val="24"/>
      <w:lang w:val="en-US" w:eastAsia="en-US" w:bidi="ar-SA"/>
    </w:rPr>
  </w:style>
  <w:style w:type="paragraph" w:styleId="Former" w:customStyle="1">
    <w:name w:val="Former"/>
    <w:basedOn w:val="Grafik"/>
    <w:qFormat/>
    <w:pPr/>
    <w:rPr>
      <w:b/>
      <w:sz w:val="28"/>
    </w:rPr>
  </w:style>
  <w:style w:type="paragraph" w:styleId="Fylld" w:customStyle="1">
    <w:name w:val="Fylld"/>
    <w:basedOn w:val="Former"/>
    <w:qFormat/>
    <w:pPr/>
    <w:rPr/>
  </w:style>
  <w:style w:type="paragraph" w:styleId="Fylldbl" w:customStyle="1">
    <w:name w:val="Fylld blå"/>
    <w:basedOn w:val="Fylld"/>
    <w:qFormat/>
    <w:pPr/>
    <w:rPr>
      <w:color w:val="FFFFFF"/>
    </w:rPr>
  </w:style>
  <w:style w:type="paragraph" w:styleId="Fylldgrn" w:customStyle="1">
    <w:name w:val="Fylld grön"/>
    <w:basedOn w:val="Fylld"/>
    <w:qFormat/>
    <w:pPr/>
    <w:rPr>
      <w:color w:val="FFFFFF"/>
    </w:rPr>
  </w:style>
  <w:style w:type="paragraph" w:styleId="Fylldrd" w:customStyle="1">
    <w:name w:val="Fylld röd"/>
    <w:basedOn w:val="Fylld"/>
    <w:qFormat/>
    <w:pPr/>
    <w:rPr>
      <w:color w:val="FFFFFF"/>
    </w:rPr>
  </w:style>
  <w:style w:type="paragraph" w:styleId="Fylldgul" w:customStyle="1">
    <w:name w:val="Fylld gul"/>
    <w:basedOn w:val="Fylld"/>
    <w:qFormat/>
    <w:pPr/>
    <w:rPr>
      <w:color w:val="FFFFFF"/>
    </w:rPr>
  </w:style>
  <w:style w:type="paragraph" w:styleId="Skisserad" w:customStyle="1">
    <w:name w:val="Skisserad"/>
    <w:basedOn w:val="Former"/>
    <w:qFormat/>
    <w:pPr/>
    <w:rPr/>
  </w:style>
  <w:style w:type="paragraph" w:styleId="Skisseradbl" w:customStyle="1">
    <w:name w:val="Skisserad blå"/>
    <w:basedOn w:val="Skisserad"/>
    <w:qFormat/>
    <w:pPr/>
    <w:rPr>
      <w:color w:val="355269"/>
    </w:rPr>
  </w:style>
  <w:style w:type="paragraph" w:styleId="Skisseradgrn" w:customStyle="1">
    <w:name w:val="Skisserad grön"/>
    <w:basedOn w:val="Skisserad"/>
    <w:qFormat/>
    <w:pPr/>
    <w:rPr>
      <w:color w:val="127622"/>
    </w:rPr>
  </w:style>
  <w:style w:type="paragraph" w:styleId="Skisseradrd" w:customStyle="1">
    <w:name w:val="Skisserad röd"/>
    <w:basedOn w:val="Skisserad"/>
    <w:qFormat/>
    <w:pPr/>
    <w:rPr>
      <w:color w:val="C9211E"/>
    </w:rPr>
  </w:style>
  <w:style w:type="paragraph" w:styleId="Skisseradgul" w:customStyle="1">
    <w:name w:val="Skisserad gul"/>
    <w:basedOn w:val="Skisserad"/>
    <w:qFormat/>
    <w:pPr/>
    <w:rPr>
      <w:color w:val="B47804"/>
    </w:rPr>
  </w:style>
  <w:style w:type="paragraph" w:styleId="Linjer" w:customStyle="1">
    <w:name w:val="Linjer"/>
    <w:basedOn w:val="Grafik"/>
    <w:qFormat/>
    <w:pPr/>
    <w:rPr/>
  </w:style>
  <w:style w:type="paragraph" w:styleId="Pillinje" w:customStyle="1">
    <w:name w:val="Pillinje"/>
    <w:basedOn w:val="Linjer"/>
    <w:qFormat/>
    <w:pPr/>
    <w:rPr/>
  </w:style>
  <w:style w:type="paragraph" w:styleId="Streckadlinje" w:customStyle="1">
    <w:name w:val="Streckad linje"/>
    <w:basedOn w:val="Linjer"/>
    <w:qFormat/>
    <w:pPr/>
    <w:rPr/>
  </w:style>
  <w:style w:type="paragraph" w:styleId="TitleandContentLTGliederung1" w:customStyle="1">
    <w:name w:val="Title and Content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TitleandContentLTGliederung2" w:customStyle="1">
    <w:name w:val="Title and Content~LT~Gliederung 2"/>
    <w:basedOn w:val="TitleandContentLTGliederung1"/>
    <w:qFormat/>
    <w:pPr>
      <w:spacing w:before="227" w:after="0"/>
    </w:pPr>
    <w:rPr>
      <w:b w:val="false"/>
      <w:sz w:val="36"/>
    </w:rPr>
  </w:style>
  <w:style w:type="paragraph" w:styleId="TitleandContentLTGliederung3" w:customStyle="1">
    <w:name w:val="Title and Content~LT~Gliederung 3"/>
    <w:basedOn w:val="TitleandContentLTGliederung2"/>
    <w:qFormat/>
    <w:pPr>
      <w:spacing w:before="170" w:after="0"/>
    </w:pPr>
    <w:rPr>
      <w:sz w:val="32"/>
    </w:rPr>
  </w:style>
  <w:style w:type="paragraph" w:styleId="TitleandContentLTGliederung4" w:customStyle="1">
    <w:name w:val="Title and Content~LT~Gliederung 4"/>
    <w:basedOn w:val="TitleandContentLTGliederung3"/>
    <w:qFormat/>
    <w:pPr>
      <w:spacing w:before="113" w:after="0"/>
    </w:pPr>
    <w:rPr/>
  </w:style>
  <w:style w:type="paragraph" w:styleId="TitleandContentLTGliederung5" w:customStyle="1">
    <w:name w:val="Title and Content~LT~Gliederung 5"/>
    <w:basedOn w:val="TitleandContentLTGliederung4"/>
    <w:qFormat/>
    <w:pPr>
      <w:spacing w:before="57" w:after="0"/>
    </w:pPr>
    <w:rPr>
      <w:sz w:val="40"/>
    </w:rPr>
  </w:style>
  <w:style w:type="paragraph" w:styleId="TitleandContentLTGliederung6" w:customStyle="1">
    <w:name w:val="Title and Content~LT~Gliederung 6"/>
    <w:basedOn w:val="TitleandContentLTGliederung5"/>
    <w:qFormat/>
    <w:pPr/>
    <w:rPr/>
  </w:style>
  <w:style w:type="paragraph" w:styleId="TitleandContentLTGliederung7" w:customStyle="1">
    <w:name w:val="Title and Content~LT~Gliederung 7"/>
    <w:basedOn w:val="TitleandContentLTGliederung6"/>
    <w:qFormat/>
    <w:pPr/>
    <w:rPr/>
  </w:style>
  <w:style w:type="paragraph" w:styleId="TitleandContentLTGliederung8" w:customStyle="1">
    <w:name w:val="Title and Content~LT~Gliederung 8"/>
    <w:basedOn w:val="TitleandContentLTGliederung7"/>
    <w:qFormat/>
    <w:pPr/>
    <w:rPr/>
  </w:style>
  <w:style w:type="paragraph" w:styleId="TitleandContentLTGliederung9" w:customStyle="1">
    <w:name w:val="Title and Content~LT~Gliederung 9"/>
    <w:basedOn w:val="TitleandContentLTGliederung8"/>
    <w:qFormat/>
    <w:pPr/>
    <w:rPr/>
  </w:style>
  <w:style w:type="paragraph" w:styleId="TitleandContentLTTitel" w:customStyle="1">
    <w:name w:val="Title and Content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TitleandContentLTUntertitel" w:customStyle="1">
    <w:name w:val="Title and Content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TitleandContentLTNotizen" w:customStyle="1">
    <w:name w:val="Title and Content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TitleandContentLTHintergrundobjekte" w:customStyle="1">
    <w:name w:val="Title and Content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itleandContentLTHintergrund" w:customStyle="1">
    <w:name w:val="Title and Content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Default1" w:customStyle="1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Gray1" w:customStyle="1">
    <w:name w:val="gray1"/>
    <w:basedOn w:val="Default1"/>
    <w:qFormat/>
    <w:pPr/>
    <w:rPr/>
  </w:style>
  <w:style w:type="paragraph" w:styleId="Gray2" w:customStyle="1">
    <w:name w:val="gray2"/>
    <w:basedOn w:val="Default1"/>
    <w:qFormat/>
    <w:pPr/>
    <w:rPr/>
  </w:style>
  <w:style w:type="paragraph" w:styleId="Gray3" w:customStyle="1">
    <w:name w:val="gray3"/>
    <w:basedOn w:val="Default1"/>
    <w:qFormat/>
    <w:pPr/>
    <w:rPr/>
  </w:style>
  <w:style w:type="paragraph" w:styleId="Bw1" w:customStyle="1">
    <w:name w:val="bw1"/>
    <w:basedOn w:val="Default1"/>
    <w:qFormat/>
    <w:pPr/>
    <w:rPr/>
  </w:style>
  <w:style w:type="paragraph" w:styleId="Bw2" w:customStyle="1">
    <w:name w:val="bw2"/>
    <w:basedOn w:val="Default1"/>
    <w:qFormat/>
    <w:pPr/>
    <w:rPr/>
  </w:style>
  <w:style w:type="paragraph" w:styleId="Bw3" w:customStyle="1">
    <w:name w:val="bw3"/>
    <w:basedOn w:val="Default1"/>
    <w:qFormat/>
    <w:pPr/>
    <w:rPr/>
  </w:style>
  <w:style w:type="paragraph" w:styleId="Orange1" w:customStyle="1">
    <w:name w:val="orange1"/>
    <w:basedOn w:val="Default1"/>
    <w:qFormat/>
    <w:pPr/>
    <w:rPr/>
  </w:style>
  <w:style w:type="paragraph" w:styleId="Orange2" w:customStyle="1">
    <w:name w:val="orange2"/>
    <w:basedOn w:val="Default1"/>
    <w:qFormat/>
    <w:pPr/>
    <w:rPr/>
  </w:style>
  <w:style w:type="paragraph" w:styleId="Orange3" w:customStyle="1">
    <w:name w:val="orange3"/>
    <w:basedOn w:val="Default1"/>
    <w:qFormat/>
    <w:pPr/>
    <w:rPr/>
  </w:style>
  <w:style w:type="paragraph" w:styleId="Turquoise1" w:customStyle="1">
    <w:name w:val="turquoise1"/>
    <w:basedOn w:val="Default1"/>
    <w:qFormat/>
    <w:pPr/>
    <w:rPr/>
  </w:style>
  <w:style w:type="paragraph" w:styleId="Turquoise2" w:customStyle="1">
    <w:name w:val="turquoise2"/>
    <w:basedOn w:val="Default1"/>
    <w:qFormat/>
    <w:pPr/>
    <w:rPr/>
  </w:style>
  <w:style w:type="paragraph" w:styleId="Turquoise3" w:customStyle="1">
    <w:name w:val="turquoise3"/>
    <w:basedOn w:val="Default1"/>
    <w:qFormat/>
    <w:pPr/>
    <w:rPr/>
  </w:style>
  <w:style w:type="paragraph" w:styleId="Blue1" w:customStyle="1">
    <w:name w:val="blue1"/>
    <w:basedOn w:val="Default1"/>
    <w:qFormat/>
    <w:pPr/>
    <w:rPr/>
  </w:style>
  <w:style w:type="paragraph" w:styleId="Blue2" w:customStyle="1">
    <w:name w:val="blue2"/>
    <w:basedOn w:val="Default1"/>
    <w:qFormat/>
    <w:pPr/>
    <w:rPr/>
  </w:style>
  <w:style w:type="paragraph" w:styleId="Blue3" w:customStyle="1">
    <w:name w:val="blue3"/>
    <w:basedOn w:val="Default1"/>
    <w:qFormat/>
    <w:pPr/>
    <w:rPr/>
  </w:style>
  <w:style w:type="paragraph" w:styleId="Sun1" w:customStyle="1">
    <w:name w:val="sun1"/>
    <w:basedOn w:val="Default1"/>
    <w:qFormat/>
    <w:pPr/>
    <w:rPr/>
  </w:style>
  <w:style w:type="paragraph" w:styleId="Sun2" w:customStyle="1">
    <w:name w:val="sun2"/>
    <w:basedOn w:val="Default1"/>
    <w:qFormat/>
    <w:pPr/>
    <w:rPr/>
  </w:style>
  <w:style w:type="paragraph" w:styleId="Sun3" w:customStyle="1">
    <w:name w:val="sun3"/>
    <w:basedOn w:val="Default1"/>
    <w:qFormat/>
    <w:pPr/>
    <w:rPr/>
  </w:style>
  <w:style w:type="paragraph" w:styleId="Earth1" w:customStyle="1">
    <w:name w:val="earth1"/>
    <w:basedOn w:val="Default1"/>
    <w:qFormat/>
    <w:pPr/>
    <w:rPr/>
  </w:style>
  <w:style w:type="paragraph" w:styleId="Earth2" w:customStyle="1">
    <w:name w:val="earth2"/>
    <w:basedOn w:val="Default1"/>
    <w:qFormat/>
    <w:pPr/>
    <w:rPr/>
  </w:style>
  <w:style w:type="paragraph" w:styleId="Earth3" w:customStyle="1">
    <w:name w:val="earth3"/>
    <w:basedOn w:val="Default1"/>
    <w:qFormat/>
    <w:pPr/>
    <w:rPr/>
  </w:style>
  <w:style w:type="paragraph" w:styleId="Green1" w:customStyle="1">
    <w:name w:val="green1"/>
    <w:basedOn w:val="Default1"/>
    <w:qFormat/>
    <w:pPr/>
    <w:rPr/>
  </w:style>
  <w:style w:type="paragraph" w:styleId="Green2" w:customStyle="1">
    <w:name w:val="green2"/>
    <w:basedOn w:val="Default1"/>
    <w:qFormat/>
    <w:pPr/>
    <w:rPr/>
  </w:style>
  <w:style w:type="paragraph" w:styleId="Green3" w:customStyle="1">
    <w:name w:val="green3"/>
    <w:basedOn w:val="Default1"/>
    <w:qFormat/>
    <w:pPr/>
    <w:rPr/>
  </w:style>
  <w:style w:type="paragraph" w:styleId="Seetang1" w:customStyle="1">
    <w:name w:val="seetang1"/>
    <w:basedOn w:val="Default1"/>
    <w:qFormat/>
    <w:pPr/>
    <w:rPr/>
  </w:style>
  <w:style w:type="paragraph" w:styleId="Seetang2" w:customStyle="1">
    <w:name w:val="seetang2"/>
    <w:basedOn w:val="Default1"/>
    <w:qFormat/>
    <w:pPr/>
    <w:rPr/>
  </w:style>
  <w:style w:type="paragraph" w:styleId="Seetang3" w:customStyle="1">
    <w:name w:val="seetang3"/>
    <w:basedOn w:val="Default1"/>
    <w:qFormat/>
    <w:pPr/>
    <w:rPr/>
  </w:style>
  <w:style w:type="paragraph" w:styleId="Lightblue1" w:customStyle="1">
    <w:name w:val="lightblue1"/>
    <w:basedOn w:val="Default1"/>
    <w:qFormat/>
    <w:pPr/>
    <w:rPr/>
  </w:style>
  <w:style w:type="paragraph" w:styleId="Lightblue2" w:customStyle="1">
    <w:name w:val="lightblue2"/>
    <w:basedOn w:val="Default1"/>
    <w:qFormat/>
    <w:pPr/>
    <w:rPr/>
  </w:style>
  <w:style w:type="paragraph" w:styleId="Lightblue3" w:customStyle="1">
    <w:name w:val="lightblue3"/>
    <w:basedOn w:val="Default1"/>
    <w:qFormat/>
    <w:pPr/>
    <w:rPr/>
  </w:style>
  <w:style w:type="paragraph" w:styleId="Yellow1" w:customStyle="1">
    <w:name w:val="yellow1"/>
    <w:basedOn w:val="Default1"/>
    <w:qFormat/>
    <w:pPr/>
    <w:rPr/>
  </w:style>
  <w:style w:type="paragraph" w:styleId="Yellow2" w:customStyle="1">
    <w:name w:val="yellow2"/>
    <w:basedOn w:val="Default1"/>
    <w:qFormat/>
    <w:pPr/>
    <w:rPr/>
  </w:style>
  <w:style w:type="paragraph" w:styleId="Yellow3" w:customStyle="1">
    <w:name w:val="yellow3"/>
    <w:basedOn w:val="Default1"/>
    <w:qFormat/>
    <w:pPr/>
    <w:rPr/>
  </w:style>
  <w:style w:type="paragraph" w:styleId="Bakgrundsobjekt" w:customStyle="1">
    <w:name w:val="Bakgrundsobjek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akgrund" w:customStyle="1">
    <w:name w:val="Bak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Anteckningar" w:customStyle="1">
    <w:name w:val="Anteckningar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Disposition1" w:customStyle="1">
    <w:name w:val="Disposition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Disposition2" w:customStyle="1">
    <w:name w:val="Disposition 2"/>
    <w:basedOn w:val="Disposition1"/>
    <w:qFormat/>
    <w:pPr>
      <w:spacing w:before="227" w:after="0"/>
    </w:pPr>
    <w:rPr>
      <w:b w:val="false"/>
      <w:sz w:val="36"/>
    </w:rPr>
  </w:style>
  <w:style w:type="paragraph" w:styleId="Disposition3" w:customStyle="1">
    <w:name w:val="Disposition 3"/>
    <w:basedOn w:val="Disposition2"/>
    <w:qFormat/>
    <w:pPr>
      <w:spacing w:before="170" w:after="0"/>
    </w:pPr>
    <w:rPr>
      <w:sz w:val="32"/>
    </w:rPr>
  </w:style>
  <w:style w:type="paragraph" w:styleId="Disposition4" w:customStyle="1">
    <w:name w:val="Disposition 4"/>
    <w:basedOn w:val="Disposition3"/>
    <w:qFormat/>
    <w:pPr>
      <w:spacing w:before="113" w:after="0"/>
    </w:pPr>
    <w:rPr/>
  </w:style>
  <w:style w:type="paragraph" w:styleId="Disposition5" w:customStyle="1">
    <w:name w:val="Disposition 5"/>
    <w:basedOn w:val="Disposition4"/>
    <w:qFormat/>
    <w:pPr>
      <w:spacing w:before="57" w:after="0"/>
    </w:pPr>
    <w:rPr>
      <w:sz w:val="40"/>
    </w:rPr>
  </w:style>
  <w:style w:type="paragraph" w:styleId="Disposition6" w:customStyle="1">
    <w:name w:val="Disposition 6"/>
    <w:basedOn w:val="Disposition5"/>
    <w:qFormat/>
    <w:pPr/>
    <w:rPr/>
  </w:style>
  <w:style w:type="paragraph" w:styleId="Disposition7" w:customStyle="1">
    <w:name w:val="Disposition 7"/>
    <w:basedOn w:val="Disposition6"/>
    <w:qFormat/>
    <w:pPr/>
    <w:rPr/>
  </w:style>
  <w:style w:type="paragraph" w:styleId="Disposition8" w:customStyle="1">
    <w:name w:val="Disposition 8"/>
    <w:basedOn w:val="Disposition7"/>
    <w:qFormat/>
    <w:pPr/>
    <w:rPr/>
  </w:style>
  <w:style w:type="paragraph" w:styleId="Disposition9" w:customStyle="1">
    <w:name w:val="Disposition 9"/>
    <w:basedOn w:val="Disposition8"/>
    <w:qFormat/>
    <w:pPr/>
    <w:rPr/>
  </w:style>
  <w:style w:type="paragraph" w:styleId="BlankLTGliederung1" w:customStyle="1">
    <w:name w:val="Blank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BlankLTGliederung2" w:customStyle="1">
    <w:name w:val="Blank~LT~Gliederung 2"/>
    <w:basedOn w:val="BlankLTGliederung1"/>
    <w:qFormat/>
    <w:pPr>
      <w:spacing w:before="227" w:after="0"/>
    </w:pPr>
    <w:rPr>
      <w:b w:val="false"/>
      <w:sz w:val="36"/>
    </w:rPr>
  </w:style>
  <w:style w:type="paragraph" w:styleId="BlankLTGliederung3" w:customStyle="1">
    <w:name w:val="Blank~LT~Gliederung 3"/>
    <w:basedOn w:val="BlankLTGliederung2"/>
    <w:qFormat/>
    <w:pPr>
      <w:spacing w:before="170" w:after="0"/>
    </w:pPr>
    <w:rPr>
      <w:sz w:val="32"/>
    </w:rPr>
  </w:style>
  <w:style w:type="paragraph" w:styleId="BlankLTGliederung4" w:customStyle="1">
    <w:name w:val="Blank~LT~Gliederung 4"/>
    <w:basedOn w:val="BlankLTGliederung3"/>
    <w:qFormat/>
    <w:pPr>
      <w:spacing w:before="113" w:after="0"/>
    </w:pPr>
    <w:rPr/>
  </w:style>
  <w:style w:type="paragraph" w:styleId="BlankLTGliederung5" w:customStyle="1">
    <w:name w:val="Blank~LT~Gliederung 5"/>
    <w:basedOn w:val="BlankLTGliederung4"/>
    <w:qFormat/>
    <w:pPr>
      <w:spacing w:before="57" w:after="0"/>
    </w:pPr>
    <w:rPr>
      <w:sz w:val="40"/>
    </w:rPr>
  </w:style>
  <w:style w:type="paragraph" w:styleId="BlankLTGliederung6" w:customStyle="1">
    <w:name w:val="Blank~LT~Gliederung 6"/>
    <w:basedOn w:val="BlankLTGliederung5"/>
    <w:qFormat/>
    <w:pPr/>
    <w:rPr/>
  </w:style>
  <w:style w:type="paragraph" w:styleId="BlankLTGliederung7" w:customStyle="1">
    <w:name w:val="Blank~LT~Gliederung 7"/>
    <w:basedOn w:val="BlankLTGliederung6"/>
    <w:qFormat/>
    <w:pPr/>
    <w:rPr/>
  </w:style>
  <w:style w:type="paragraph" w:styleId="BlankLTGliederung8" w:customStyle="1">
    <w:name w:val="Blank~LT~Gliederung 8"/>
    <w:basedOn w:val="BlankLTGliederung7"/>
    <w:qFormat/>
    <w:pPr/>
    <w:rPr/>
  </w:style>
  <w:style w:type="paragraph" w:styleId="BlankLTGliederung9" w:customStyle="1">
    <w:name w:val="Blank~LT~Gliederung 9"/>
    <w:basedOn w:val="BlankLTGliederung8"/>
    <w:qFormat/>
    <w:pPr/>
    <w:rPr/>
  </w:style>
  <w:style w:type="paragraph" w:styleId="BlankLTTitel" w:customStyle="1">
    <w:name w:val="Blank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BlankLTUntertitel" w:customStyle="1">
    <w:name w:val="Blank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BlankLTNotizen" w:customStyle="1">
    <w:name w:val="Blank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BlankLTHintergrundobjekte" w:customStyle="1">
    <w:name w:val="Blank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lankLTHintergrund" w:customStyle="1">
    <w:name w:val="Blank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abellinnehll" w:customStyle="1">
    <w:name w:val="Tabellinnehåll"/>
    <w:basedOn w:val="Normal"/>
    <w:qFormat/>
    <w:pPr>
      <w:widowControl w:val="false"/>
      <w:suppressLineNumbers/>
    </w:pPr>
    <w:rPr/>
  </w:style>
  <w:style w:type="paragraph" w:styleId="Tabellrubrik" w:customStyle="1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uiPriority w:val="71"/>
    <w:semiHidden/>
    <w:qFormat/>
    <w:rsid w:val="003f3649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Annotationtext">
    <w:name w:val="annotation text"/>
    <w:basedOn w:val="Normal"/>
    <w:link w:val="CommentTextChar"/>
    <w:qFormat/>
    <w:rsid w:val="00c20ea8"/>
    <w:pPr/>
    <w:rPr>
      <w:sz w:val="20"/>
    </w:rPr>
  </w:style>
  <w:style w:type="paragraph" w:styleId="Annotationsubject">
    <w:name w:val="annotation subject"/>
    <w:basedOn w:val="Annotationtext"/>
    <w:next w:val="Annotationtext"/>
    <w:link w:val="CommentSubjectChar"/>
    <w:semiHidden/>
    <w:unhideWhenUsed/>
    <w:qFormat/>
    <w:rsid w:val="00c20ea8"/>
    <w:pPr/>
    <w:rPr>
      <w:b/>
      <w:bCs/>
    </w:rPr>
  </w:style>
  <w:style w:type="paragraph" w:styleId="Raminnehll" w:customStyle="1">
    <w:name w:val="Raminnehåll"/>
    <w:basedOn w:val="Normal"/>
    <w:qFormat/>
    <w:pPr/>
    <w:rPr/>
  </w:style>
  <w:style w:type="paragraph" w:styleId="Standard" w:customStyle="1">
    <w:name w:val="Standard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Arial"/>
      <w:color w:val="auto"/>
      <w:kern w:val="2"/>
      <w:sz w:val="36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01e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eee802.org/18/" TargetMode="External"/><Relationship Id="rId3" Type="http://schemas.openxmlformats.org/officeDocument/2006/relationships/hyperlink" Target="https://mentor.ieee.org/802.18/dcn/22/18-22-0049-01-0000-rr-tag-agenda-5-may-2022.pptx" TargetMode="External"/><Relationship Id="rId4" Type="http://schemas.openxmlformats.org/officeDocument/2006/relationships/hyperlink" Target="https://www.ieee802.org/18/RRTAG_Voters.pdf" TargetMode="External"/><Relationship Id="rId5" Type="http://schemas.openxmlformats.org/officeDocument/2006/relationships/hyperlink" Target="https://mentor.ieee.org/802-ec/dcn/21/ec-21-0207-23-0PNP-ieee-802-lmsc-working-group-policies-and-procedures.pdf" TargetMode="External"/><Relationship Id="rId6" Type="http://schemas.openxmlformats.org/officeDocument/2006/relationships/hyperlink" Target="http://www.ieee802.org/devdocs.shtml" TargetMode="External"/><Relationship Id="rId7" Type="http://schemas.openxmlformats.org/officeDocument/2006/relationships/hyperlink" Target="https://standards.ieee.org/about/policies/opman/" TargetMode="External"/><Relationship Id="rId8" Type="http://schemas.openxmlformats.org/officeDocument/2006/relationships/hyperlink" Target="https://mentor.ieee.org/802.18/dcn/22/18-22-0051-00-0000-rr-tag-meeting-minutes-28-april-2022.docx" TargetMode="External"/><Relationship Id="rId9" Type="http://schemas.openxmlformats.org/officeDocument/2006/relationships/hyperlink" Target="https://mentor.ieee.org/802.18/dcn/22/18-22-0035-10-0000-status-of-ongoing-consultations-and-tag-documents-for-approval.docx" TargetMode="External"/><Relationship Id="rId10" Type="http://schemas.openxmlformats.org/officeDocument/2006/relationships/hyperlink" Target="https://ec.europa.eu/docsroom/documents/49834" TargetMode="External"/><Relationship Id="rId11" Type="http://schemas.openxmlformats.org/officeDocument/2006/relationships/hyperlink" Target="https://ec.europa.eu/docsroom/documents/49834" TargetMode="External"/><Relationship Id="rId12" Type="http://schemas.openxmlformats.org/officeDocument/2006/relationships/hyperlink" Target="https://www.etsi.org/events/etsi-seminar" TargetMode="External"/><Relationship Id="rId13" Type="http://schemas.openxmlformats.org/officeDocument/2006/relationships/hyperlink" Target="https://mentor.ieee.org/802.18/dcn/16/18-16-0038-21-0000-teleconference-call-in-info.pptx" TargetMode="External"/><Relationship Id="rId14" Type="http://schemas.openxmlformats.org/officeDocument/2006/relationships/hyperlink" Target="http://ieee802.org/802tele_calendar.html" TargetMode="External"/><Relationship Id="rId15" Type="http://schemas.openxmlformats.org/officeDocument/2006/relationships/hyperlink" Target="https://calendar.google.com/calendar/embed?src=c2gedttabtbj4bps23j4847004@group.calendar.google.com&amp;ctz=America%2FNew_York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8B146-2A40-4A97-AFFF-4705DB59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3089</TotalTime>
  <Application>LibreOffice/7.2.6.2$Linux_X86_64 LibreOffice_project/20$Build-2</Application>
  <AppVersion>15.0000</AppVersion>
  <Pages>5</Pages>
  <Words>1285</Words>
  <Characters>6737</Characters>
  <CharactersWithSpaces>7837</CharactersWithSpaces>
  <Paragraphs>204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2022-05-02T06:51:00Z</dcterms:created>
  <dc:creator>author</dc:creator>
  <dc:description/>
  <cp:keywords>28 28 28 April 2022</cp:keywords>
  <dc:language>sv-SE</dc:language>
  <cp:lastModifiedBy>Amelia Andersdotter</cp:lastModifiedBy>
  <cp:lastPrinted>2012-05-15T22:13:00Z</cp:lastPrinted>
  <dcterms:modified xsi:type="dcterms:W3CDTF">2022-05-12T19:20:20Z</dcterms:modified>
  <cp:revision>20</cp:revision>
  <dc:subject>RR-TAG Minutes</dc:subject>
  <dc:title>RR-TAG Meeting Minutes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