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91295" w:rsidRPr="00D632B8" w:rsidP="00091295" w14:paraId="315B0D53" w14:textId="77777777">
      <w:pPr>
        <w:jc w:val="right"/>
        <w:rPr>
          <w:color w:val="000000" w:themeColor="text1"/>
          <w:szCs w:val="22"/>
        </w:rPr>
      </w:pPr>
      <w:bookmarkStart w:id="0" w:name="_Hlk97815863"/>
    </w:p>
    <w:p w:rsidR="00091295" w:rsidRPr="00D632B8" w:rsidP="00091295" w14:paraId="0D1AFC07" w14:textId="266E5875">
      <w:pPr>
        <w:jc w:val="right"/>
        <w:rPr>
          <w:b/>
          <w:color w:val="000000" w:themeColor="text1"/>
          <w:szCs w:val="22"/>
        </w:rPr>
      </w:pPr>
      <w:r w:rsidRPr="00D632B8">
        <w:rPr>
          <w:b/>
          <w:color w:val="000000" w:themeColor="text1"/>
          <w:szCs w:val="22"/>
        </w:rPr>
        <w:t>DA</w:t>
      </w:r>
      <w:r w:rsidRPr="00D632B8" w:rsidR="00F74844">
        <w:rPr>
          <w:b/>
          <w:color w:val="000000" w:themeColor="text1"/>
          <w:szCs w:val="22"/>
        </w:rPr>
        <w:t xml:space="preserve"> 2</w:t>
      </w:r>
      <w:r w:rsidRPr="00D632B8">
        <w:rPr>
          <w:b/>
          <w:color w:val="000000" w:themeColor="text1"/>
          <w:szCs w:val="22"/>
        </w:rPr>
        <w:t>2</w:t>
      </w:r>
      <w:r w:rsidRPr="00D632B8" w:rsidR="00F74844">
        <w:rPr>
          <w:b/>
          <w:color w:val="000000" w:themeColor="text1"/>
          <w:szCs w:val="22"/>
        </w:rPr>
        <w:t>-</w:t>
      </w:r>
      <w:r w:rsidR="006875B6">
        <w:rPr>
          <w:b/>
          <w:color w:val="000000" w:themeColor="text1"/>
          <w:szCs w:val="22"/>
        </w:rPr>
        <w:t>253</w:t>
      </w:r>
    </w:p>
    <w:p w:rsidR="00091295" w:rsidRPr="00D632B8" w:rsidP="00091295" w14:paraId="5F435EF9" w14:textId="6EECEF31">
      <w:pPr>
        <w:spacing w:before="60"/>
        <w:jc w:val="right"/>
        <w:rPr>
          <w:b/>
          <w:color w:val="000000" w:themeColor="text1"/>
          <w:szCs w:val="22"/>
        </w:rPr>
      </w:pPr>
      <w:r w:rsidRPr="00D632B8">
        <w:rPr>
          <w:b/>
          <w:color w:val="000000" w:themeColor="text1"/>
          <w:szCs w:val="22"/>
        </w:rPr>
        <w:t>Released:</w:t>
      </w:r>
      <w:r w:rsidRPr="00D632B8" w:rsidR="00BA45F3">
        <w:rPr>
          <w:b/>
          <w:color w:val="000000" w:themeColor="text1"/>
          <w:szCs w:val="22"/>
        </w:rPr>
        <w:t xml:space="preserve"> </w:t>
      </w:r>
      <w:r w:rsidRPr="00D632B8">
        <w:rPr>
          <w:b/>
          <w:color w:val="000000" w:themeColor="text1"/>
          <w:szCs w:val="22"/>
        </w:rPr>
        <w:t xml:space="preserve"> </w:t>
      </w:r>
      <w:r w:rsidR="006875B6">
        <w:rPr>
          <w:b/>
          <w:color w:val="000000" w:themeColor="text1"/>
          <w:szCs w:val="22"/>
        </w:rPr>
        <w:t>March 10</w:t>
      </w:r>
      <w:r w:rsidRPr="00D632B8" w:rsidR="00812AAB">
        <w:rPr>
          <w:b/>
          <w:color w:val="000000" w:themeColor="text1"/>
          <w:szCs w:val="22"/>
        </w:rPr>
        <w:t>, 202</w:t>
      </w:r>
      <w:r w:rsidRPr="00D632B8" w:rsidR="00A277DB">
        <w:rPr>
          <w:b/>
          <w:color w:val="000000" w:themeColor="text1"/>
          <w:szCs w:val="22"/>
        </w:rPr>
        <w:t>2</w:t>
      </w:r>
    </w:p>
    <w:p w:rsidR="00091295" w:rsidRPr="00D632B8" w:rsidP="00091295" w14:paraId="369F6CC5" w14:textId="77777777">
      <w:pPr>
        <w:jc w:val="right"/>
        <w:rPr>
          <w:color w:val="000000" w:themeColor="text1"/>
          <w:szCs w:val="22"/>
        </w:rPr>
      </w:pPr>
    </w:p>
    <w:p w:rsidR="00091295" w:rsidRPr="00D632B8" w:rsidP="00091295" w14:paraId="1D1C9424" w14:textId="4E16507A">
      <w:pPr>
        <w:spacing w:after="240"/>
        <w:ind w:left="360" w:right="450" w:firstLine="360"/>
        <w:jc w:val="center"/>
        <w:rPr>
          <w:b/>
          <w:caps/>
          <w:color w:val="000000" w:themeColor="text1"/>
          <w:szCs w:val="22"/>
        </w:rPr>
      </w:pPr>
      <w:r w:rsidRPr="00D632B8">
        <w:rPr>
          <w:b/>
          <w:caps/>
          <w:color w:val="000000" w:themeColor="text1"/>
          <w:szCs w:val="22"/>
        </w:rPr>
        <w:t xml:space="preserve">OFFICE OF ENGINEERING AND TECHNOLOGY SEEKS COMMENT </w:t>
      </w:r>
      <w:r w:rsidRPr="00D632B8" w:rsidR="000F401F">
        <w:rPr>
          <w:b/>
          <w:caps/>
          <w:color w:val="000000" w:themeColor="text1"/>
          <w:szCs w:val="22"/>
        </w:rPr>
        <w:t>following court REMAND OF</w:t>
      </w:r>
      <w:r w:rsidRPr="00D632B8" w:rsidR="00E26004">
        <w:rPr>
          <w:b/>
          <w:caps/>
          <w:color w:val="000000" w:themeColor="text1"/>
          <w:szCs w:val="22"/>
        </w:rPr>
        <w:t xml:space="preserve"> </w:t>
      </w:r>
      <w:r w:rsidRPr="00D632B8">
        <w:rPr>
          <w:b/>
          <w:caps/>
          <w:color w:val="000000" w:themeColor="text1"/>
          <w:szCs w:val="22"/>
        </w:rPr>
        <w:t xml:space="preserve">6 GHZ BAND </w:t>
      </w:r>
      <w:r w:rsidRPr="00D632B8" w:rsidR="000F401F">
        <w:rPr>
          <w:b/>
          <w:caps/>
          <w:color w:val="000000" w:themeColor="text1"/>
          <w:szCs w:val="22"/>
        </w:rPr>
        <w:t>ORDER</w:t>
      </w:r>
      <w:r w:rsidRPr="00D632B8">
        <w:rPr>
          <w:b/>
          <w:caps/>
          <w:color w:val="000000" w:themeColor="text1"/>
          <w:szCs w:val="22"/>
        </w:rPr>
        <w:t xml:space="preserve"> </w:t>
      </w:r>
    </w:p>
    <w:p w:rsidR="00982F02" w:rsidRPr="00D632B8" w:rsidP="00091295" w14:paraId="762D38E6" w14:textId="77777777">
      <w:pPr>
        <w:ind w:left="360" w:right="450" w:firstLine="360"/>
        <w:jc w:val="center"/>
        <w:rPr>
          <w:b/>
          <w:color w:val="000000" w:themeColor="text1"/>
          <w:szCs w:val="22"/>
        </w:rPr>
      </w:pPr>
      <w:r w:rsidRPr="00D632B8">
        <w:rPr>
          <w:b/>
          <w:color w:val="000000" w:themeColor="text1"/>
          <w:szCs w:val="22"/>
        </w:rPr>
        <w:t xml:space="preserve">ET Docket No. </w:t>
      </w:r>
      <w:r w:rsidRPr="00D632B8">
        <w:rPr>
          <w:b/>
          <w:color w:val="000000" w:themeColor="text1"/>
          <w:szCs w:val="22"/>
        </w:rPr>
        <w:t>18-295</w:t>
      </w:r>
    </w:p>
    <w:p w:rsidR="00091295" w:rsidRPr="00D632B8" w:rsidP="00091295" w14:paraId="6C6BE2FF" w14:textId="31050B97">
      <w:pPr>
        <w:ind w:left="360" w:right="450" w:firstLine="360"/>
        <w:jc w:val="center"/>
        <w:rPr>
          <w:b/>
          <w:color w:val="000000" w:themeColor="text1"/>
          <w:szCs w:val="22"/>
        </w:rPr>
      </w:pPr>
      <w:r w:rsidRPr="00D632B8">
        <w:rPr>
          <w:b/>
          <w:color w:val="000000" w:themeColor="text1"/>
          <w:szCs w:val="22"/>
        </w:rPr>
        <w:t>GN Docket No. 17-183</w:t>
      </w:r>
    </w:p>
    <w:p w:rsidR="00091295" w:rsidRPr="00D632B8" w:rsidP="00091295" w14:paraId="77F320F6" w14:textId="77777777">
      <w:pPr>
        <w:rPr>
          <w:color w:val="000000" w:themeColor="text1"/>
          <w:szCs w:val="22"/>
        </w:rPr>
      </w:pPr>
      <w:bookmarkStart w:id="1" w:name="TOChere"/>
    </w:p>
    <w:p w:rsidR="00091295" w:rsidRPr="00D632B8" w:rsidP="00091295" w14:paraId="45446BD0" w14:textId="652FA46F">
      <w:pPr>
        <w:rPr>
          <w:b/>
          <w:color w:val="000000" w:themeColor="text1"/>
          <w:szCs w:val="22"/>
        </w:rPr>
      </w:pPr>
      <w:r w:rsidRPr="00D632B8">
        <w:rPr>
          <w:b/>
          <w:color w:val="000000" w:themeColor="text1"/>
          <w:szCs w:val="22"/>
        </w:rPr>
        <w:t>Initial</w:t>
      </w:r>
      <w:r w:rsidRPr="00D632B8" w:rsidR="005E6CEB">
        <w:rPr>
          <w:b/>
          <w:color w:val="000000" w:themeColor="text1"/>
          <w:szCs w:val="22"/>
        </w:rPr>
        <w:t xml:space="preserve"> c</w:t>
      </w:r>
      <w:r w:rsidRPr="00D632B8" w:rsidR="005A520E">
        <w:rPr>
          <w:b/>
          <w:color w:val="000000" w:themeColor="text1"/>
          <w:szCs w:val="22"/>
        </w:rPr>
        <w:t>omments</w:t>
      </w:r>
      <w:r w:rsidRPr="00D632B8">
        <w:rPr>
          <w:b/>
          <w:color w:val="000000" w:themeColor="text1"/>
          <w:szCs w:val="22"/>
        </w:rPr>
        <w:t xml:space="preserve"> </w:t>
      </w:r>
      <w:r w:rsidRPr="00D632B8" w:rsidR="005E6CEB">
        <w:rPr>
          <w:b/>
          <w:color w:val="000000" w:themeColor="text1"/>
          <w:szCs w:val="22"/>
        </w:rPr>
        <w:t>due</w:t>
      </w:r>
      <w:r w:rsidRPr="00D632B8" w:rsidR="005A520E">
        <w:rPr>
          <w:b/>
          <w:color w:val="000000" w:themeColor="text1"/>
          <w:szCs w:val="22"/>
        </w:rPr>
        <w:t xml:space="preserve">:  30 </w:t>
      </w:r>
      <w:r w:rsidRPr="00D632B8" w:rsidR="005E6CEB">
        <w:rPr>
          <w:b/>
          <w:color w:val="000000" w:themeColor="text1"/>
          <w:szCs w:val="22"/>
        </w:rPr>
        <w:t>d</w:t>
      </w:r>
      <w:r w:rsidRPr="00D632B8" w:rsidR="005A520E">
        <w:rPr>
          <w:b/>
          <w:color w:val="000000" w:themeColor="text1"/>
          <w:szCs w:val="22"/>
        </w:rPr>
        <w:t xml:space="preserve">ays </w:t>
      </w:r>
      <w:r w:rsidRPr="00D632B8" w:rsidR="005E6CEB">
        <w:rPr>
          <w:b/>
          <w:color w:val="000000" w:themeColor="text1"/>
          <w:szCs w:val="22"/>
        </w:rPr>
        <w:t>a</w:t>
      </w:r>
      <w:r w:rsidRPr="00D632B8" w:rsidR="005A520E">
        <w:rPr>
          <w:b/>
          <w:color w:val="000000" w:themeColor="text1"/>
          <w:szCs w:val="22"/>
        </w:rPr>
        <w:t>fter</w:t>
      </w:r>
      <w:r w:rsidRPr="00D632B8" w:rsidR="005E6CEB">
        <w:rPr>
          <w:b/>
          <w:color w:val="000000" w:themeColor="text1"/>
          <w:szCs w:val="22"/>
        </w:rPr>
        <w:t xml:space="preserve"> publication in the</w:t>
      </w:r>
      <w:r w:rsidRPr="00D632B8" w:rsidR="005A520E">
        <w:rPr>
          <w:b/>
          <w:color w:val="000000" w:themeColor="text1"/>
          <w:szCs w:val="22"/>
        </w:rPr>
        <w:t xml:space="preserve"> Federal Register </w:t>
      </w:r>
    </w:p>
    <w:p w:rsidR="00091295" w:rsidRPr="00D632B8" w:rsidP="00091295" w14:paraId="6CE8F170" w14:textId="7DEAF5B6">
      <w:pPr>
        <w:suppressAutoHyphens/>
        <w:rPr>
          <w:b/>
          <w:color w:val="000000" w:themeColor="text1"/>
          <w:szCs w:val="22"/>
        </w:rPr>
      </w:pPr>
      <w:r w:rsidRPr="00D632B8">
        <w:rPr>
          <w:b/>
          <w:color w:val="000000" w:themeColor="text1"/>
          <w:szCs w:val="22"/>
        </w:rPr>
        <w:t xml:space="preserve">Reply </w:t>
      </w:r>
      <w:r w:rsidRPr="00D632B8" w:rsidR="005E6CEB">
        <w:rPr>
          <w:b/>
          <w:color w:val="000000" w:themeColor="text1"/>
          <w:szCs w:val="22"/>
        </w:rPr>
        <w:t>c</w:t>
      </w:r>
      <w:r w:rsidRPr="00D632B8" w:rsidR="00F74844">
        <w:rPr>
          <w:b/>
          <w:color w:val="000000" w:themeColor="text1"/>
          <w:szCs w:val="22"/>
        </w:rPr>
        <w:t xml:space="preserve">omments </w:t>
      </w:r>
      <w:r w:rsidRPr="00D632B8" w:rsidR="005E6CEB">
        <w:rPr>
          <w:b/>
          <w:color w:val="000000" w:themeColor="text1"/>
          <w:szCs w:val="22"/>
        </w:rPr>
        <w:t>d</w:t>
      </w:r>
      <w:r w:rsidRPr="00D632B8" w:rsidR="00F74844">
        <w:rPr>
          <w:b/>
          <w:color w:val="000000" w:themeColor="text1"/>
          <w:szCs w:val="22"/>
        </w:rPr>
        <w:t>ue:</w:t>
      </w:r>
      <w:r w:rsidRPr="00D632B8">
        <w:rPr>
          <w:b/>
          <w:color w:val="000000" w:themeColor="text1"/>
          <w:szCs w:val="22"/>
        </w:rPr>
        <w:t xml:space="preserve">  45 </w:t>
      </w:r>
      <w:r w:rsidRPr="00D632B8" w:rsidR="00631F9B">
        <w:rPr>
          <w:b/>
          <w:color w:val="000000" w:themeColor="text1"/>
          <w:szCs w:val="22"/>
        </w:rPr>
        <w:t>d</w:t>
      </w:r>
      <w:r w:rsidRPr="00D632B8">
        <w:rPr>
          <w:b/>
          <w:color w:val="000000" w:themeColor="text1"/>
          <w:szCs w:val="22"/>
        </w:rPr>
        <w:t xml:space="preserve">ays </w:t>
      </w:r>
      <w:r w:rsidRPr="00D632B8" w:rsidR="005E6CEB">
        <w:rPr>
          <w:b/>
          <w:color w:val="000000" w:themeColor="text1"/>
          <w:szCs w:val="22"/>
        </w:rPr>
        <w:t>a</w:t>
      </w:r>
      <w:r w:rsidRPr="00D632B8">
        <w:rPr>
          <w:b/>
          <w:color w:val="000000" w:themeColor="text1"/>
          <w:szCs w:val="22"/>
        </w:rPr>
        <w:t>fter</w:t>
      </w:r>
      <w:r w:rsidRPr="00D632B8" w:rsidR="005E6CEB">
        <w:rPr>
          <w:b/>
          <w:color w:val="000000" w:themeColor="text1"/>
          <w:szCs w:val="22"/>
        </w:rPr>
        <w:t xml:space="preserve"> publication in the</w:t>
      </w:r>
      <w:r w:rsidRPr="00D632B8">
        <w:rPr>
          <w:b/>
          <w:color w:val="000000" w:themeColor="text1"/>
          <w:szCs w:val="22"/>
        </w:rPr>
        <w:t xml:space="preserve"> Federal Register</w:t>
      </w:r>
    </w:p>
    <w:p w:rsidR="00091295" w:rsidRPr="00D632B8" w:rsidP="00091295" w14:paraId="3F833E96" w14:textId="1B311A06">
      <w:pPr>
        <w:ind w:firstLine="540"/>
        <w:rPr>
          <w:color w:val="000000" w:themeColor="text1"/>
          <w:szCs w:val="22"/>
        </w:rPr>
      </w:pPr>
    </w:p>
    <w:p w:rsidR="00091295" w:rsidRPr="00D632B8" w:rsidP="00A17619" w14:paraId="3BEDACE5" w14:textId="2D7DC3EE">
      <w:pPr>
        <w:rPr>
          <w:color w:val="000000" w:themeColor="text1"/>
          <w:szCs w:val="22"/>
        </w:rPr>
      </w:pPr>
      <w:r w:rsidRPr="00D632B8">
        <w:rPr>
          <w:color w:val="000000" w:themeColor="text1"/>
          <w:szCs w:val="22"/>
        </w:rPr>
        <w:t>By t</w:t>
      </w:r>
      <w:r w:rsidRPr="00D632B8" w:rsidR="005A520E">
        <w:rPr>
          <w:color w:val="000000" w:themeColor="text1"/>
          <w:szCs w:val="22"/>
        </w:rPr>
        <w:t>he Acting Chief, Office of Engineering and Technology:</w:t>
      </w:r>
    </w:p>
    <w:p w:rsidR="00A17619" w:rsidRPr="00D632B8" w:rsidP="00A17619" w14:paraId="4CD25C6C" w14:textId="77777777">
      <w:pPr>
        <w:rPr>
          <w:color w:val="000000" w:themeColor="text1"/>
          <w:szCs w:val="22"/>
        </w:rPr>
      </w:pPr>
    </w:p>
    <w:p w:rsidR="00091295" w:rsidRPr="00D632B8" w:rsidP="00202573" w14:paraId="6DC2A12D" w14:textId="218FFA58">
      <w:pPr>
        <w:pStyle w:val="ParaNum"/>
        <w:numPr>
          <w:ilvl w:val="0"/>
          <w:numId w:val="0"/>
        </w:numPr>
        <w:ind w:firstLine="720"/>
        <w:rPr>
          <w:color w:val="000000" w:themeColor="text1"/>
          <w:szCs w:val="22"/>
        </w:rPr>
      </w:pPr>
      <w:r w:rsidRPr="00D632B8">
        <w:rPr>
          <w:color w:val="000000" w:themeColor="text1"/>
          <w:szCs w:val="22"/>
        </w:rPr>
        <w:t xml:space="preserve">In this </w:t>
      </w:r>
      <w:r w:rsidRPr="00D632B8">
        <w:rPr>
          <w:i/>
          <w:iCs/>
          <w:color w:val="000000" w:themeColor="text1"/>
          <w:szCs w:val="22"/>
        </w:rPr>
        <w:t>Public Notice</w:t>
      </w:r>
      <w:r w:rsidRPr="00D632B8">
        <w:rPr>
          <w:color w:val="000000" w:themeColor="text1"/>
          <w:szCs w:val="22"/>
        </w:rPr>
        <w:t xml:space="preserve">, the Office of Engineering and Technology invites comments in connection with the remand by the United States Court of Appeals for the District of Columbia Circuit of the Commission’s </w:t>
      </w:r>
      <w:r w:rsidRPr="00D632B8">
        <w:rPr>
          <w:i/>
          <w:iCs/>
          <w:color w:val="000000" w:themeColor="text1"/>
          <w:szCs w:val="22"/>
        </w:rPr>
        <w:t>6 GHz Report and Order</w:t>
      </w:r>
      <w:r w:rsidRPr="00D632B8">
        <w:rPr>
          <w:color w:val="000000" w:themeColor="text1"/>
          <w:szCs w:val="22"/>
        </w:rPr>
        <w:t>.</w:t>
      </w:r>
      <w:r>
        <w:rPr>
          <w:rStyle w:val="FootnoteReference"/>
          <w:color w:val="000000" w:themeColor="text1"/>
          <w:szCs w:val="22"/>
        </w:rPr>
        <w:footnoteReference w:id="3"/>
      </w:r>
      <w:r w:rsidRPr="00D632B8" w:rsidR="00F74844">
        <w:rPr>
          <w:color w:val="000000" w:themeColor="text1"/>
          <w:szCs w:val="22"/>
        </w:rPr>
        <w:t xml:space="preserve"> </w:t>
      </w:r>
      <w:r w:rsidRPr="00D632B8">
        <w:rPr>
          <w:color w:val="000000" w:themeColor="text1"/>
          <w:szCs w:val="22"/>
        </w:rPr>
        <w:t xml:space="preserve"> </w:t>
      </w:r>
      <w:r w:rsidRPr="00D632B8" w:rsidR="00245B8C">
        <w:rPr>
          <w:color w:val="000000" w:themeColor="text1"/>
          <w:szCs w:val="22"/>
        </w:rPr>
        <w:t>On February 22, 2022, the court issued its mandate.</w:t>
      </w:r>
      <w:r>
        <w:rPr>
          <w:rStyle w:val="FootnoteReference"/>
          <w:color w:val="000000" w:themeColor="text1"/>
          <w:szCs w:val="22"/>
        </w:rPr>
        <w:footnoteReference w:id="4"/>
      </w:r>
    </w:p>
    <w:p w:rsidR="00E26004" w:rsidRPr="00D632B8" w:rsidP="00202573" w14:paraId="0B9FBAB6" w14:textId="463B8D28">
      <w:pPr>
        <w:pStyle w:val="ParaNum"/>
        <w:numPr>
          <w:ilvl w:val="0"/>
          <w:numId w:val="0"/>
        </w:numPr>
        <w:ind w:firstLine="720"/>
        <w:rPr>
          <w:color w:val="000000" w:themeColor="text1"/>
          <w:szCs w:val="22"/>
        </w:rPr>
      </w:pPr>
      <w:r w:rsidRPr="00D632B8">
        <w:rPr>
          <w:color w:val="000000" w:themeColor="text1"/>
          <w:szCs w:val="22"/>
        </w:rPr>
        <w:t>T</w:t>
      </w:r>
      <w:r w:rsidRPr="00D632B8" w:rsidR="00CF1870">
        <w:rPr>
          <w:color w:val="000000" w:themeColor="text1"/>
          <w:szCs w:val="22"/>
        </w:rPr>
        <w:t>he Commission</w:t>
      </w:r>
      <w:r w:rsidRPr="00D632B8" w:rsidR="0065659A">
        <w:rPr>
          <w:color w:val="000000" w:themeColor="text1"/>
          <w:szCs w:val="22"/>
        </w:rPr>
        <w:t xml:space="preserve">’s </w:t>
      </w:r>
      <w:r w:rsidRPr="00D632B8" w:rsidR="0065659A">
        <w:rPr>
          <w:i/>
          <w:iCs/>
          <w:color w:val="000000" w:themeColor="text1"/>
          <w:szCs w:val="22"/>
        </w:rPr>
        <w:t>6 GHz Report and Order</w:t>
      </w:r>
      <w:r w:rsidRPr="00D632B8" w:rsidR="00CF1870">
        <w:rPr>
          <w:color w:val="000000" w:themeColor="text1"/>
          <w:szCs w:val="22"/>
        </w:rPr>
        <w:t xml:space="preserve"> </w:t>
      </w:r>
      <w:r w:rsidRPr="00D632B8" w:rsidR="005B3AFB">
        <w:rPr>
          <w:color w:val="000000" w:themeColor="text1"/>
          <w:szCs w:val="22"/>
        </w:rPr>
        <w:t>“</w:t>
      </w:r>
      <w:r w:rsidRPr="00D632B8" w:rsidR="001B42A3">
        <w:rPr>
          <w:color w:val="000000" w:themeColor="text1"/>
          <w:szCs w:val="22"/>
        </w:rPr>
        <w:t>open</w:t>
      </w:r>
      <w:r w:rsidRPr="00D632B8" w:rsidR="005B3AFB">
        <w:rPr>
          <w:color w:val="000000" w:themeColor="text1"/>
          <w:szCs w:val="22"/>
        </w:rPr>
        <w:t>[</w:t>
      </w:r>
      <w:r w:rsidRPr="00D632B8" w:rsidR="001B42A3">
        <w:rPr>
          <w:color w:val="000000" w:themeColor="text1"/>
          <w:szCs w:val="22"/>
        </w:rPr>
        <w:t>ed up</w:t>
      </w:r>
      <w:r w:rsidRPr="00D632B8" w:rsidR="005B3AFB">
        <w:rPr>
          <w:color w:val="000000" w:themeColor="text1"/>
          <w:szCs w:val="22"/>
        </w:rPr>
        <w:t>] the entire</w:t>
      </w:r>
      <w:r w:rsidRPr="00D632B8" w:rsidR="001B42A3">
        <w:rPr>
          <w:color w:val="000000" w:themeColor="text1"/>
          <w:szCs w:val="22"/>
        </w:rPr>
        <w:t xml:space="preserve"> 6 GHz band </w:t>
      </w:r>
      <w:r w:rsidRPr="00D632B8" w:rsidR="005B3AFB">
        <w:rPr>
          <w:color w:val="000000" w:themeColor="text1"/>
          <w:szCs w:val="22"/>
        </w:rPr>
        <w:t>[</w:t>
      </w:r>
      <w:r w:rsidRPr="00D632B8" w:rsidR="001B42A3">
        <w:rPr>
          <w:color w:val="000000" w:themeColor="text1"/>
          <w:szCs w:val="22"/>
        </w:rPr>
        <w:t>(5.925–7.125 GHz)</w:t>
      </w:r>
      <w:r w:rsidRPr="00D632B8" w:rsidR="005B3AFB">
        <w:rPr>
          <w:color w:val="000000" w:themeColor="text1"/>
          <w:szCs w:val="22"/>
        </w:rPr>
        <w:t>] for</w:t>
      </w:r>
      <w:r w:rsidRPr="00D632B8" w:rsidR="001B42A3">
        <w:rPr>
          <w:color w:val="000000" w:themeColor="text1"/>
          <w:szCs w:val="22"/>
        </w:rPr>
        <w:t xml:space="preserve"> unlicensed </w:t>
      </w:r>
      <w:r w:rsidRPr="00D632B8" w:rsidR="005B3AFB">
        <w:rPr>
          <w:color w:val="000000" w:themeColor="text1"/>
          <w:szCs w:val="22"/>
        </w:rPr>
        <w:t>indoor lower power access points.”</w:t>
      </w:r>
      <w:r>
        <w:rPr>
          <w:rStyle w:val="FootnoteReference"/>
          <w:color w:val="000000" w:themeColor="text1"/>
          <w:szCs w:val="22"/>
        </w:rPr>
        <w:footnoteReference w:id="5"/>
      </w:r>
      <w:r w:rsidRPr="00D632B8" w:rsidR="005B3AFB">
        <w:rPr>
          <w:color w:val="000000" w:themeColor="text1"/>
          <w:szCs w:val="22"/>
        </w:rPr>
        <w:t xml:space="preserve">  The Commission found that “[t]</w:t>
      </w:r>
      <w:r w:rsidRPr="00D632B8" w:rsidR="005B3AFB">
        <w:rPr>
          <w:color w:val="000000" w:themeColor="text1"/>
          <w:szCs w:val="22"/>
        </w:rPr>
        <w:t>hese</w:t>
      </w:r>
      <w:r w:rsidRPr="00D632B8" w:rsidR="005B3AFB">
        <w:rPr>
          <w:color w:val="000000" w:themeColor="text1"/>
          <w:szCs w:val="22"/>
        </w:rPr>
        <w:t xml:space="preserve"> access points will be ideal for connecting </w:t>
      </w:r>
      <w:r w:rsidRPr="00D632B8" w:rsidR="001B42A3">
        <w:rPr>
          <w:color w:val="000000" w:themeColor="text1"/>
          <w:szCs w:val="22"/>
        </w:rPr>
        <w:t>devices</w:t>
      </w:r>
      <w:r w:rsidRPr="00D632B8" w:rsidR="005B3AFB">
        <w:rPr>
          <w:color w:val="000000" w:themeColor="text1"/>
          <w:szCs w:val="22"/>
        </w:rPr>
        <w:t xml:space="preserve"> in homes and businesses </w:t>
      </w:r>
      <w:r w:rsidRPr="00D632B8" w:rsidR="001B42A3">
        <w:rPr>
          <w:color w:val="000000" w:themeColor="text1"/>
          <w:szCs w:val="22"/>
        </w:rPr>
        <w:t xml:space="preserve">such </w:t>
      </w:r>
      <w:r w:rsidRPr="00D632B8" w:rsidR="005B3AFB">
        <w:rPr>
          <w:color w:val="000000" w:themeColor="text1"/>
          <w:szCs w:val="22"/>
        </w:rPr>
        <w:t>[</w:t>
      </w:r>
      <w:r w:rsidRPr="00D632B8" w:rsidR="001B42A3">
        <w:rPr>
          <w:color w:val="000000" w:themeColor="text1"/>
          <w:szCs w:val="22"/>
        </w:rPr>
        <w:t>as</w:t>
      </w:r>
      <w:r w:rsidRPr="00D632B8" w:rsidR="005B3AFB">
        <w:rPr>
          <w:color w:val="000000" w:themeColor="text1"/>
          <w:szCs w:val="22"/>
        </w:rPr>
        <w:t>]</w:t>
      </w:r>
      <w:r w:rsidRPr="00D632B8" w:rsidR="001B42A3">
        <w:rPr>
          <w:color w:val="000000" w:themeColor="text1"/>
          <w:szCs w:val="22"/>
        </w:rPr>
        <w:t xml:space="preserve"> smartphones, </w:t>
      </w:r>
      <w:r w:rsidRPr="00D632B8" w:rsidR="005B3AFB">
        <w:rPr>
          <w:color w:val="000000" w:themeColor="text1"/>
          <w:szCs w:val="22"/>
        </w:rPr>
        <w:t xml:space="preserve">tablet devices, </w:t>
      </w:r>
      <w:r w:rsidRPr="00D632B8" w:rsidR="001B42A3">
        <w:rPr>
          <w:color w:val="000000" w:themeColor="text1"/>
          <w:szCs w:val="22"/>
        </w:rPr>
        <w:t xml:space="preserve">laptops, and </w:t>
      </w:r>
      <w:r w:rsidRPr="00D632B8" w:rsidR="005B3AFB">
        <w:rPr>
          <w:color w:val="000000" w:themeColor="text1"/>
          <w:szCs w:val="22"/>
        </w:rPr>
        <w:t>Internet-of-Things devices to the Internet</w:t>
      </w:r>
      <w:r w:rsidRPr="00D632B8" w:rsidR="001B42A3">
        <w:rPr>
          <w:color w:val="000000" w:themeColor="text1"/>
          <w:szCs w:val="22"/>
        </w:rPr>
        <w:t>.</w:t>
      </w:r>
      <w:r w:rsidRPr="00D632B8" w:rsidR="006358DC">
        <w:rPr>
          <w:color w:val="000000" w:themeColor="text1"/>
          <w:szCs w:val="22"/>
        </w:rPr>
        <w:t>”</w:t>
      </w:r>
      <w:r>
        <w:rPr>
          <w:rStyle w:val="FootnoteReference"/>
          <w:color w:val="000000" w:themeColor="text1"/>
          <w:szCs w:val="22"/>
        </w:rPr>
        <w:footnoteReference w:id="6"/>
      </w:r>
      <w:r w:rsidRPr="00D632B8" w:rsidR="001B42A3">
        <w:rPr>
          <w:color w:val="000000" w:themeColor="text1"/>
          <w:szCs w:val="22"/>
        </w:rPr>
        <w:t xml:space="preserve">  </w:t>
      </w:r>
      <w:r w:rsidRPr="00D632B8" w:rsidR="00E9510E">
        <w:rPr>
          <w:color w:val="000000" w:themeColor="text1"/>
          <w:szCs w:val="22"/>
        </w:rPr>
        <w:t>T</w:t>
      </w:r>
      <w:r w:rsidRPr="00D632B8" w:rsidR="001B42A3">
        <w:rPr>
          <w:color w:val="000000" w:themeColor="text1"/>
          <w:szCs w:val="22"/>
        </w:rPr>
        <w:t>he Commission</w:t>
      </w:r>
      <w:r w:rsidRPr="00D632B8" w:rsidR="00BA1530">
        <w:rPr>
          <w:color w:val="000000" w:themeColor="text1"/>
          <w:szCs w:val="22"/>
        </w:rPr>
        <w:t xml:space="preserve"> </w:t>
      </w:r>
      <w:r w:rsidRPr="00D632B8" w:rsidR="002A7408">
        <w:rPr>
          <w:color w:val="000000" w:themeColor="text1"/>
          <w:szCs w:val="22"/>
        </w:rPr>
        <w:t xml:space="preserve">adopted several requirements to </w:t>
      </w:r>
      <w:r w:rsidRPr="00D632B8" w:rsidR="00BA1530">
        <w:rPr>
          <w:color w:val="000000" w:themeColor="text1"/>
          <w:szCs w:val="22"/>
        </w:rPr>
        <w:t>“protect the various incumbent-licensed services in the band, including fixed microwave services, various other fixed and mobile services, and fixed-satellite services</w:t>
      </w:r>
      <w:r w:rsidRPr="00D632B8" w:rsidR="002A7408">
        <w:rPr>
          <w:color w:val="000000" w:themeColor="text1"/>
          <w:szCs w:val="22"/>
        </w:rPr>
        <w:t>.</w:t>
      </w:r>
      <w:r w:rsidRPr="00D632B8" w:rsidR="00BA1530">
        <w:rPr>
          <w:color w:val="000000" w:themeColor="text1"/>
          <w:szCs w:val="22"/>
        </w:rPr>
        <w:t>”</w:t>
      </w:r>
      <w:r>
        <w:rPr>
          <w:rStyle w:val="FootnoteReference"/>
          <w:color w:val="000000" w:themeColor="text1"/>
          <w:szCs w:val="22"/>
        </w:rPr>
        <w:footnoteReference w:id="7"/>
      </w:r>
      <w:r w:rsidRPr="00D632B8" w:rsidR="00BA1530">
        <w:rPr>
          <w:color w:val="000000" w:themeColor="text1"/>
          <w:szCs w:val="22"/>
        </w:rPr>
        <w:t xml:space="preserve"> </w:t>
      </w:r>
      <w:r w:rsidRPr="00D632B8" w:rsidR="002A7408">
        <w:rPr>
          <w:color w:val="000000" w:themeColor="text1"/>
          <w:szCs w:val="22"/>
        </w:rPr>
        <w:t xml:space="preserve"> </w:t>
      </w:r>
      <w:r w:rsidRPr="00D632B8" w:rsidR="001B42A3">
        <w:rPr>
          <w:color w:val="000000" w:themeColor="text1"/>
          <w:szCs w:val="22"/>
        </w:rPr>
        <w:t xml:space="preserve"> </w:t>
      </w:r>
      <w:r w:rsidRPr="00D632B8">
        <w:rPr>
          <w:color w:val="000000" w:themeColor="text1"/>
          <w:szCs w:val="22"/>
        </w:rPr>
        <w:t xml:space="preserve"> </w:t>
      </w:r>
    </w:p>
    <w:p w:rsidR="00D632B8" w:rsidRPr="00D632B8" w:rsidP="00D632B8" w14:paraId="5C994ED2" w14:textId="66FF663D">
      <w:pPr>
        <w:pStyle w:val="ParaNum"/>
        <w:numPr>
          <w:ilvl w:val="0"/>
          <w:numId w:val="0"/>
        </w:numPr>
        <w:ind w:firstLine="720"/>
        <w:rPr>
          <w:color w:val="000000" w:themeColor="text1"/>
          <w:szCs w:val="22"/>
        </w:rPr>
      </w:pPr>
      <w:r w:rsidRPr="00D632B8">
        <w:rPr>
          <w:color w:val="000000" w:themeColor="text1"/>
          <w:szCs w:val="22"/>
        </w:rPr>
        <w:t>Among other things</w:t>
      </w:r>
      <w:r w:rsidRPr="00D632B8" w:rsidR="00E26004">
        <w:rPr>
          <w:color w:val="000000" w:themeColor="text1"/>
          <w:szCs w:val="22"/>
        </w:rPr>
        <w:t xml:space="preserve">, </w:t>
      </w:r>
      <w:r w:rsidRPr="00D632B8" w:rsidR="00C264E0">
        <w:rPr>
          <w:color w:val="000000" w:themeColor="text1"/>
          <w:szCs w:val="22"/>
        </w:rPr>
        <w:t xml:space="preserve">the </w:t>
      </w:r>
      <w:r w:rsidRPr="00D632B8" w:rsidR="000C6113">
        <w:rPr>
          <w:i/>
          <w:iCs/>
          <w:color w:val="000000" w:themeColor="text1"/>
          <w:szCs w:val="22"/>
        </w:rPr>
        <w:t>6</w:t>
      </w:r>
      <w:r w:rsidRPr="00D632B8" w:rsidR="000C6113">
        <w:rPr>
          <w:i/>
          <w:iCs/>
          <w:color w:val="000000" w:themeColor="text1"/>
          <w:szCs w:val="22"/>
          <w:vertAlign w:val="superscript"/>
        </w:rPr>
        <w:t xml:space="preserve"> </w:t>
      </w:r>
      <w:r w:rsidRPr="00D632B8" w:rsidR="000C6113">
        <w:rPr>
          <w:i/>
          <w:iCs/>
          <w:color w:val="000000" w:themeColor="text1"/>
          <w:szCs w:val="22"/>
        </w:rPr>
        <w:t>GHz Report and Order</w:t>
      </w:r>
      <w:r w:rsidRPr="00D632B8" w:rsidR="00C264E0">
        <w:rPr>
          <w:color w:val="000000" w:themeColor="text1"/>
          <w:szCs w:val="22"/>
        </w:rPr>
        <w:t xml:space="preserve"> </w:t>
      </w:r>
      <w:r w:rsidRPr="00D632B8" w:rsidR="00225488">
        <w:rPr>
          <w:color w:val="000000" w:themeColor="text1"/>
          <w:szCs w:val="22"/>
        </w:rPr>
        <w:t xml:space="preserve">required that </w:t>
      </w:r>
      <w:r w:rsidRPr="00D632B8" w:rsidR="00E26157">
        <w:rPr>
          <w:color w:val="000000" w:themeColor="text1"/>
          <w:szCs w:val="22"/>
        </w:rPr>
        <w:t>the operation of devices relying on indoor low power access points be</w:t>
      </w:r>
      <w:r w:rsidR="00310442">
        <w:rPr>
          <w:color w:val="000000" w:themeColor="text1"/>
          <w:szCs w:val="22"/>
        </w:rPr>
        <w:t xml:space="preserve">: </w:t>
      </w:r>
      <w:r w:rsidRPr="00D632B8" w:rsidR="00E26157">
        <w:rPr>
          <w:color w:val="000000" w:themeColor="text1"/>
          <w:szCs w:val="22"/>
        </w:rPr>
        <w:t xml:space="preserve"> “(1) limited to indoor operation</w:t>
      </w:r>
      <w:r w:rsidRPr="00D632B8" w:rsidR="00CC39F0">
        <w:rPr>
          <w:color w:val="000000" w:themeColor="text1"/>
          <w:szCs w:val="22"/>
        </w:rPr>
        <w:t>”</w:t>
      </w:r>
      <w:r>
        <w:rPr>
          <w:rStyle w:val="FootnoteReference"/>
          <w:color w:val="000000" w:themeColor="text1"/>
          <w:szCs w:val="22"/>
        </w:rPr>
        <w:footnoteReference w:id="8"/>
      </w:r>
      <w:r w:rsidRPr="00D632B8" w:rsidR="00CC39F0">
        <w:rPr>
          <w:color w:val="000000" w:themeColor="text1"/>
          <w:szCs w:val="22"/>
        </w:rPr>
        <w:t xml:space="preserve"> whereby “the signals transmitted by these unlicensed devices will be significantly attenuated when passing through the walls of buildings</w:t>
      </w:r>
      <w:r w:rsidRPr="00D632B8" w:rsidR="00DD69A4">
        <w:rPr>
          <w:color w:val="000000" w:themeColor="text1"/>
          <w:szCs w:val="22"/>
        </w:rPr>
        <w:t>[;]</w:t>
      </w:r>
      <w:r w:rsidRPr="00D632B8" w:rsidR="00CC39F0">
        <w:rPr>
          <w:color w:val="000000" w:themeColor="text1"/>
          <w:szCs w:val="22"/>
        </w:rPr>
        <w:t>”</w:t>
      </w:r>
      <w:r>
        <w:rPr>
          <w:rStyle w:val="FootnoteReference"/>
          <w:color w:val="000000" w:themeColor="text1"/>
          <w:szCs w:val="22"/>
        </w:rPr>
        <w:footnoteReference w:id="9"/>
      </w:r>
      <w:r w:rsidRPr="00D632B8" w:rsidR="00E26157">
        <w:rPr>
          <w:color w:val="000000" w:themeColor="text1"/>
          <w:szCs w:val="22"/>
        </w:rPr>
        <w:t xml:space="preserve"> </w:t>
      </w:r>
      <w:r w:rsidRPr="00D632B8" w:rsidR="00CC39F0">
        <w:rPr>
          <w:color w:val="000000" w:themeColor="text1"/>
          <w:szCs w:val="22"/>
        </w:rPr>
        <w:t>“</w:t>
      </w:r>
      <w:r w:rsidRPr="00D632B8" w:rsidR="00E26157">
        <w:rPr>
          <w:color w:val="000000" w:themeColor="text1"/>
          <w:szCs w:val="22"/>
        </w:rPr>
        <w:t>(2) required to use a contention-based protocol</w:t>
      </w:r>
      <w:r w:rsidRPr="00D632B8" w:rsidR="00CC39F0">
        <w:rPr>
          <w:color w:val="000000" w:themeColor="text1"/>
          <w:szCs w:val="22"/>
        </w:rPr>
        <w:t>,”</w:t>
      </w:r>
      <w:r>
        <w:rPr>
          <w:rStyle w:val="FootnoteReference"/>
          <w:color w:val="000000" w:themeColor="text1"/>
          <w:szCs w:val="22"/>
        </w:rPr>
        <w:footnoteReference w:id="10"/>
      </w:r>
      <w:r w:rsidRPr="00D632B8" w:rsidR="00CC39F0">
        <w:rPr>
          <w:color w:val="000000" w:themeColor="text1"/>
          <w:szCs w:val="22"/>
        </w:rPr>
        <w:t xml:space="preserve"> </w:t>
      </w:r>
      <w:r w:rsidR="007A323A">
        <w:rPr>
          <w:color w:val="000000" w:themeColor="text1"/>
          <w:szCs w:val="22"/>
        </w:rPr>
        <w:t>such as</w:t>
      </w:r>
      <w:r w:rsidRPr="00D632B8" w:rsidR="00CC39F0">
        <w:rPr>
          <w:color w:val="000000" w:themeColor="text1"/>
          <w:szCs w:val="22"/>
        </w:rPr>
        <w:t xml:space="preserve"> a “listen before talk . . . </w:t>
      </w:r>
      <w:r w:rsidRPr="00D632B8" w:rsidR="00CC39F0">
        <w:rPr>
          <w:color w:val="000000" w:themeColor="text1"/>
          <w:szCs w:val="22"/>
        </w:rPr>
        <w:t>scheme</w:t>
      </w:r>
      <w:r w:rsidRPr="00D632B8" w:rsidR="00DD69A4">
        <w:rPr>
          <w:color w:val="000000" w:themeColor="text1"/>
          <w:szCs w:val="22"/>
        </w:rPr>
        <w:t>[;]</w:t>
      </w:r>
      <w:r w:rsidRPr="00D632B8" w:rsidR="00CC39F0">
        <w:rPr>
          <w:color w:val="000000" w:themeColor="text1"/>
          <w:szCs w:val="22"/>
        </w:rPr>
        <w:t>”</w:t>
      </w:r>
      <w:r>
        <w:rPr>
          <w:rStyle w:val="FootnoteReference"/>
          <w:szCs w:val="22"/>
        </w:rPr>
        <w:footnoteReference w:id="11"/>
      </w:r>
      <w:r w:rsidR="00310442">
        <w:rPr>
          <w:color w:val="000000" w:themeColor="text1"/>
          <w:szCs w:val="22"/>
        </w:rPr>
        <w:t xml:space="preserve"> </w:t>
      </w:r>
      <w:r w:rsidRPr="00D632B8" w:rsidR="00E26157">
        <w:rPr>
          <w:color w:val="000000" w:themeColor="text1"/>
          <w:szCs w:val="22"/>
        </w:rPr>
        <w:t xml:space="preserve">and </w:t>
      </w:r>
      <w:r w:rsidRPr="00D632B8" w:rsidR="002A7408">
        <w:rPr>
          <w:color w:val="000000" w:themeColor="text1"/>
          <w:szCs w:val="22"/>
        </w:rPr>
        <w:t>“</w:t>
      </w:r>
      <w:r w:rsidRPr="00D632B8" w:rsidR="00E26157">
        <w:rPr>
          <w:color w:val="000000" w:themeColor="text1"/>
          <w:szCs w:val="22"/>
        </w:rPr>
        <w:t>(3) subject to low-power operation</w:t>
      </w:r>
      <w:r w:rsidRPr="00D632B8" w:rsidR="00DD69A4">
        <w:rPr>
          <w:color w:val="000000" w:themeColor="text1"/>
          <w:szCs w:val="22"/>
        </w:rPr>
        <w:t>,</w:t>
      </w:r>
      <w:r w:rsidRPr="00D632B8" w:rsidR="00E26157">
        <w:rPr>
          <w:color w:val="000000" w:themeColor="text1"/>
          <w:szCs w:val="22"/>
        </w:rPr>
        <w:t>”</w:t>
      </w:r>
      <w:r>
        <w:rPr>
          <w:rStyle w:val="FootnoteReference"/>
          <w:color w:val="000000" w:themeColor="text1"/>
          <w:szCs w:val="22"/>
        </w:rPr>
        <w:footnoteReference w:id="12"/>
      </w:r>
      <w:r w:rsidRPr="00D632B8" w:rsidR="00DD69A4">
        <w:rPr>
          <w:color w:val="000000" w:themeColor="text1"/>
          <w:szCs w:val="22"/>
        </w:rPr>
        <w:t xml:space="preserve"> </w:t>
      </w:r>
      <w:r w:rsidRPr="00D632B8" w:rsidR="002A7408">
        <w:rPr>
          <w:color w:val="000000" w:themeColor="text1"/>
          <w:szCs w:val="22"/>
        </w:rPr>
        <w:t>which, as relevant here, mean</w:t>
      </w:r>
      <w:r w:rsidRPr="00D632B8">
        <w:rPr>
          <w:color w:val="000000" w:themeColor="text1"/>
          <w:szCs w:val="22"/>
        </w:rPr>
        <w:t>s</w:t>
      </w:r>
      <w:r w:rsidRPr="00D632B8" w:rsidR="002A7408">
        <w:rPr>
          <w:color w:val="000000" w:themeColor="text1"/>
          <w:szCs w:val="22"/>
        </w:rPr>
        <w:t xml:space="preserve"> </w:t>
      </w:r>
      <w:r w:rsidRPr="00D632B8" w:rsidR="00DD69A4">
        <w:rPr>
          <w:color w:val="000000" w:themeColor="text1"/>
          <w:szCs w:val="22"/>
        </w:rPr>
        <w:t>“a maximum radiated power spectral density of 5 dBm per 1 megahertz</w:t>
      </w:r>
      <w:r w:rsidRPr="00D632B8" w:rsidR="005A0810">
        <w:rPr>
          <w:color w:val="000000" w:themeColor="text1"/>
          <w:szCs w:val="22"/>
        </w:rPr>
        <w:t>.</w:t>
      </w:r>
      <w:r w:rsidRPr="00D632B8" w:rsidR="00DD69A4">
        <w:rPr>
          <w:color w:val="000000" w:themeColor="text1"/>
          <w:szCs w:val="22"/>
        </w:rPr>
        <w:t>”</w:t>
      </w:r>
      <w:r>
        <w:rPr>
          <w:rStyle w:val="FootnoteReference"/>
          <w:color w:val="000000" w:themeColor="text1"/>
          <w:szCs w:val="22"/>
        </w:rPr>
        <w:footnoteReference w:id="13"/>
      </w:r>
      <w:r w:rsidRPr="00D632B8" w:rsidR="00A908E4">
        <w:rPr>
          <w:color w:val="000000" w:themeColor="text1"/>
          <w:szCs w:val="22"/>
        </w:rPr>
        <w:t xml:space="preserve">  The Commission concluded that </w:t>
      </w:r>
      <w:r w:rsidRPr="00D632B8" w:rsidR="00072411">
        <w:rPr>
          <w:color w:val="000000" w:themeColor="text1"/>
          <w:szCs w:val="22"/>
        </w:rPr>
        <w:t xml:space="preserve">“the[se] restrictions and requirements . . . for indoor use of low power access points </w:t>
      </w:r>
      <w:r w:rsidRPr="00D632B8" w:rsidR="00A908E4">
        <w:rPr>
          <w:color w:val="000000" w:themeColor="text1"/>
          <w:szCs w:val="22"/>
        </w:rPr>
        <w:t>eliminat</w:t>
      </w:r>
      <w:r w:rsidR="00AB18F3">
        <w:rPr>
          <w:color w:val="000000" w:themeColor="text1"/>
          <w:szCs w:val="22"/>
        </w:rPr>
        <w:t>[e]</w:t>
      </w:r>
      <w:r w:rsidRPr="00D632B8" w:rsidR="00A908E4">
        <w:rPr>
          <w:color w:val="000000" w:themeColor="text1"/>
          <w:szCs w:val="22"/>
        </w:rPr>
        <w:t xml:space="preserve"> any significant risk of causing harmful interference</w:t>
      </w:r>
      <w:r w:rsidRPr="00D632B8" w:rsidR="005A0810">
        <w:rPr>
          <w:color w:val="000000" w:themeColor="text1"/>
          <w:szCs w:val="22"/>
        </w:rPr>
        <w:t>.</w:t>
      </w:r>
      <w:r w:rsidRPr="00D632B8" w:rsidR="00A908E4">
        <w:rPr>
          <w:color w:val="000000" w:themeColor="text1"/>
          <w:szCs w:val="22"/>
        </w:rPr>
        <w:t>”</w:t>
      </w:r>
      <w:r>
        <w:rPr>
          <w:rStyle w:val="FootnoteReference"/>
          <w:color w:val="000000" w:themeColor="text1"/>
          <w:szCs w:val="22"/>
        </w:rPr>
        <w:footnoteReference w:id="14"/>
      </w:r>
      <w:r w:rsidRPr="00D632B8" w:rsidR="00C25F3A">
        <w:rPr>
          <w:color w:val="000000" w:themeColor="text1"/>
          <w:szCs w:val="22"/>
        </w:rPr>
        <w:t xml:space="preserve">  </w:t>
      </w:r>
    </w:p>
    <w:p w:rsidR="00D632B8" w:rsidRPr="00D632B8" w:rsidP="00D632B8" w14:paraId="54CB37D9" w14:textId="132A660A">
      <w:pPr>
        <w:pStyle w:val="ParaNum"/>
        <w:numPr>
          <w:ilvl w:val="0"/>
          <w:numId w:val="0"/>
        </w:numPr>
        <w:ind w:firstLine="720"/>
        <w:rPr>
          <w:color w:val="000000" w:themeColor="text1"/>
          <w:szCs w:val="22"/>
        </w:rPr>
      </w:pPr>
      <w:r w:rsidRPr="00D632B8">
        <w:rPr>
          <w:color w:val="000000" w:themeColor="text1"/>
          <w:szCs w:val="22"/>
        </w:rPr>
        <w:t>Petitioners representing</w:t>
      </w:r>
      <w:r w:rsidRPr="00D632B8" w:rsidR="009C1843">
        <w:rPr>
          <w:color w:val="000000" w:themeColor="text1"/>
          <w:szCs w:val="22"/>
        </w:rPr>
        <w:t xml:space="preserve"> licensed commercial wireless service providers, electric utilities, public safety entities, and broadcasters operating in the 6 GHz band </w:t>
      </w:r>
      <w:r w:rsidRPr="00D632B8" w:rsidR="001D2008">
        <w:rPr>
          <w:color w:val="000000" w:themeColor="text1"/>
          <w:szCs w:val="22"/>
        </w:rPr>
        <w:t>sought judicial review</w:t>
      </w:r>
      <w:r w:rsidRPr="00D632B8" w:rsidR="009C1843">
        <w:rPr>
          <w:color w:val="000000" w:themeColor="text1"/>
          <w:szCs w:val="22"/>
        </w:rPr>
        <w:t xml:space="preserve">, asserting that the </w:t>
      </w:r>
      <w:r w:rsidRPr="00D632B8" w:rsidR="009C1843">
        <w:rPr>
          <w:i/>
          <w:iCs/>
          <w:color w:val="000000" w:themeColor="text1"/>
          <w:szCs w:val="22"/>
        </w:rPr>
        <w:t>6 GHz Report and Order</w:t>
      </w:r>
      <w:r w:rsidRPr="00D632B8" w:rsidR="009C1843">
        <w:rPr>
          <w:color w:val="000000" w:themeColor="text1"/>
          <w:szCs w:val="22"/>
        </w:rPr>
        <w:t xml:space="preserve"> contravened the Communications Act of 1934, as amended, and the Administrative Procedure Act</w:t>
      </w:r>
      <w:r w:rsidRPr="00D632B8">
        <w:rPr>
          <w:color w:val="000000" w:themeColor="text1"/>
          <w:szCs w:val="22"/>
        </w:rPr>
        <w:t>.</w:t>
      </w:r>
      <w:r>
        <w:rPr>
          <w:rStyle w:val="FootnoteReference"/>
          <w:color w:val="000000" w:themeColor="text1"/>
          <w:szCs w:val="22"/>
        </w:rPr>
        <w:footnoteReference w:id="15"/>
      </w:r>
      <w:r w:rsidRPr="00D632B8" w:rsidR="006E6FB2">
        <w:rPr>
          <w:color w:val="000000" w:themeColor="text1"/>
          <w:szCs w:val="22"/>
        </w:rPr>
        <w:t xml:space="preserve">  </w:t>
      </w:r>
    </w:p>
    <w:p w:rsidR="006E6FB2" w:rsidRPr="00D632B8" w:rsidP="00D632B8" w14:paraId="1BDE928C" w14:textId="4E8AD12A">
      <w:pPr>
        <w:pStyle w:val="ParaNum"/>
        <w:numPr>
          <w:ilvl w:val="0"/>
          <w:numId w:val="0"/>
        </w:numPr>
        <w:ind w:firstLine="720"/>
        <w:rPr>
          <w:color w:val="000000" w:themeColor="text1"/>
          <w:szCs w:val="22"/>
        </w:rPr>
      </w:pPr>
      <w:r w:rsidRPr="00D632B8">
        <w:rPr>
          <w:color w:val="000000" w:themeColor="text1"/>
          <w:szCs w:val="22"/>
        </w:rPr>
        <w:t xml:space="preserve">The D.C. Circuit largely </w:t>
      </w:r>
      <w:r w:rsidRPr="00D632B8" w:rsidR="000F401F">
        <w:rPr>
          <w:color w:val="000000" w:themeColor="text1"/>
          <w:szCs w:val="22"/>
        </w:rPr>
        <w:t>rejected these challenges</w:t>
      </w:r>
      <w:r w:rsidRPr="00D632B8">
        <w:rPr>
          <w:color w:val="000000" w:themeColor="text1"/>
          <w:szCs w:val="22"/>
        </w:rPr>
        <w:t>.</w:t>
      </w:r>
      <w:r w:rsidRPr="00D632B8" w:rsidR="00FF3B9D">
        <w:rPr>
          <w:color w:val="000000" w:themeColor="text1"/>
          <w:szCs w:val="22"/>
        </w:rPr>
        <w:t xml:space="preserve">  </w:t>
      </w:r>
      <w:r w:rsidRPr="00D632B8">
        <w:rPr>
          <w:color w:val="000000" w:themeColor="text1"/>
          <w:szCs w:val="22"/>
        </w:rPr>
        <w:t>Holding</w:t>
      </w:r>
      <w:r w:rsidRPr="00D632B8" w:rsidR="001D2008">
        <w:rPr>
          <w:color w:val="000000" w:themeColor="text1"/>
          <w:szCs w:val="22"/>
        </w:rPr>
        <w:t xml:space="preserve"> </w:t>
      </w:r>
      <w:r w:rsidRPr="00D632B8" w:rsidR="00FF3B9D">
        <w:rPr>
          <w:color w:val="000000" w:themeColor="text1"/>
          <w:szCs w:val="22"/>
        </w:rPr>
        <w:t>that</w:t>
      </w:r>
      <w:r w:rsidRPr="00D632B8" w:rsidR="0073261C">
        <w:rPr>
          <w:color w:val="000000" w:themeColor="text1"/>
          <w:szCs w:val="22"/>
        </w:rPr>
        <w:t xml:space="preserve"> </w:t>
      </w:r>
      <w:r w:rsidR="00E3704A">
        <w:rPr>
          <w:color w:val="000000" w:themeColor="text1"/>
          <w:szCs w:val="22"/>
        </w:rPr>
        <w:t>“</w:t>
      </w:r>
      <w:r w:rsidRPr="00D632B8" w:rsidR="0073261C">
        <w:rPr>
          <w:color w:val="000000" w:themeColor="text1"/>
          <w:szCs w:val="22"/>
        </w:rPr>
        <w:t>p</w:t>
      </w:r>
      <w:r w:rsidRPr="00D632B8" w:rsidR="003669C6">
        <w:rPr>
          <w:color w:val="000000" w:themeColor="text1"/>
          <w:szCs w:val="22"/>
        </w:rPr>
        <w:t>etitioners have failed to provide a basis for questioning the Commission’s conclusion that the [</w:t>
      </w:r>
      <w:r w:rsidRPr="00D632B8" w:rsidR="003669C6">
        <w:rPr>
          <w:i/>
          <w:iCs/>
          <w:color w:val="000000" w:themeColor="text1"/>
          <w:szCs w:val="22"/>
        </w:rPr>
        <w:t>6 GHz Report and Order</w:t>
      </w:r>
      <w:r w:rsidRPr="00D632B8" w:rsidR="003669C6">
        <w:rPr>
          <w:color w:val="000000" w:themeColor="text1"/>
          <w:szCs w:val="22"/>
        </w:rPr>
        <w:t>] will protect against a significant risk of harmful interference</w:t>
      </w:r>
      <w:r w:rsidRPr="00D632B8">
        <w:rPr>
          <w:color w:val="000000" w:themeColor="text1"/>
          <w:szCs w:val="22"/>
        </w:rPr>
        <w:t>,</w:t>
      </w:r>
      <w:r w:rsidRPr="00D632B8" w:rsidR="0073261C">
        <w:rPr>
          <w:color w:val="000000" w:themeColor="text1"/>
          <w:szCs w:val="22"/>
        </w:rPr>
        <w:t>”</w:t>
      </w:r>
      <w:r w:rsidRPr="00D632B8">
        <w:rPr>
          <w:color w:val="000000" w:themeColor="text1"/>
          <w:szCs w:val="22"/>
        </w:rPr>
        <w:t xml:space="preserve"> t</w:t>
      </w:r>
      <w:r w:rsidRPr="00D632B8" w:rsidR="0073261C">
        <w:rPr>
          <w:color w:val="000000" w:themeColor="text1"/>
          <w:szCs w:val="22"/>
        </w:rPr>
        <w:t>he court “</w:t>
      </w:r>
      <w:r w:rsidRPr="00D632B8" w:rsidR="003669C6">
        <w:rPr>
          <w:color w:val="000000" w:themeColor="text1"/>
          <w:szCs w:val="22"/>
        </w:rPr>
        <w:t>den</w:t>
      </w:r>
      <w:r w:rsidRPr="00D632B8" w:rsidR="0073261C">
        <w:rPr>
          <w:color w:val="000000" w:themeColor="text1"/>
          <w:szCs w:val="22"/>
        </w:rPr>
        <w:t>[</w:t>
      </w:r>
      <w:r w:rsidRPr="00D632B8" w:rsidR="0073261C">
        <w:rPr>
          <w:color w:val="000000" w:themeColor="text1"/>
          <w:szCs w:val="22"/>
        </w:rPr>
        <w:t>ied</w:t>
      </w:r>
      <w:r w:rsidRPr="00D632B8" w:rsidR="0073261C">
        <w:rPr>
          <w:color w:val="000000" w:themeColor="text1"/>
          <w:szCs w:val="22"/>
        </w:rPr>
        <w:t>]</w:t>
      </w:r>
      <w:r w:rsidRPr="00D632B8" w:rsidR="003669C6">
        <w:rPr>
          <w:color w:val="000000" w:themeColor="text1"/>
          <w:szCs w:val="22"/>
        </w:rPr>
        <w:t xml:space="preserve"> the petitions for review in all respects save one</w:t>
      </w:r>
      <w:r w:rsidRPr="00D632B8" w:rsidR="00E26004">
        <w:rPr>
          <w:color w:val="000000" w:themeColor="text1"/>
          <w:szCs w:val="22"/>
        </w:rPr>
        <w:t>.</w:t>
      </w:r>
      <w:r w:rsidRPr="00D632B8" w:rsidR="0073261C">
        <w:rPr>
          <w:color w:val="000000" w:themeColor="text1"/>
          <w:szCs w:val="22"/>
        </w:rPr>
        <w:t>”</w:t>
      </w:r>
      <w:r>
        <w:rPr>
          <w:rStyle w:val="FootnoteReference"/>
          <w:color w:val="000000" w:themeColor="text1"/>
          <w:szCs w:val="22"/>
        </w:rPr>
        <w:footnoteReference w:id="16"/>
      </w:r>
      <w:r w:rsidRPr="00D632B8">
        <w:rPr>
          <w:color w:val="000000" w:themeColor="text1"/>
          <w:szCs w:val="22"/>
        </w:rPr>
        <w:t xml:space="preserve"> </w:t>
      </w:r>
      <w:r w:rsidRPr="00D632B8" w:rsidR="005E50F2">
        <w:rPr>
          <w:color w:val="000000" w:themeColor="text1"/>
          <w:szCs w:val="22"/>
        </w:rPr>
        <w:t xml:space="preserve"> </w:t>
      </w:r>
      <w:r w:rsidRPr="00D632B8" w:rsidR="00E26004">
        <w:rPr>
          <w:color w:val="000000" w:themeColor="text1"/>
          <w:szCs w:val="22"/>
        </w:rPr>
        <w:t xml:space="preserve"> </w:t>
      </w:r>
    </w:p>
    <w:p w:rsidR="006E6FB2" w:rsidRPr="00D632B8" w:rsidP="00202573" w14:paraId="5DFA8A5A" w14:textId="3E871FE2">
      <w:pPr>
        <w:pStyle w:val="ParaNum"/>
        <w:numPr>
          <w:ilvl w:val="0"/>
          <w:numId w:val="0"/>
        </w:numPr>
        <w:ind w:firstLine="720"/>
        <w:rPr>
          <w:color w:val="000000" w:themeColor="text1"/>
          <w:szCs w:val="22"/>
        </w:rPr>
      </w:pPr>
      <w:r w:rsidRPr="00D632B8">
        <w:rPr>
          <w:color w:val="000000" w:themeColor="text1"/>
          <w:szCs w:val="22"/>
        </w:rPr>
        <w:t>The</w:t>
      </w:r>
      <w:r w:rsidRPr="00D632B8">
        <w:rPr>
          <w:color w:val="000000" w:themeColor="text1"/>
          <w:szCs w:val="22"/>
        </w:rPr>
        <w:t xml:space="preserve"> one issue </w:t>
      </w:r>
      <w:r w:rsidRPr="00D632B8">
        <w:rPr>
          <w:color w:val="000000" w:themeColor="text1"/>
          <w:szCs w:val="22"/>
        </w:rPr>
        <w:t xml:space="preserve">as to which the court granted review </w:t>
      </w:r>
      <w:r w:rsidRPr="00D632B8">
        <w:rPr>
          <w:color w:val="000000" w:themeColor="text1"/>
          <w:szCs w:val="22"/>
        </w:rPr>
        <w:t xml:space="preserve">involved </w:t>
      </w:r>
      <w:r w:rsidRPr="00D632B8" w:rsidR="000628DA">
        <w:rPr>
          <w:color w:val="000000" w:themeColor="text1"/>
          <w:szCs w:val="22"/>
        </w:rPr>
        <w:t>a</w:t>
      </w:r>
      <w:r w:rsidRPr="00D632B8">
        <w:rPr>
          <w:color w:val="000000" w:themeColor="text1"/>
          <w:szCs w:val="22"/>
        </w:rPr>
        <w:t xml:space="preserve"> claim by </w:t>
      </w:r>
      <w:r w:rsidRPr="00D632B8" w:rsidR="009A3FA3">
        <w:rPr>
          <w:color w:val="000000" w:themeColor="text1"/>
          <w:szCs w:val="22"/>
        </w:rPr>
        <w:t>the National Association of B</w:t>
      </w:r>
      <w:r w:rsidRPr="00D632B8" w:rsidR="00C25F3A">
        <w:rPr>
          <w:color w:val="000000" w:themeColor="text1"/>
          <w:szCs w:val="22"/>
        </w:rPr>
        <w:t>roadcasters</w:t>
      </w:r>
      <w:r w:rsidRPr="00D632B8" w:rsidR="009A3FA3">
        <w:rPr>
          <w:color w:val="000000" w:themeColor="text1"/>
          <w:szCs w:val="22"/>
        </w:rPr>
        <w:t xml:space="preserve"> </w:t>
      </w:r>
      <w:r w:rsidRPr="00D632B8" w:rsidR="006C1A62">
        <w:rPr>
          <w:color w:val="000000" w:themeColor="text1"/>
          <w:szCs w:val="22"/>
        </w:rPr>
        <w:t xml:space="preserve">(NAB) </w:t>
      </w:r>
      <w:r w:rsidRPr="00D632B8">
        <w:rPr>
          <w:color w:val="000000" w:themeColor="text1"/>
          <w:szCs w:val="22"/>
        </w:rPr>
        <w:t>“</w:t>
      </w:r>
      <w:r w:rsidRPr="00D632B8" w:rsidR="009A3FA3">
        <w:rPr>
          <w:color w:val="000000" w:themeColor="text1"/>
          <w:szCs w:val="22"/>
        </w:rPr>
        <w:t>that because mobile operators frequently work indoors, the provisions of the [</w:t>
      </w:r>
      <w:r w:rsidRPr="00D632B8" w:rsidR="009A3FA3">
        <w:rPr>
          <w:i/>
          <w:iCs/>
          <w:color w:val="000000" w:themeColor="text1"/>
          <w:szCs w:val="22"/>
        </w:rPr>
        <w:t>6 GHz Report and Order</w:t>
      </w:r>
      <w:r w:rsidRPr="00D632B8" w:rsidR="009A3FA3">
        <w:rPr>
          <w:color w:val="000000" w:themeColor="text1"/>
          <w:szCs w:val="22"/>
        </w:rPr>
        <w:t>] designed to restrict low-power routers to indoor operation offer mobile licensees little protection”</w:t>
      </w:r>
      <w:r>
        <w:rPr>
          <w:rStyle w:val="FootnoteReference"/>
          <w:color w:val="000000" w:themeColor="text1"/>
          <w:szCs w:val="22"/>
        </w:rPr>
        <w:footnoteReference w:id="17"/>
      </w:r>
      <w:r w:rsidRPr="00D632B8">
        <w:rPr>
          <w:color w:val="000000" w:themeColor="text1"/>
          <w:szCs w:val="22"/>
        </w:rPr>
        <w:t>, and that therefore, the Commission should have “reserve[d] a sliver of [the 6 GHz] band exclusively for mobile licensees.”</w:t>
      </w:r>
      <w:r>
        <w:rPr>
          <w:rStyle w:val="FootnoteReference"/>
          <w:color w:val="000000" w:themeColor="text1"/>
          <w:szCs w:val="22"/>
        </w:rPr>
        <w:footnoteReference w:id="18"/>
      </w:r>
      <w:r w:rsidRPr="00D632B8">
        <w:rPr>
          <w:color w:val="000000" w:themeColor="text1"/>
          <w:szCs w:val="22"/>
        </w:rPr>
        <w:t xml:space="preserve">  </w:t>
      </w:r>
      <w:r w:rsidRPr="00D632B8" w:rsidR="0034628F">
        <w:rPr>
          <w:color w:val="000000" w:themeColor="text1"/>
          <w:szCs w:val="22"/>
        </w:rPr>
        <w:t xml:space="preserve">In </w:t>
      </w:r>
      <w:r w:rsidRPr="00D632B8">
        <w:rPr>
          <w:color w:val="000000" w:themeColor="text1"/>
          <w:szCs w:val="22"/>
        </w:rPr>
        <w:t>support of its claim, NAB</w:t>
      </w:r>
      <w:r w:rsidRPr="00D632B8" w:rsidR="0034628F">
        <w:rPr>
          <w:color w:val="000000" w:themeColor="text1"/>
          <w:szCs w:val="22"/>
        </w:rPr>
        <w:t xml:space="preserve"> argued that</w:t>
      </w:r>
      <w:r w:rsidRPr="00D632B8" w:rsidR="009A3FA3">
        <w:rPr>
          <w:color w:val="000000" w:themeColor="text1"/>
          <w:szCs w:val="22"/>
        </w:rPr>
        <w:t xml:space="preserve"> “after the Commission allowed unlicensed access in the 2.4 GHz band, ‘a contention-based protocol . . . failed to protect . . . licensed users[,] rendering that band partially unusable.’”</w:t>
      </w:r>
      <w:r>
        <w:rPr>
          <w:rStyle w:val="FootnoteReference"/>
          <w:color w:val="000000" w:themeColor="text1"/>
          <w:szCs w:val="22"/>
        </w:rPr>
        <w:footnoteReference w:id="19"/>
      </w:r>
      <w:r w:rsidRPr="00D632B8" w:rsidR="009A3FA3">
        <w:rPr>
          <w:color w:val="000000" w:themeColor="text1"/>
          <w:szCs w:val="22"/>
        </w:rPr>
        <w:t xml:space="preserve">  </w:t>
      </w:r>
    </w:p>
    <w:p w:rsidR="000F2E1B" w:rsidRPr="00D632B8" w:rsidP="00202573" w14:paraId="68D752BC" w14:textId="70BEA231">
      <w:pPr>
        <w:pStyle w:val="ParaNum"/>
        <w:numPr>
          <w:ilvl w:val="0"/>
          <w:numId w:val="0"/>
        </w:numPr>
        <w:ind w:firstLine="720"/>
        <w:rPr>
          <w:color w:val="000000" w:themeColor="text1"/>
          <w:szCs w:val="22"/>
        </w:rPr>
      </w:pPr>
      <w:r w:rsidRPr="00D632B8">
        <w:rPr>
          <w:color w:val="000000" w:themeColor="text1"/>
          <w:szCs w:val="22"/>
        </w:rPr>
        <w:t xml:space="preserve">The court </w:t>
      </w:r>
      <w:r w:rsidRPr="00D632B8" w:rsidR="00C13568">
        <w:rPr>
          <w:color w:val="000000" w:themeColor="text1"/>
          <w:szCs w:val="22"/>
        </w:rPr>
        <w:t xml:space="preserve">ruled </w:t>
      </w:r>
      <w:r w:rsidRPr="00D632B8">
        <w:rPr>
          <w:color w:val="000000" w:themeColor="text1"/>
          <w:szCs w:val="22"/>
        </w:rPr>
        <w:t xml:space="preserve">that “[t]he Commission never responded to </w:t>
      </w:r>
      <w:r w:rsidRPr="00D632B8" w:rsidR="003B60BD">
        <w:rPr>
          <w:color w:val="000000" w:themeColor="text1"/>
          <w:szCs w:val="22"/>
        </w:rPr>
        <w:t>[NAB’s]</w:t>
      </w:r>
      <w:r w:rsidRPr="00D632B8">
        <w:rPr>
          <w:color w:val="000000" w:themeColor="text1"/>
          <w:szCs w:val="22"/>
        </w:rPr>
        <w:t xml:space="preserve"> complaints about interference in the 2.4 GHz band,” and that “[a]</w:t>
      </w:r>
      <w:r w:rsidRPr="00D632B8">
        <w:rPr>
          <w:color w:val="000000" w:themeColor="text1"/>
          <w:szCs w:val="22"/>
        </w:rPr>
        <w:t>lthough</w:t>
      </w:r>
      <w:r w:rsidRPr="00D632B8">
        <w:rPr>
          <w:color w:val="000000" w:themeColor="text1"/>
          <w:szCs w:val="22"/>
        </w:rPr>
        <w:t xml:space="preserve"> the Commission cited a study to support its conclusion that the [</w:t>
      </w:r>
      <w:r w:rsidRPr="00D632B8">
        <w:rPr>
          <w:i/>
          <w:iCs/>
          <w:color w:val="000000" w:themeColor="text1"/>
          <w:szCs w:val="22"/>
        </w:rPr>
        <w:t>6 GHz Report and Order</w:t>
      </w:r>
      <w:r w:rsidRPr="00D632B8">
        <w:rPr>
          <w:color w:val="000000" w:themeColor="text1"/>
          <w:szCs w:val="22"/>
        </w:rPr>
        <w:t>] sufficiently protects mobile operators, that study does not rebut the Association’s claims about interference in the 2.4 GHz band.”</w:t>
      </w:r>
      <w:r>
        <w:rPr>
          <w:rStyle w:val="FootnoteReference"/>
          <w:color w:val="000000" w:themeColor="text1"/>
          <w:szCs w:val="22"/>
        </w:rPr>
        <w:footnoteReference w:id="20"/>
      </w:r>
      <w:r w:rsidRPr="00D632B8" w:rsidR="00C25F3A">
        <w:rPr>
          <w:color w:val="000000" w:themeColor="text1"/>
          <w:szCs w:val="22"/>
        </w:rPr>
        <w:t xml:space="preserve">  The court </w:t>
      </w:r>
      <w:r w:rsidRPr="00D632B8" w:rsidR="006E6FB2">
        <w:rPr>
          <w:color w:val="000000" w:themeColor="text1"/>
          <w:szCs w:val="22"/>
        </w:rPr>
        <w:t xml:space="preserve">nevertheless </w:t>
      </w:r>
      <w:r w:rsidRPr="00D632B8" w:rsidR="00C25F3A">
        <w:rPr>
          <w:color w:val="000000" w:themeColor="text1"/>
          <w:szCs w:val="22"/>
        </w:rPr>
        <w:t xml:space="preserve">declined to vacate the </w:t>
      </w:r>
      <w:r w:rsidRPr="00D632B8" w:rsidR="00C25F3A">
        <w:rPr>
          <w:i/>
          <w:iCs/>
          <w:color w:val="000000" w:themeColor="text1"/>
          <w:szCs w:val="22"/>
        </w:rPr>
        <w:t>6 GHz Report and Order</w:t>
      </w:r>
      <w:r w:rsidRPr="00D632B8" w:rsidR="00C25F3A">
        <w:rPr>
          <w:color w:val="000000" w:themeColor="text1"/>
          <w:szCs w:val="22"/>
        </w:rPr>
        <w:t>, observ</w:t>
      </w:r>
      <w:r w:rsidRPr="00D632B8" w:rsidR="00FF3B9D">
        <w:rPr>
          <w:color w:val="000000" w:themeColor="text1"/>
          <w:szCs w:val="22"/>
        </w:rPr>
        <w:t>ing</w:t>
      </w:r>
      <w:r w:rsidRPr="00D632B8" w:rsidR="00C25F3A">
        <w:rPr>
          <w:color w:val="000000" w:themeColor="text1"/>
          <w:szCs w:val="22"/>
        </w:rPr>
        <w:t xml:space="preserve"> that “’[i]t is conceivable that the Commission may be able to explain’ why its experience in the 2.4 GHz band supports its ability to protect licensed mobile operators from harmful interference”</w:t>
      </w:r>
      <w:r>
        <w:rPr>
          <w:rStyle w:val="FootnoteReference"/>
          <w:szCs w:val="22"/>
        </w:rPr>
        <w:footnoteReference w:id="21"/>
      </w:r>
      <w:r w:rsidRPr="00D632B8" w:rsidR="00FF3B9D">
        <w:rPr>
          <w:color w:val="000000" w:themeColor="text1"/>
          <w:szCs w:val="22"/>
        </w:rPr>
        <w:t xml:space="preserve"> and </w:t>
      </w:r>
      <w:r w:rsidRPr="00D632B8" w:rsidR="00133FBC">
        <w:rPr>
          <w:color w:val="000000" w:themeColor="text1"/>
          <w:szCs w:val="22"/>
        </w:rPr>
        <w:t>agreeing with</w:t>
      </w:r>
      <w:r w:rsidRPr="00D632B8" w:rsidR="00FF3B9D">
        <w:rPr>
          <w:color w:val="000000" w:themeColor="text1"/>
          <w:szCs w:val="22"/>
        </w:rPr>
        <w:t xml:space="preserve"> the Commission that “’vacating this order would be incredibly disruptive given the fact that devices have already started to be deployed . . . </w:t>
      </w:r>
      <w:r w:rsidRPr="00D632B8" w:rsidR="00840320">
        <w:rPr>
          <w:color w:val="000000" w:themeColor="text1"/>
          <w:szCs w:val="22"/>
        </w:rPr>
        <w:t>.</w:t>
      </w:r>
      <w:r w:rsidRPr="00D632B8" w:rsidR="00FF3B9D">
        <w:rPr>
          <w:color w:val="000000" w:themeColor="text1"/>
          <w:szCs w:val="22"/>
        </w:rPr>
        <w:t>‘”</w:t>
      </w:r>
      <w:r>
        <w:rPr>
          <w:rStyle w:val="FootnoteReference"/>
          <w:color w:val="000000" w:themeColor="text1"/>
          <w:szCs w:val="22"/>
        </w:rPr>
        <w:footnoteReference w:id="22"/>
      </w:r>
      <w:r w:rsidRPr="00D632B8">
        <w:rPr>
          <w:color w:val="000000" w:themeColor="text1"/>
          <w:szCs w:val="22"/>
        </w:rPr>
        <w:t xml:space="preserve">  </w:t>
      </w:r>
    </w:p>
    <w:p w:rsidR="00982F02" w:rsidRPr="00D632B8" w:rsidP="00266E99" w14:paraId="1B3EDF88" w14:textId="53524FA7">
      <w:pPr>
        <w:pStyle w:val="ParaNum"/>
        <w:widowControl/>
        <w:numPr>
          <w:ilvl w:val="0"/>
          <w:numId w:val="0"/>
        </w:numPr>
        <w:ind w:firstLine="720"/>
        <w:rPr>
          <w:color w:val="000000" w:themeColor="text1"/>
          <w:szCs w:val="22"/>
        </w:rPr>
      </w:pPr>
      <w:r w:rsidRPr="00D632B8">
        <w:rPr>
          <w:color w:val="000000" w:themeColor="text1"/>
          <w:szCs w:val="22"/>
        </w:rPr>
        <w:t>I</w:t>
      </w:r>
      <w:r w:rsidRPr="00D632B8" w:rsidR="000F2E1B">
        <w:rPr>
          <w:color w:val="000000" w:themeColor="text1"/>
          <w:szCs w:val="22"/>
        </w:rPr>
        <w:t xml:space="preserve">n this </w:t>
      </w:r>
      <w:r w:rsidRPr="00D632B8" w:rsidR="000F2E1B">
        <w:rPr>
          <w:i/>
          <w:iCs/>
          <w:color w:val="000000" w:themeColor="text1"/>
          <w:szCs w:val="22"/>
        </w:rPr>
        <w:t>Public Notice</w:t>
      </w:r>
      <w:r w:rsidR="00310442">
        <w:rPr>
          <w:color w:val="000000" w:themeColor="text1"/>
          <w:szCs w:val="22"/>
        </w:rPr>
        <w:t>,</w:t>
      </w:r>
      <w:r w:rsidRPr="00D632B8" w:rsidR="000F2E1B">
        <w:rPr>
          <w:color w:val="000000" w:themeColor="text1"/>
          <w:szCs w:val="22"/>
        </w:rPr>
        <w:t xml:space="preserve"> we seek comment on</w:t>
      </w:r>
      <w:r w:rsidRPr="00D632B8" w:rsidR="007618FE">
        <w:rPr>
          <w:color w:val="000000" w:themeColor="text1"/>
          <w:szCs w:val="22"/>
        </w:rPr>
        <w:t xml:space="preserve"> </w:t>
      </w:r>
      <w:r w:rsidRPr="00D632B8" w:rsidR="008C7DB8">
        <w:rPr>
          <w:color w:val="000000" w:themeColor="text1"/>
          <w:szCs w:val="22"/>
        </w:rPr>
        <w:t>NAB’s</w:t>
      </w:r>
      <w:r w:rsidRPr="00D632B8" w:rsidR="002D1F5B">
        <w:rPr>
          <w:color w:val="000000" w:themeColor="text1"/>
          <w:szCs w:val="22"/>
        </w:rPr>
        <w:t xml:space="preserve"> arguments </w:t>
      </w:r>
      <w:r w:rsidR="00F35781">
        <w:rPr>
          <w:color w:val="000000" w:themeColor="text1"/>
          <w:szCs w:val="22"/>
        </w:rPr>
        <w:t>in the Commission’s proceeding</w:t>
      </w:r>
      <w:r w:rsidR="00310442">
        <w:rPr>
          <w:color w:val="000000" w:themeColor="text1"/>
          <w:szCs w:val="22"/>
        </w:rPr>
        <w:t xml:space="preserve"> </w:t>
      </w:r>
      <w:r w:rsidRPr="00D632B8" w:rsidR="002D1F5B">
        <w:rPr>
          <w:color w:val="000000" w:themeColor="text1"/>
          <w:szCs w:val="22"/>
        </w:rPr>
        <w:t xml:space="preserve">regarding </w:t>
      </w:r>
      <w:r w:rsidRPr="00D632B8" w:rsidR="008C7DB8">
        <w:rPr>
          <w:color w:val="000000" w:themeColor="text1"/>
          <w:szCs w:val="22"/>
        </w:rPr>
        <w:t>broadcasters’</w:t>
      </w:r>
      <w:r w:rsidRPr="00D632B8" w:rsidR="002D1F5B">
        <w:rPr>
          <w:color w:val="000000" w:themeColor="text1"/>
          <w:szCs w:val="22"/>
        </w:rPr>
        <w:t xml:space="preserve"> experience in the 2.4 GHz band, how that experience relates to the kinds of contention-based protocol operations prescribed for indoor use in the 6 GHz rules, and whether the 2.4 GHz experience warrants reservation of a portion of the 6 GHz band for mobile indoor operations or any </w:t>
      </w:r>
      <w:r w:rsidRPr="00D632B8" w:rsidR="002D1F5B">
        <w:rPr>
          <w:color w:val="000000" w:themeColor="text1"/>
          <w:szCs w:val="22"/>
        </w:rPr>
        <w:t xml:space="preserve">other modification to the Commission’s 6 GHz rules.  </w:t>
      </w:r>
      <w:r w:rsidRPr="00D632B8" w:rsidR="00DF61F0">
        <w:rPr>
          <w:color w:val="000000" w:themeColor="text1"/>
          <w:szCs w:val="22"/>
        </w:rPr>
        <w:t xml:space="preserve">We emphasize that, </w:t>
      </w:r>
      <w:r w:rsidRPr="00D632B8" w:rsidR="002D1F5B">
        <w:rPr>
          <w:color w:val="000000" w:themeColor="text1"/>
          <w:szCs w:val="22"/>
        </w:rPr>
        <w:t>in light of the limited scope of the court’s remand,</w:t>
      </w:r>
      <w:r w:rsidRPr="00D632B8" w:rsidR="00DF61F0">
        <w:rPr>
          <w:color w:val="000000" w:themeColor="text1"/>
          <w:szCs w:val="22"/>
        </w:rPr>
        <w:t xml:space="preserve"> we </w:t>
      </w:r>
      <w:r w:rsidR="003125EB">
        <w:rPr>
          <w:color w:val="000000" w:themeColor="text1"/>
          <w:szCs w:val="22"/>
        </w:rPr>
        <w:t>do not</w:t>
      </w:r>
      <w:r w:rsidRPr="00D632B8" w:rsidR="00DF61F0">
        <w:rPr>
          <w:color w:val="000000" w:themeColor="text1"/>
          <w:szCs w:val="22"/>
        </w:rPr>
        <w:t xml:space="preserve"> </w:t>
      </w:r>
      <w:r w:rsidRPr="00D632B8" w:rsidR="002D1F5B">
        <w:rPr>
          <w:color w:val="000000" w:themeColor="text1"/>
          <w:szCs w:val="22"/>
        </w:rPr>
        <w:t xml:space="preserve">seek comment on any other aspects of the </w:t>
      </w:r>
      <w:r w:rsidRPr="00D632B8" w:rsidR="002D1F5B">
        <w:rPr>
          <w:i/>
          <w:iCs/>
          <w:color w:val="000000" w:themeColor="text1"/>
          <w:szCs w:val="22"/>
        </w:rPr>
        <w:t>6 GHz Report and Order.</w:t>
      </w:r>
    </w:p>
    <w:p w:rsidR="00982F02" w:rsidRPr="00D632B8" w:rsidP="00202573" w14:paraId="165C2C5B" w14:textId="09C18D88">
      <w:pPr>
        <w:pStyle w:val="ParaNum"/>
        <w:numPr>
          <w:ilvl w:val="0"/>
          <w:numId w:val="0"/>
        </w:numPr>
        <w:ind w:firstLine="720"/>
        <w:rPr>
          <w:color w:val="000000" w:themeColor="text1"/>
          <w:szCs w:val="22"/>
        </w:rPr>
      </w:pPr>
      <w:r w:rsidRPr="00D632B8">
        <w:rPr>
          <w:color w:val="000000" w:themeColor="text1"/>
          <w:szCs w:val="22"/>
        </w:rPr>
        <w:t xml:space="preserve">Interested parties may file comments and reply comments on or before the dates indicated on the first page of this document.  Comments may be filed using the Commission’s Electronic Comment Filing System (ECFS).  </w:t>
      </w:r>
      <w:r w:rsidRPr="00D632B8">
        <w:rPr>
          <w:i/>
          <w:color w:val="000000" w:themeColor="text1"/>
          <w:szCs w:val="22"/>
        </w:rPr>
        <w:t>See Electronic Filing of Documents in Rulemaking Proceedings</w:t>
      </w:r>
      <w:r w:rsidRPr="00D632B8">
        <w:rPr>
          <w:color w:val="000000" w:themeColor="text1"/>
          <w:szCs w:val="22"/>
        </w:rPr>
        <w:t>, 63 FR 24121 (1998).</w:t>
      </w:r>
    </w:p>
    <w:p w:rsidR="00982F02" w:rsidRPr="00D632B8" w:rsidP="00982F02" w14:paraId="4C59978B" w14:textId="7FE049B1">
      <w:pPr>
        <w:pStyle w:val="ParaNum"/>
        <w:numPr>
          <w:ilvl w:val="0"/>
          <w:numId w:val="0"/>
        </w:numPr>
        <w:ind w:left="720"/>
        <w:rPr>
          <w:color w:val="000000" w:themeColor="text1"/>
          <w:szCs w:val="22"/>
        </w:rPr>
      </w:pPr>
      <w:r w:rsidRPr="00D632B8">
        <w:rPr>
          <w:color w:val="000000" w:themeColor="text1"/>
          <w:szCs w:val="22"/>
        </w:rPr>
        <w:t xml:space="preserve">•             Electronic Filers:  Comments may be filed electronically using the Internet by accessing the ECFS:  http://apps.fcc.gov/ecfs/.  </w:t>
      </w:r>
    </w:p>
    <w:p w:rsidR="00982F02" w:rsidRPr="00D632B8" w:rsidP="00982F02" w14:paraId="3697B2EE" w14:textId="77777777">
      <w:pPr>
        <w:pStyle w:val="ParaNum"/>
        <w:numPr>
          <w:ilvl w:val="0"/>
          <w:numId w:val="0"/>
        </w:numPr>
        <w:ind w:left="720"/>
        <w:rPr>
          <w:color w:val="000000" w:themeColor="text1"/>
          <w:szCs w:val="22"/>
        </w:rPr>
      </w:pPr>
      <w:r w:rsidRPr="00D632B8">
        <w:rPr>
          <w:color w:val="000000" w:themeColor="text1"/>
          <w:szCs w:val="22"/>
        </w:rPr>
        <w:t>•             Paper Filers:  Parties who choose to file by paper must file an original and one copy of each filing.</w:t>
      </w:r>
    </w:p>
    <w:p w:rsidR="00982F02" w:rsidRPr="00D632B8" w:rsidP="00982F02" w14:paraId="59E9053A" w14:textId="77777777">
      <w:pPr>
        <w:pStyle w:val="ParaNum"/>
        <w:numPr>
          <w:ilvl w:val="0"/>
          <w:numId w:val="0"/>
        </w:numPr>
        <w:ind w:left="720"/>
        <w:rPr>
          <w:color w:val="000000" w:themeColor="text1"/>
          <w:szCs w:val="22"/>
        </w:rPr>
      </w:pPr>
      <w:r w:rsidRPr="00D632B8">
        <w:rPr>
          <w:color w:val="000000" w:themeColor="text1"/>
          <w:szCs w:val="22"/>
        </w:rPr>
        <w:t>•             Filings can be sent by commercial overnight courier, or by first-class or overnight U.S. Postal Service mail. All filings must be addressed to the Commission’s Secretary, Office of the Secretary, Federal Communications Commission.</w:t>
      </w:r>
    </w:p>
    <w:p w:rsidR="00982F02" w:rsidRPr="00D632B8" w:rsidP="00982F02" w14:paraId="0650ADC5" w14:textId="7B02DFED">
      <w:pPr>
        <w:pStyle w:val="ParaNum"/>
        <w:numPr>
          <w:ilvl w:val="0"/>
          <w:numId w:val="0"/>
        </w:numPr>
        <w:ind w:left="720"/>
        <w:rPr>
          <w:color w:val="000000" w:themeColor="text1"/>
          <w:szCs w:val="22"/>
        </w:rPr>
      </w:pPr>
      <w:r w:rsidRPr="00D632B8">
        <w:rPr>
          <w:color w:val="000000" w:themeColor="text1"/>
          <w:szCs w:val="22"/>
        </w:rPr>
        <w:t>•             Commercial overnight mail (other than U.S. Postal Service Express Mail and Priority Mail) must be sent to 9050 Junction Drive, Annapolis Junction, MD 20701.U.S. Postal Service first-class, Express, and Priority mail must be addressed to 45 L Street NE, Washington, DC  20554.</w:t>
      </w:r>
    </w:p>
    <w:p w:rsidR="00982F02" w:rsidRPr="00D632B8" w:rsidP="00667670" w14:paraId="6F42ECC7" w14:textId="44E5FA40">
      <w:pPr>
        <w:pStyle w:val="ParaNum"/>
        <w:numPr>
          <w:ilvl w:val="0"/>
          <w:numId w:val="0"/>
        </w:numPr>
        <w:ind w:left="720"/>
        <w:rPr>
          <w:color w:val="000000" w:themeColor="text1"/>
          <w:szCs w:val="22"/>
        </w:rPr>
      </w:pPr>
      <w:r w:rsidRPr="00D632B8">
        <w:rPr>
          <w:color w:val="000000" w:themeColor="text1"/>
          <w:szCs w:val="22"/>
        </w:rPr>
        <w:t xml:space="preserve">•             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sidRPr="00D632B8">
          <w:rPr>
            <w:color w:val="000000" w:themeColor="text1"/>
            <w:szCs w:val="22"/>
          </w:rPr>
          <w:t>https://www.fcc.gov/document/fcc-closes-headquarters-open-window-and-changes-hand-delivery-policy</w:t>
        </w:r>
      </w:hyperlink>
      <w:r w:rsidRPr="00D632B8">
        <w:rPr>
          <w:color w:val="000000" w:themeColor="text1"/>
          <w:szCs w:val="22"/>
        </w:rPr>
        <w:t>.</w:t>
      </w:r>
      <w:r w:rsidRPr="00D632B8">
        <w:rPr>
          <w:i/>
          <w:iCs/>
          <w:color w:val="000000" w:themeColor="text1"/>
          <w:szCs w:val="22"/>
        </w:rPr>
        <w:t>People with Disabilities:</w:t>
      </w:r>
      <w:r w:rsidRPr="00D632B8">
        <w:rPr>
          <w:color w:val="000000" w:themeColor="text1"/>
          <w:szCs w:val="22"/>
        </w:rPr>
        <w:t xml:space="preserve">  To request materials in accessible formats for people with disabilities (braille, large print, electronic files, audio format), send an e-mail to </w:t>
      </w:r>
      <w:hyperlink r:id="rId6" w:history="1">
        <w:r w:rsidRPr="00D632B8">
          <w:rPr>
            <w:color w:val="000000" w:themeColor="text1"/>
            <w:szCs w:val="22"/>
            <w:u w:val="single"/>
          </w:rPr>
          <w:t>fcc504@fcc.gov</w:t>
        </w:r>
      </w:hyperlink>
      <w:r w:rsidRPr="00D632B8">
        <w:rPr>
          <w:color w:val="000000" w:themeColor="text1"/>
          <w:szCs w:val="22"/>
        </w:rPr>
        <w:t xml:space="preserve"> or call the Consumer &amp; Governmental Affairs Bureau at 202-418-0530 (voice), 202-418-0432 (TTY).</w:t>
      </w:r>
    </w:p>
    <w:p w:rsidR="0020423E" w:rsidRPr="00D632B8" w:rsidP="00202573" w14:paraId="6C72E4CB" w14:textId="3E3A0FFA">
      <w:pPr>
        <w:pStyle w:val="ParaNum"/>
        <w:numPr>
          <w:ilvl w:val="0"/>
          <w:numId w:val="0"/>
        </w:numPr>
        <w:ind w:firstLine="720"/>
        <w:rPr>
          <w:color w:val="000000" w:themeColor="text1"/>
          <w:szCs w:val="22"/>
        </w:rPr>
      </w:pPr>
      <w:r w:rsidRPr="00D632B8">
        <w:rPr>
          <w:i/>
          <w:iCs/>
          <w:color w:val="000000" w:themeColor="text1"/>
          <w:szCs w:val="22"/>
        </w:rPr>
        <w:t>Ex Parte Rules.</w:t>
      </w:r>
      <w:r w:rsidRPr="00D632B8">
        <w:rPr>
          <w:color w:val="000000" w:themeColor="text1"/>
          <w:szCs w:val="22"/>
        </w:rPr>
        <w:t xml:space="preserve">  The proceeding this Notice initiates shall be treated as a “permit-but-disclose” proceeding in accordance with the Commission’s </w:t>
      </w:r>
      <w:r w:rsidRPr="00D632B8">
        <w:rPr>
          <w:i/>
          <w:iCs/>
          <w:color w:val="000000" w:themeColor="text1"/>
          <w:szCs w:val="22"/>
        </w:rPr>
        <w:t xml:space="preserve">ex parte </w:t>
      </w:r>
      <w:r w:rsidRPr="00D632B8">
        <w:rPr>
          <w:color w:val="000000" w:themeColor="text1"/>
          <w:szCs w:val="22"/>
        </w:rPr>
        <w:t>rules.</w:t>
      </w:r>
      <w:r>
        <w:rPr>
          <w:color w:val="000000" w:themeColor="text1"/>
          <w:szCs w:val="22"/>
          <w:vertAlign w:val="superscript"/>
        </w:rPr>
        <w:footnoteReference w:id="23"/>
      </w:r>
      <w:r w:rsidRPr="00D632B8">
        <w:rPr>
          <w:color w:val="000000" w:themeColor="text1"/>
          <w:szCs w:val="22"/>
        </w:rPr>
        <w:t xml:space="preserve">  Persons making </w:t>
      </w:r>
      <w:r w:rsidRPr="00D632B8">
        <w:rPr>
          <w:i/>
          <w:color w:val="000000" w:themeColor="text1"/>
          <w:szCs w:val="22"/>
        </w:rPr>
        <w:t xml:space="preserve">ex parte </w:t>
      </w:r>
      <w:r w:rsidRPr="00D632B8">
        <w:rPr>
          <w:color w:val="000000" w:themeColor="text1"/>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632B8">
        <w:rPr>
          <w:i/>
          <w:iCs/>
          <w:color w:val="000000" w:themeColor="text1"/>
          <w:szCs w:val="22"/>
        </w:rPr>
        <w:t xml:space="preserve">ex parte </w:t>
      </w:r>
      <w:r w:rsidRPr="00D632B8">
        <w:rPr>
          <w:color w:val="000000" w:themeColor="text1"/>
          <w:szCs w:val="22"/>
        </w:rPr>
        <w:t xml:space="preserve">presentations are reminded that memoranda summarizing the presentation must (1) list all persons attending or otherwise participating in the meeting at which the </w:t>
      </w:r>
      <w:r w:rsidRPr="00D632B8">
        <w:rPr>
          <w:i/>
          <w:iCs/>
          <w:color w:val="000000" w:themeColor="text1"/>
          <w:szCs w:val="22"/>
        </w:rPr>
        <w:t xml:space="preserve">ex parte </w:t>
      </w:r>
      <w:r w:rsidRPr="00D632B8">
        <w:rPr>
          <w:color w:val="000000" w:themeColor="text1"/>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632B8">
        <w:rPr>
          <w:i/>
          <w:iCs/>
          <w:color w:val="000000" w:themeColor="text1"/>
          <w:szCs w:val="22"/>
        </w:rPr>
        <w:t xml:space="preserve">ex parte </w:t>
      </w:r>
      <w:r w:rsidRPr="00D632B8">
        <w:rPr>
          <w:color w:val="000000" w:themeColor="text1"/>
          <w:szCs w:val="22"/>
        </w:rPr>
        <w:t xml:space="preserve">meetings are deemed to be written </w:t>
      </w:r>
      <w:r w:rsidRPr="00D632B8">
        <w:rPr>
          <w:i/>
          <w:iCs/>
          <w:color w:val="000000" w:themeColor="text1"/>
          <w:szCs w:val="22"/>
        </w:rPr>
        <w:t>ex parte</w:t>
      </w:r>
      <w:r w:rsidRPr="00D632B8">
        <w:rPr>
          <w:color w:val="000000" w:themeColor="text1"/>
          <w:szCs w:val="22"/>
        </w:rPr>
        <w:t xml:space="preserve"> presentations and must be filed consistent with rule 1.1206(b).  In proceedings governed by rule 1.49(f) or for which the Commission has made available a method of electronic filing, written </w:t>
      </w:r>
      <w:r w:rsidRPr="00D632B8">
        <w:rPr>
          <w:i/>
          <w:iCs/>
          <w:color w:val="000000" w:themeColor="text1"/>
          <w:szCs w:val="22"/>
        </w:rPr>
        <w:t xml:space="preserve">ex parte </w:t>
      </w:r>
      <w:r w:rsidRPr="00D632B8">
        <w:rPr>
          <w:color w:val="000000" w:themeColor="text1"/>
          <w:szCs w:val="22"/>
        </w:rPr>
        <w:t xml:space="preserve">presentations and memoranda summarizing oral </w:t>
      </w:r>
      <w:r w:rsidRPr="00D632B8">
        <w:rPr>
          <w:i/>
          <w:iCs/>
          <w:color w:val="000000" w:themeColor="text1"/>
          <w:szCs w:val="22"/>
        </w:rPr>
        <w:t xml:space="preserve">ex parte </w:t>
      </w:r>
      <w:r w:rsidRPr="00D632B8">
        <w:rPr>
          <w:color w:val="000000" w:themeColor="text1"/>
          <w:szCs w:val="22"/>
        </w:rPr>
        <w:t>presentations, and all attachments thereto, must be filed through the electronic comment filing system available for that proceeding, and must be filed in their native format (</w:t>
      </w:r>
      <w:r w:rsidRPr="00D632B8">
        <w:rPr>
          <w:i/>
          <w:iCs/>
          <w:color w:val="000000" w:themeColor="text1"/>
          <w:szCs w:val="22"/>
        </w:rPr>
        <w:t>e.g.</w:t>
      </w:r>
      <w:r w:rsidRPr="00D632B8">
        <w:rPr>
          <w:color w:val="000000" w:themeColor="text1"/>
          <w:szCs w:val="22"/>
        </w:rPr>
        <w:t xml:space="preserve">, .doc, .xml, .ppt, searchable .pdf).  Participants in this proceeding should familiarize themselves with the Commission’s </w:t>
      </w:r>
      <w:r w:rsidRPr="00D632B8">
        <w:rPr>
          <w:i/>
          <w:iCs/>
          <w:color w:val="000000" w:themeColor="text1"/>
          <w:szCs w:val="22"/>
        </w:rPr>
        <w:t xml:space="preserve">ex parte </w:t>
      </w:r>
      <w:r w:rsidRPr="00D632B8">
        <w:rPr>
          <w:color w:val="000000" w:themeColor="text1"/>
          <w:szCs w:val="22"/>
        </w:rPr>
        <w:t>rules.</w:t>
      </w:r>
    </w:p>
    <w:p w:rsidR="005A7CED" w:rsidRPr="00D632B8" w:rsidP="00202573" w14:paraId="3DC72DC0" w14:textId="2BC73503">
      <w:pPr>
        <w:pStyle w:val="ParaNum"/>
        <w:widowControl/>
        <w:numPr>
          <w:ilvl w:val="0"/>
          <w:numId w:val="0"/>
        </w:numPr>
        <w:ind w:firstLine="720"/>
        <w:rPr>
          <w:color w:val="000000" w:themeColor="text1"/>
          <w:szCs w:val="22"/>
        </w:rPr>
      </w:pPr>
      <w:r w:rsidRPr="00D632B8">
        <w:rPr>
          <w:i/>
          <w:iCs/>
          <w:color w:val="000000" w:themeColor="text1"/>
          <w:szCs w:val="22"/>
        </w:rPr>
        <w:t>Further Information</w:t>
      </w:r>
      <w:r w:rsidRPr="00D632B8">
        <w:rPr>
          <w:color w:val="000000" w:themeColor="text1"/>
          <w:szCs w:val="22"/>
        </w:rPr>
        <w:t xml:space="preserve">. </w:t>
      </w:r>
      <w:r w:rsidRPr="00D632B8">
        <w:rPr>
          <w:i/>
          <w:iCs/>
          <w:color w:val="000000" w:themeColor="text1"/>
          <w:szCs w:val="22"/>
        </w:rPr>
        <w:t xml:space="preserve"> </w:t>
      </w:r>
      <w:r w:rsidRPr="00D632B8">
        <w:rPr>
          <w:color w:val="000000" w:themeColor="text1"/>
          <w:szCs w:val="22"/>
        </w:rPr>
        <w:t xml:space="preserve">Questions regarding this </w:t>
      </w:r>
      <w:r w:rsidRPr="00D632B8">
        <w:rPr>
          <w:i/>
          <w:color w:val="000000" w:themeColor="text1"/>
          <w:szCs w:val="22"/>
        </w:rPr>
        <w:t>Public Notice</w:t>
      </w:r>
      <w:r w:rsidRPr="00D632B8">
        <w:rPr>
          <w:color w:val="000000" w:themeColor="text1"/>
          <w:szCs w:val="22"/>
        </w:rPr>
        <w:t xml:space="preserve"> may be directed </w:t>
      </w:r>
      <w:r w:rsidRPr="008B6FF4">
        <w:rPr>
          <w:color w:val="000000" w:themeColor="text1"/>
          <w:szCs w:val="22"/>
        </w:rPr>
        <w:t xml:space="preserve">to Nicholas Oros, Office of Engineering and Technology, at (202) 418-0636 or </w:t>
      </w:r>
      <w:hyperlink r:id="rId7" w:history="1">
        <w:r w:rsidRPr="008B6FF4">
          <w:rPr>
            <w:rStyle w:val="Hyperlink"/>
            <w:color w:val="000000" w:themeColor="text1"/>
            <w:szCs w:val="22"/>
          </w:rPr>
          <w:t>Nicholas.Oros@fcc.gov</w:t>
        </w:r>
      </w:hyperlink>
      <w:r w:rsidRPr="008B6FF4">
        <w:rPr>
          <w:color w:val="000000" w:themeColor="text1"/>
          <w:szCs w:val="22"/>
        </w:rPr>
        <w:t>.</w:t>
      </w:r>
      <w:r w:rsidRPr="00D632B8">
        <w:rPr>
          <w:color w:val="000000" w:themeColor="text1"/>
          <w:szCs w:val="22"/>
        </w:rPr>
        <w:br/>
      </w:r>
    </w:p>
    <w:bookmarkEnd w:id="1"/>
    <w:bookmarkEnd w:id="0"/>
    <w:p w:rsidR="006F50A6" w:rsidRPr="00D632B8" w:rsidP="006074F4" w14:paraId="6A70847F" w14:textId="77777777">
      <w:pPr>
        <w:spacing w:after="120"/>
        <w:jc w:val="center"/>
        <w:rPr>
          <w:b/>
          <w:color w:val="000000" w:themeColor="text1"/>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3A" w14:paraId="02CDE7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5F3A" w14:paraId="303E33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3A" w14:paraId="5D1566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3A" w14:paraId="1B7FF5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35EB" w14:paraId="49B9312D" w14:textId="77777777">
      <w:r>
        <w:separator/>
      </w:r>
    </w:p>
  </w:footnote>
  <w:footnote w:type="continuationSeparator" w:id="1">
    <w:p w:rsidR="008535EB" w14:paraId="026E0A19" w14:textId="77777777">
      <w:pPr>
        <w:rPr>
          <w:sz w:val="20"/>
        </w:rPr>
      </w:pPr>
      <w:r>
        <w:rPr>
          <w:sz w:val="20"/>
        </w:rPr>
        <w:t xml:space="preserve">(Continued from previous page)  </w:t>
      </w:r>
      <w:r>
        <w:rPr>
          <w:sz w:val="20"/>
        </w:rPr>
        <w:separator/>
      </w:r>
    </w:p>
  </w:footnote>
  <w:footnote w:type="continuationNotice" w:id="2">
    <w:p w:rsidR="008535EB" w14:paraId="7E3F7311" w14:textId="77777777">
      <w:pPr>
        <w:jc w:val="right"/>
        <w:rPr>
          <w:sz w:val="20"/>
        </w:rPr>
      </w:pPr>
      <w:r>
        <w:rPr>
          <w:sz w:val="20"/>
        </w:rPr>
        <w:t>(continued….)</w:t>
      </w:r>
    </w:p>
  </w:footnote>
  <w:footnote w:id="3">
    <w:p w:rsidR="00C25F3A" w:rsidRPr="00245B8C" w:rsidP="00245B8C" w14:paraId="33296F58" w14:textId="269E6FCC">
      <w:pPr>
        <w:pStyle w:val="FootnoteText"/>
      </w:pPr>
      <w:r w:rsidRPr="00245B8C">
        <w:rPr>
          <w:rStyle w:val="FootnoteReference"/>
          <w:sz w:val="20"/>
        </w:rPr>
        <w:footnoteRef/>
      </w:r>
      <w:r w:rsidRPr="00245B8C">
        <w:t xml:space="preserve"> </w:t>
      </w:r>
      <w:r w:rsidRPr="00245B8C">
        <w:rPr>
          <w:i/>
          <w:spacing w:val="-2"/>
        </w:rPr>
        <w:t>Unlicensed Use of the 6 GHz Band</w:t>
      </w:r>
      <w:r w:rsidRPr="00245B8C">
        <w:rPr>
          <w:spacing w:val="-2"/>
        </w:rPr>
        <w:t>, ET Docket No. 18-295, Report and Order and Further Notice of Proposed Rulemaking, 35 FCC Rcd 3852 (2020) (</w:t>
      </w:r>
      <w:r w:rsidRPr="00245B8C">
        <w:rPr>
          <w:i/>
          <w:iCs/>
          <w:spacing w:val="-2"/>
        </w:rPr>
        <w:t>6 GHz Report and Order</w:t>
      </w:r>
      <w:r w:rsidRPr="00245B8C">
        <w:rPr>
          <w:spacing w:val="-2"/>
        </w:rPr>
        <w:t xml:space="preserve">), </w:t>
      </w:r>
      <w:r w:rsidRPr="00245B8C">
        <w:rPr>
          <w:i/>
        </w:rPr>
        <w:t>aff’d in part and remanded in part</w:t>
      </w:r>
      <w:r w:rsidRPr="00245B8C">
        <w:rPr>
          <w:iCs/>
        </w:rPr>
        <w:t>,</w:t>
      </w:r>
      <w:r w:rsidRPr="00245B8C">
        <w:t xml:space="preserve"> </w:t>
      </w:r>
      <w:r w:rsidRPr="00245B8C">
        <w:rPr>
          <w:i/>
          <w:iCs/>
        </w:rPr>
        <w:t>AT&amp;T Servs. Inc., v. FCC</w:t>
      </w:r>
      <w:r w:rsidRPr="00245B8C">
        <w:t>, 21 F.4th 841, 853-54 (D.C. Cir. 2021) (</w:t>
      </w:r>
      <w:r w:rsidRPr="00245B8C" w:rsidR="00E012E8">
        <w:rPr>
          <w:i/>
          <w:iCs/>
        </w:rPr>
        <w:t>AT&amp;T</w:t>
      </w:r>
      <w:r w:rsidRPr="00245B8C" w:rsidR="00E26004">
        <w:t>)</w:t>
      </w:r>
      <w:r w:rsidRPr="00245B8C" w:rsidR="006B5CB4">
        <w:t>.</w:t>
      </w:r>
    </w:p>
  </w:footnote>
  <w:footnote w:id="4">
    <w:p w:rsidR="00D632B8" w:rsidRPr="00245B8C" w:rsidP="00D632B8" w14:paraId="3AEA3289" w14:textId="13662C4C">
      <w:pPr>
        <w:pStyle w:val="FootnoteText"/>
      </w:pPr>
      <w:r w:rsidRPr="00245B8C">
        <w:rPr>
          <w:rStyle w:val="FootnoteReference"/>
          <w:sz w:val="20"/>
        </w:rPr>
        <w:footnoteRef/>
      </w:r>
      <w:r w:rsidRPr="00245B8C">
        <w:t xml:space="preserve"> </w:t>
      </w:r>
      <w:r w:rsidRPr="00245B8C">
        <w:rPr>
          <w:i/>
        </w:rPr>
        <w:t>AT&amp;T Servs., Inc., v. FCC</w:t>
      </w:r>
      <w:r w:rsidRPr="00245B8C">
        <w:t>, Nos. 20-1190, et al., (D.C. Cir. Feb. 22, 2022).</w:t>
      </w:r>
    </w:p>
  </w:footnote>
  <w:footnote w:id="5">
    <w:p w:rsidR="005B3AFB" w14:paraId="095FED23" w14:textId="6727108F">
      <w:pPr>
        <w:pStyle w:val="FootnoteText"/>
      </w:pPr>
      <w:r>
        <w:rPr>
          <w:rStyle w:val="FootnoteReference"/>
        </w:rPr>
        <w:footnoteRef/>
      </w:r>
      <w:r>
        <w:t xml:space="preserve"> </w:t>
      </w:r>
      <w:r w:rsidRPr="00245B8C">
        <w:rPr>
          <w:i/>
          <w:iCs/>
          <w:spacing w:val="-2"/>
        </w:rPr>
        <w:t>6 GHz Report and Order</w:t>
      </w:r>
      <w:r>
        <w:rPr>
          <w:i/>
          <w:iCs/>
          <w:spacing w:val="-2"/>
        </w:rPr>
        <w:t xml:space="preserve">, </w:t>
      </w:r>
      <w:r w:rsidRPr="00245B8C">
        <w:rPr>
          <w:spacing w:val="-2"/>
        </w:rPr>
        <w:t>35 FCC Rcd 3852</w:t>
      </w:r>
      <w:r>
        <w:rPr>
          <w:spacing w:val="-2"/>
        </w:rPr>
        <w:t>, 3860, para. 18.</w:t>
      </w:r>
    </w:p>
  </w:footnote>
  <w:footnote w:id="6">
    <w:p w:rsidR="006358DC" w:rsidRPr="00245B8C" w:rsidP="00245B8C" w14:paraId="54B553A3" w14:textId="79D67EA3">
      <w:pPr>
        <w:pStyle w:val="FootnoteText"/>
      </w:pPr>
      <w:r w:rsidRPr="00245B8C">
        <w:rPr>
          <w:rStyle w:val="FootnoteReference"/>
          <w:sz w:val="20"/>
        </w:rPr>
        <w:footnoteRef/>
      </w:r>
      <w:r w:rsidRPr="00245B8C">
        <w:t xml:space="preserve"> </w:t>
      </w:r>
      <w:r w:rsidRPr="0073111D" w:rsidR="005B3AFB">
        <w:rPr>
          <w:i/>
          <w:iCs/>
        </w:rPr>
        <w:t>Id.</w:t>
      </w:r>
      <w:r w:rsidR="005B3AFB">
        <w:t xml:space="preserve"> at 3854, para. 3.  </w:t>
      </w:r>
    </w:p>
  </w:footnote>
  <w:footnote w:id="7">
    <w:p w:rsidR="00BA1530" w14:paraId="725052BD" w14:textId="5688128C">
      <w:pPr>
        <w:pStyle w:val="FootnoteText"/>
      </w:pPr>
      <w:r>
        <w:rPr>
          <w:rStyle w:val="FootnoteReference"/>
        </w:rPr>
        <w:footnoteRef/>
      </w:r>
      <w:r>
        <w:t xml:space="preserve"> </w:t>
      </w:r>
      <w:r w:rsidRPr="0073111D">
        <w:rPr>
          <w:i/>
          <w:iCs/>
        </w:rPr>
        <w:t>Id.</w:t>
      </w:r>
      <w:r>
        <w:t xml:space="preserve"> at 3888, para. 98.</w:t>
      </w:r>
      <w:r w:rsidR="00053E66">
        <w:t xml:space="preserve">  As the Commission observed, commenters representing these incumbents (e.g., communications services providers, electric utilities, public safety service entities, and broadcasters) participated in the underlying rulemaking proceeding.  </w:t>
      </w:r>
      <w:r w:rsidR="00053E66">
        <w:rPr>
          <w:i/>
          <w:iCs/>
        </w:rPr>
        <w:t>See</w:t>
      </w:r>
      <w:r w:rsidRPr="00351899" w:rsidR="00053E66">
        <w:t>,</w:t>
      </w:r>
      <w:r w:rsidR="00053E66">
        <w:rPr>
          <w:i/>
          <w:iCs/>
        </w:rPr>
        <w:t xml:space="preserve"> e.g., i</w:t>
      </w:r>
      <w:r w:rsidRPr="00351899" w:rsidR="00053E66">
        <w:rPr>
          <w:i/>
          <w:iCs/>
        </w:rPr>
        <w:t>d.</w:t>
      </w:r>
      <w:r w:rsidR="00053E66">
        <w:t xml:space="preserve"> at 3859, para. 16.</w:t>
      </w:r>
    </w:p>
  </w:footnote>
  <w:footnote w:id="8">
    <w:p w:rsidR="00CC39F0" w14:paraId="50815F2C" w14:textId="61F747AA">
      <w:pPr>
        <w:pStyle w:val="FootnoteText"/>
      </w:pPr>
      <w:r>
        <w:rPr>
          <w:rStyle w:val="FootnoteReference"/>
        </w:rPr>
        <w:footnoteRef/>
      </w:r>
      <w:r>
        <w:t xml:space="preserve"> </w:t>
      </w:r>
      <w:r w:rsidRPr="00351899">
        <w:rPr>
          <w:i/>
          <w:iCs/>
        </w:rPr>
        <w:t>Id.</w:t>
      </w:r>
      <w:r>
        <w:t xml:space="preserve"> at 3888, para. 99.</w:t>
      </w:r>
    </w:p>
  </w:footnote>
  <w:footnote w:id="9">
    <w:p w:rsidR="00CC39F0" w14:paraId="4785A9BA" w14:textId="4AB989A8">
      <w:pPr>
        <w:pStyle w:val="FootnoteText"/>
      </w:pPr>
      <w:r>
        <w:rPr>
          <w:rStyle w:val="FootnoteReference"/>
        </w:rPr>
        <w:footnoteRef/>
      </w:r>
      <w:r>
        <w:t xml:space="preserve"> </w:t>
      </w:r>
      <w:r w:rsidRPr="00351899">
        <w:rPr>
          <w:i/>
          <w:iCs/>
        </w:rPr>
        <w:t>Id.</w:t>
      </w:r>
      <w:r>
        <w:t xml:space="preserve"> at 38</w:t>
      </w:r>
      <w:r w:rsidR="00DD69A4">
        <w:t>8</w:t>
      </w:r>
      <w:r>
        <w:t>9, para. 100.</w:t>
      </w:r>
      <w:r w:rsidR="002848AB">
        <w:t xml:space="preserve">  </w:t>
      </w:r>
      <w:r w:rsidR="002848AB">
        <w:rPr>
          <w:color w:val="000000" w:themeColor="text1"/>
          <w:szCs w:val="22"/>
        </w:rPr>
        <w:t xml:space="preserve">The Commission adopted additional measures </w:t>
      </w:r>
      <w:r w:rsidR="00C179A1">
        <w:rPr>
          <w:color w:val="000000" w:themeColor="text1"/>
          <w:szCs w:val="22"/>
        </w:rPr>
        <w:t xml:space="preserve">designed to </w:t>
      </w:r>
      <w:r w:rsidRPr="002F4F9E" w:rsidR="00C179A1">
        <w:rPr>
          <w:snapToGrid w:val="0"/>
          <w:color w:val="000000" w:themeColor="text1"/>
        </w:rPr>
        <w:t>ensure low power indoor devices are only operated indoors</w:t>
      </w:r>
      <w:r w:rsidRPr="002F4F9E" w:rsidR="002722DD">
        <w:rPr>
          <w:color w:val="000000" w:themeColor="text1"/>
          <w:szCs w:val="22"/>
        </w:rPr>
        <w:t xml:space="preserve"> </w:t>
      </w:r>
      <w:r w:rsidR="002722DD">
        <w:rPr>
          <w:color w:val="000000" w:themeColor="text1"/>
          <w:szCs w:val="22"/>
        </w:rPr>
        <w:t xml:space="preserve">and thereby </w:t>
      </w:r>
      <w:r w:rsidR="002848AB">
        <w:rPr>
          <w:color w:val="000000" w:themeColor="text1"/>
          <w:szCs w:val="22"/>
        </w:rPr>
        <w:t xml:space="preserve">prevent </w:t>
      </w:r>
      <w:r w:rsidR="00C179A1">
        <w:rPr>
          <w:color w:val="000000" w:themeColor="text1"/>
          <w:szCs w:val="22"/>
        </w:rPr>
        <w:t xml:space="preserve">harmful </w:t>
      </w:r>
      <w:r w:rsidR="002848AB">
        <w:rPr>
          <w:color w:val="000000" w:themeColor="text1"/>
          <w:szCs w:val="22"/>
        </w:rPr>
        <w:t>interference</w:t>
      </w:r>
      <w:r w:rsidR="002848AB">
        <w:t xml:space="preserve">.  </w:t>
      </w:r>
      <w:r w:rsidRPr="0073111D" w:rsidR="002848AB">
        <w:rPr>
          <w:i/>
          <w:iCs/>
        </w:rPr>
        <w:t>Id.</w:t>
      </w:r>
      <w:r w:rsidR="002848AB">
        <w:t xml:space="preserve"> at 3891, para. 107.  </w:t>
      </w:r>
    </w:p>
  </w:footnote>
  <w:footnote w:id="10">
    <w:p w:rsidR="00DD69A4" w14:paraId="12D6A1F8" w14:textId="08D9080C">
      <w:pPr>
        <w:pStyle w:val="FootnoteText"/>
      </w:pPr>
      <w:r>
        <w:rPr>
          <w:rStyle w:val="FootnoteReference"/>
        </w:rPr>
        <w:footnoteRef/>
      </w:r>
      <w:r>
        <w:t xml:space="preserve"> </w:t>
      </w:r>
      <w:r w:rsidRPr="00351899">
        <w:rPr>
          <w:i/>
          <w:iCs/>
        </w:rPr>
        <w:t>Id.</w:t>
      </w:r>
      <w:r>
        <w:t xml:space="preserve"> at 3888, para. 99.</w:t>
      </w:r>
    </w:p>
  </w:footnote>
  <w:footnote w:id="11">
    <w:p w:rsidR="00310442" w14:paraId="5D3CEF01" w14:textId="6276442C">
      <w:pPr>
        <w:pStyle w:val="FootnoteText"/>
      </w:pPr>
      <w:r>
        <w:rPr>
          <w:rStyle w:val="FootnoteReference"/>
        </w:rPr>
        <w:footnoteRef/>
      </w:r>
      <w:r>
        <w:t xml:space="preserve"> </w:t>
      </w:r>
      <w:r w:rsidRPr="00310442">
        <w:rPr>
          <w:i/>
          <w:iCs/>
        </w:rPr>
        <w:t>Id.</w:t>
      </w:r>
      <w:r>
        <w:t xml:space="preserve"> at 3889, para. 101.</w:t>
      </w:r>
    </w:p>
  </w:footnote>
  <w:footnote w:id="12">
    <w:p w:rsidR="00DD69A4" w14:paraId="49266DA6" w14:textId="2DAE2E85">
      <w:pPr>
        <w:pStyle w:val="FootnoteText"/>
      </w:pPr>
      <w:r>
        <w:rPr>
          <w:rStyle w:val="FootnoteReference"/>
        </w:rPr>
        <w:footnoteRef/>
      </w:r>
      <w:r>
        <w:t xml:space="preserve"> </w:t>
      </w:r>
      <w:r w:rsidRPr="002F4F9E">
        <w:rPr>
          <w:i/>
          <w:iCs/>
        </w:rPr>
        <w:t>Id</w:t>
      </w:r>
      <w:r>
        <w:t>. at 3888, para. 99.</w:t>
      </w:r>
    </w:p>
  </w:footnote>
  <w:footnote w:id="13">
    <w:p w:rsidR="00737E26" w14:paraId="2A47357B" w14:textId="2A646A0D">
      <w:pPr>
        <w:pStyle w:val="FootnoteText"/>
      </w:pPr>
      <w:r>
        <w:rPr>
          <w:rStyle w:val="FootnoteReference"/>
        </w:rPr>
        <w:footnoteRef/>
      </w:r>
      <w:r>
        <w:t xml:space="preserve"> </w:t>
      </w:r>
      <w:r w:rsidRPr="00351899" w:rsidR="00CC39F0">
        <w:rPr>
          <w:i/>
          <w:iCs/>
        </w:rPr>
        <w:t>Id.</w:t>
      </w:r>
      <w:r w:rsidR="00CC39F0">
        <w:t xml:space="preserve"> at 388</w:t>
      </w:r>
      <w:r w:rsidR="00DD69A4">
        <w:t xml:space="preserve">9-90, para. 103. </w:t>
      </w:r>
    </w:p>
  </w:footnote>
  <w:footnote w:id="14">
    <w:p w:rsidR="00C25F3A" w:rsidRPr="00245B8C" w:rsidP="00245B8C" w14:paraId="1730D9A3" w14:textId="6597B362">
      <w:pPr>
        <w:pStyle w:val="FootnoteText"/>
      </w:pPr>
      <w:r w:rsidRPr="00245B8C">
        <w:rPr>
          <w:rStyle w:val="FootnoteReference"/>
          <w:sz w:val="20"/>
        </w:rPr>
        <w:footnoteRef/>
      </w:r>
      <w:r w:rsidRPr="00245B8C">
        <w:t xml:space="preserve"> </w:t>
      </w:r>
      <w:r w:rsidRPr="0073111D" w:rsidR="00072411">
        <w:rPr>
          <w:i/>
          <w:iCs/>
        </w:rPr>
        <w:t>Id.</w:t>
      </w:r>
      <w:r w:rsidR="00072411">
        <w:t xml:space="preserve"> </w:t>
      </w:r>
      <w:r w:rsidRPr="00245B8C" w:rsidR="00B13BC4">
        <w:t xml:space="preserve">at 3907, para. 146. </w:t>
      </w:r>
    </w:p>
  </w:footnote>
  <w:footnote w:id="15">
    <w:p w:rsidR="00F0372E" w:rsidRPr="00245B8C" w:rsidP="00245B8C" w14:paraId="3A9840EE" w14:textId="69453CBA">
      <w:pPr>
        <w:pStyle w:val="FootnoteText"/>
      </w:pPr>
      <w:r w:rsidRPr="00245B8C">
        <w:rPr>
          <w:rStyle w:val="FootnoteReference"/>
          <w:sz w:val="20"/>
        </w:rPr>
        <w:footnoteRef/>
      </w:r>
      <w:r w:rsidRPr="00245B8C">
        <w:t xml:space="preserve"> </w:t>
      </w:r>
      <w:r w:rsidRPr="0073111D" w:rsidR="006D71C5">
        <w:rPr>
          <w:i/>
          <w:iCs/>
        </w:rPr>
        <w:t>AT&amp;T</w:t>
      </w:r>
      <w:r w:rsidR="006D71C5">
        <w:t>, 21 F.4</w:t>
      </w:r>
      <w:r w:rsidRPr="0073111D" w:rsidR="006D71C5">
        <w:t>th</w:t>
      </w:r>
      <w:r w:rsidR="006D71C5">
        <w:t xml:space="preserve"> </w:t>
      </w:r>
      <w:r w:rsidR="00726C00">
        <w:t xml:space="preserve">at </w:t>
      </w:r>
      <w:r w:rsidR="006D71C5">
        <w:t>843</w:t>
      </w:r>
      <w:r w:rsidRPr="00245B8C" w:rsidR="009C1843">
        <w:t xml:space="preserve"> (citing 47 U.S.C. § 151, </w:t>
      </w:r>
      <w:r w:rsidRPr="00245B8C" w:rsidR="009C1843">
        <w:rPr>
          <w:i/>
          <w:iCs/>
        </w:rPr>
        <w:t>et seq.</w:t>
      </w:r>
      <w:r w:rsidRPr="00245B8C" w:rsidR="009C1843">
        <w:t>, 5 U.S.C. §706(2)(A)</w:t>
      </w:r>
      <w:r w:rsidR="00D90039">
        <w:t>)</w:t>
      </w:r>
      <w:r w:rsidRPr="00245B8C" w:rsidR="009C1843">
        <w:t>.</w:t>
      </w:r>
    </w:p>
  </w:footnote>
  <w:footnote w:id="16">
    <w:p w:rsidR="00E26118" w14:paraId="4E14564F" w14:textId="6F1B1B6A">
      <w:pPr>
        <w:pStyle w:val="FootnoteText"/>
      </w:pPr>
      <w:r>
        <w:rPr>
          <w:rStyle w:val="FootnoteReference"/>
        </w:rPr>
        <w:footnoteRef/>
      </w:r>
      <w:r>
        <w:t xml:space="preserve"> </w:t>
      </w:r>
      <w:r w:rsidRPr="0073111D">
        <w:rPr>
          <w:i/>
          <w:iCs/>
        </w:rPr>
        <w:t>Id.</w:t>
      </w:r>
      <w:r>
        <w:t xml:space="preserve"> </w:t>
      </w:r>
    </w:p>
  </w:footnote>
  <w:footnote w:id="17">
    <w:p w:rsidR="00E26118" w14:paraId="6A86769A" w14:textId="2B7293E4">
      <w:pPr>
        <w:pStyle w:val="FootnoteText"/>
      </w:pPr>
      <w:r>
        <w:rPr>
          <w:rStyle w:val="FootnoteReference"/>
        </w:rPr>
        <w:footnoteRef/>
      </w:r>
      <w:r>
        <w:t xml:space="preserve"> </w:t>
      </w:r>
      <w:r w:rsidRPr="0073111D">
        <w:rPr>
          <w:i/>
          <w:iCs/>
        </w:rPr>
        <w:t>Id.</w:t>
      </w:r>
      <w:r>
        <w:t xml:space="preserve"> at 853.</w:t>
      </w:r>
    </w:p>
  </w:footnote>
  <w:footnote w:id="18">
    <w:p w:rsidR="006E6FB2" w:rsidRPr="00245B8C" w:rsidP="006E6FB2" w14:paraId="179DAF29" w14:textId="2836D143">
      <w:pPr>
        <w:pStyle w:val="FootnoteText"/>
      </w:pPr>
      <w:r w:rsidRPr="00245B8C">
        <w:rPr>
          <w:rStyle w:val="FootnoteReference"/>
          <w:sz w:val="20"/>
        </w:rPr>
        <w:footnoteRef/>
      </w:r>
      <w:r w:rsidRPr="00245B8C">
        <w:t xml:space="preserve"> </w:t>
      </w:r>
      <w:r w:rsidRPr="00351899" w:rsidR="00E26118">
        <w:rPr>
          <w:i/>
          <w:iCs/>
        </w:rPr>
        <w:t>Id.</w:t>
      </w:r>
    </w:p>
  </w:footnote>
  <w:footnote w:id="19">
    <w:p w:rsidR="00C25F3A" w:rsidRPr="00245B8C" w:rsidP="00245B8C" w14:paraId="5BEA397C" w14:textId="5A06AD70">
      <w:pPr>
        <w:pStyle w:val="FootnoteText"/>
      </w:pPr>
      <w:r w:rsidRPr="00245B8C">
        <w:rPr>
          <w:rStyle w:val="FootnoteReference"/>
          <w:sz w:val="20"/>
        </w:rPr>
        <w:footnoteRef/>
      </w:r>
      <w:r w:rsidRPr="00245B8C">
        <w:t xml:space="preserve"> </w:t>
      </w:r>
      <w:r w:rsidRPr="00245B8C">
        <w:rPr>
          <w:i/>
          <w:iCs/>
        </w:rPr>
        <w:t>Id.</w:t>
      </w:r>
      <w:r w:rsidRPr="00245B8C">
        <w:t xml:space="preserve"> (internal citation omitted).</w:t>
      </w:r>
    </w:p>
  </w:footnote>
  <w:footnote w:id="20">
    <w:p w:rsidR="00C25F3A" w:rsidRPr="00245B8C" w:rsidP="00245B8C" w14:paraId="1D8873DC" w14:textId="2A892F9F">
      <w:pPr>
        <w:pStyle w:val="FootnoteText"/>
      </w:pPr>
      <w:r w:rsidRPr="00245B8C">
        <w:rPr>
          <w:rStyle w:val="FootnoteReference"/>
          <w:sz w:val="20"/>
        </w:rPr>
        <w:footnoteRef/>
      </w:r>
      <w:r w:rsidRPr="00245B8C">
        <w:t xml:space="preserve"> </w:t>
      </w:r>
      <w:r w:rsidRPr="00245B8C" w:rsidR="006E6D83">
        <w:rPr>
          <w:i/>
          <w:iCs/>
        </w:rPr>
        <w:t>Id.</w:t>
      </w:r>
      <w:r w:rsidRPr="00245B8C" w:rsidR="00A96580">
        <w:t>;</w:t>
      </w:r>
      <w:r w:rsidRPr="00245B8C" w:rsidR="00A96580">
        <w:rPr>
          <w:i/>
          <w:iCs/>
        </w:rPr>
        <w:t xml:space="preserve"> see also 6 GHz Report and Order</w:t>
      </w:r>
      <w:r w:rsidRPr="00245B8C" w:rsidR="00A96580">
        <w:t>,</w:t>
      </w:r>
      <w:r w:rsidRPr="00245B8C" w:rsidR="00A96580">
        <w:rPr>
          <w:i/>
          <w:iCs/>
        </w:rPr>
        <w:t xml:space="preserve"> </w:t>
      </w:r>
      <w:r w:rsidRPr="00245B8C" w:rsidR="00A96580">
        <w:t>35 FCC Rcd at 3915, para. 168.</w:t>
      </w:r>
    </w:p>
  </w:footnote>
  <w:footnote w:id="21">
    <w:p w:rsidR="00CD06CE" w14:paraId="5C612DBB" w14:textId="17C698D4">
      <w:pPr>
        <w:pStyle w:val="FootnoteText"/>
      </w:pPr>
      <w:r>
        <w:rPr>
          <w:rStyle w:val="FootnoteReference"/>
        </w:rPr>
        <w:footnoteRef/>
      </w:r>
      <w:r>
        <w:t xml:space="preserve"> </w:t>
      </w:r>
      <w:r w:rsidRPr="0073111D">
        <w:rPr>
          <w:i/>
          <w:iCs/>
        </w:rPr>
        <w:t>AT&amp;T</w:t>
      </w:r>
      <w:r>
        <w:t xml:space="preserve">, 21 F.4th </w:t>
      </w:r>
      <w:r w:rsidRPr="00245B8C">
        <w:t>at 854</w:t>
      </w:r>
      <w:r w:rsidR="00310442">
        <w:t>.</w:t>
      </w:r>
    </w:p>
  </w:footnote>
  <w:footnote w:id="22">
    <w:p w:rsidR="00C25F3A" w:rsidRPr="00245B8C" w:rsidP="00245B8C" w14:paraId="4707B96C" w14:textId="103919F6">
      <w:pPr>
        <w:pStyle w:val="FootnoteText"/>
      </w:pPr>
      <w:r w:rsidRPr="00245B8C">
        <w:rPr>
          <w:rStyle w:val="FootnoteReference"/>
          <w:sz w:val="20"/>
        </w:rPr>
        <w:footnoteRef/>
      </w:r>
      <w:r w:rsidRPr="00245B8C">
        <w:t xml:space="preserve"> </w:t>
      </w:r>
      <w:r w:rsidRPr="002F4F9E" w:rsidR="00CD06CE">
        <w:rPr>
          <w:i/>
          <w:iCs/>
        </w:rPr>
        <w:t>Id.</w:t>
      </w:r>
      <w:r w:rsidR="006D71C5">
        <w:t xml:space="preserve"> </w:t>
      </w:r>
      <w:r w:rsidRPr="00245B8C">
        <w:t xml:space="preserve">at 854-55 (citing </w:t>
      </w:r>
      <w:r w:rsidRPr="00245B8C">
        <w:rPr>
          <w:i/>
          <w:iCs/>
        </w:rPr>
        <w:t>Allied-Signal, Inc., v. Nuclear Regulatory Commission</w:t>
      </w:r>
      <w:r w:rsidRPr="00245B8C">
        <w:t xml:space="preserve">, 988 F.2d 146, 151 (D.C. Cir. 1993)). </w:t>
      </w:r>
    </w:p>
  </w:footnote>
  <w:footnote w:id="23">
    <w:p w:rsidR="0020423E" w:rsidRPr="00245B8C" w:rsidP="00245B8C" w14:paraId="7FB5A6C8" w14:textId="77777777">
      <w:pPr>
        <w:pStyle w:val="FootnoteText"/>
        <w:rPr>
          <w:i/>
          <w:iCs/>
        </w:rPr>
      </w:pPr>
      <w:r w:rsidRPr="00245B8C">
        <w:rPr>
          <w:rStyle w:val="FootnoteReference"/>
          <w:sz w:val="20"/>
        </w:rPr>
        <w:footnoteRef/>
      </w:r>
      <w:r w:rsidRPr="00245B8C">
        <w:t xml:space="preserve"> 47 C.F.R. §§ 1.1200 </w:t>
      </w:r>
      <w:r w:rsidRPr="00245B8C">
        <w:rPr>
          <w:i/>
          <w:iCs/>
        </w:rPr>
        <w:t>et seq.</w:t>
      </w:r>
    </w:p>
    <w:p w:rsidR="0020423E" w:rsidRPr="00245B8C" w:rsidP="00245B8C" w14:paraId="76CC3818"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3A" w:rsidRPr="00091295" w:rsidP="00091295" w14:paraId="25EB7FA9" w14:textId="4EAA37B0">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3A" w14:paraId="28382A81" w14:textId="2CFBCCA5">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4903074"/>
    <w:multiLevelType w:val="hybridMultilevel"/>
    <w:tmpl w:val="0D745F76"/>
    <w:lvl w:ilvl="0">
      <w:start w:val="1"/>
      <w:numFmt w:val="decimal"/>
      <w:lvlText w:val="%1."/>
      <w:lvlJc w:val="left"/>
      <w:pPr>
        <w:tabs>
          <w:tab w:val="num" w:pos="1080"/>
        </w:tabs>
        <w:ind w:left="724" w:hanging="360"/>
      </w:pPr>
      <w:rPr>
        <w:rFonts w:hint="default"/>
      </w:rPr>
    </w:lvl>
    <w:lvl w:ilvl="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9"/>
  </w:num>
  <w:num w:numId="8">
    <w:abstractNumId w:val="1"/>
  </w:num>
  <w:num w:numId="9">
    <w:abstractNumId w:val="5"/>
  </w:num>
  <w:num w:numId="10">
    <w:abstractNumId w:val="7"/>
  </w:num>
  <w:num w:numId="11">
    <w:abstractNumId w:val="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5"/>
    <w:rsid w:val="000012E4"/>
    <w:rsid w:val="000200EC"/>
    <w:rsid w:val="000314B1"/>
    <w:rsid w:val="00034910"/>
    <w:rsid w:val="00050A1A"/>
    <w:rsid w:val="0005162E"/>
    <w:rsid w:val="00051CCE"/>
    <w:rsid w:val="00053E66"/>
    <w:rsid w:val="000628DA"/>
    <w:rsid w:val="00072411"/>
    <w:rsid w:val="00091295"/>
    <w:rsid w:val="00094BA9"/>
    <w:rsid w:val="000A7E2B"/>
    <w:rsid w:val="000B5705"/>
    <w:rsid w:val="000C2350"/>
    <w:rsid w:val="000C6113"/>
    <w:rsid w:val="000E06DC"/>
    <w:rsid w:val="000F2E1B"/>
    <w:rsid w:val="000F32AC"/>
    <w:rsid w:val="000F401F"/>
    <w:rsid w:val="000F6B31"/>
    <w:rsid w:val="00101F77"/>
    <w:rsid w:val="00117407"/>
    <w:rsid w:val="00122F1F"/>
    <w:rsid w:val="001301F0"/>
    <w:rsid w:val="00132FB9"/>
    <w:rsid w:val="00133FBC"/>
    <w:rsid w:val="00137DBC"/>
    <w:rsid w:val="001B0EA1"/>
    <w:rsid w:val="001B42A3"/>
    <w:rsid w:val="001C7E7E"/>
    <w:rsid w:val="001D2008"/>
    <w:rsid w:val="001D31FC"/>
    <w:rsid w:val="001F7687"/>
    <w:rsid w:val="00200F72"/>
    <w:rsid w:val="00202573"/>
    <w:rsid w:val="0020423E"/>
    <w:rsid w:val="002109ED"/>
    <w:rsid w:val="00224388"/>
    <w:rsid w:val="00225488"/>
    <w:rsid w:val="0023103F"/>
    <w:rsid w:val="00245B8C"/>
    <w:rsid w:val="0025406A"/>
    <w:rsid w:val="00260D71"/>
    <w:rsid w:val="00266E99"/>
    <w:rsid w:val="002722DD"/>
    <w:rsid w:val="00272EB0"/>
    <w:rsid w:val="00284504"/>
    <w:rsid w:val="002848AB"/>
    <w:rsid w:val="00287D66"/>
    <w:rsid w:val="00296810"/>
    <w:rsid w:val="00296DF0"/>
    <w:rsid w:val="002A7408"/>
    <w:rsid w:val="002A744F"/>
    <w:rsid w:val="002B751D"/>
    <w:rsid w:val="002C39DE"/>
    <w:rsid w:val="002D1F5B"/>
    <w:rsid w:val="002E4AEE"/>
    <w:rsid w:val="002F41BD"/>
    <w:rsid w:val="002F4F9E"/>
    <w:rsid w:val="0030767F"/>
    <w:rsid w:val="00310442"/>
    <w:rsid w:val="00311DED"/>
    <w:rsid w:val="003125EB"/>
    <w:rsid w:val="0032196F"/>
    <w:rsid w:val="00344597"/>
    <w:rsid w:val="0034628F"/>
    <w:rsid w:val="00351899"/>
    <w:rsid w:val="00353B13"/>
    <w:rsid w:val="003669C6"/>
    <w:rsid w:val="00391B32"/>
    <w:rsid w:val="003A02BF"/>
    <w:rsid w:val="003A6CD9"/>
    <w:rsid w:val="003A75D1"/>
    <w:rsid w:val="003B60BD"/>
    <w:rsid w:val="003D0801"/>
    <w:rsid w:val="003F68CA"/>
    <w:rsid w:val="00403C29"/>
    <w:rsid w:val="004272E9"/>
    <w:rsid w:val="004327EB"/>
    <w:rsid w:val="004513BE"/>
    <w:rsid w:val="004603AC"/>
    <w:rsid w:val="004664D5"/>
    <w:rsid w:val="00485057"/>
    <w:rsid w:val="00487516"/>
    <w:rsid w:val="004A2D91"/>
    <w:rsid w:val="004C4FCE"/>
    <w:rsid w:val="004D5B37"/>
    <w:rsid w:val="004E1E67"/>
    <w:rsid w:val="005145E6"/>
    <w:rsid w:val="0053458D"/>
    <w:rsid w:val="00537DD0"/>
    <w:rsid w:val="00563FD5"/>
    <w:rsid w:val="005872A8"/>
    <w:rsid w:val="005A0810"/>
    <w:rsid w:val="005A4989"/>
    <w:rsid w:val="005A520E"/>
    <w:rsid w:val="005A5664"/>
    <w:rsid w:val="005A7CED"/>
    <w:rsid w:val="005B29D1"/>
    <w:rsid w:val="005B3AFB"/>
    <w:rsid w:val="005D72FA"/>
    <w:rsid w:val="005E50F2"/>
    <w:rsid w:val="005E6CEB"/>
    <w:rsid w:val="005F3A96"/>
    <w:rsid w:val="005F75BD"/>
    <w:rsid w:val="00604EEA"/>
    <w:rsid w:val="006074F4"/>
    <w:rsid w:val="00620B79"/>
    <w:rsid w:val="00631F9B"/>
    <w:rsid w:val="006358DC"/>
    <w:rsid w:val="0063607A"/>
    <w:rsid w:val="0065659A"/>
    <w:rsid w:val="00667670"/>
    <w:rsid w:val="006875B6"/>
    <w:rsid w:val="006B5CB4"/>
    <w:rsid w:val="006C1A62"/>
    <w:rsid w:val="006C4763"/>
    <w:rsid w:val="006C738F"/>
    <w:rsid w:val="006D3B36"/>
    <w:rsid w:val="006D71C5"/>
    <w:rsid w:val="006D775F"/>
    <w:rsid w:val="006E6D83"/>
    <w:rsid w:val="006E6FB2"/>
    <w:rsid w:val="006F50A6"/>
    <w:rsid w:val="00722211"/>
    <w:rsid w:val="00726C00"/>
    <w:rsid w:val="0073111D"/>
    <w:rsid w:val="0073261C"/>
    <w:rsid w:val="00732B61"/>
    <w:rsid w:val="00737E26"/>
    <w:rsid w:val="00742418"/>
    <w:rsid w:val="007618FE"/>
    <w:rsid w:val="00771EC4"/>
    <w:rsid w:val="00794C7B"/>
    <w:rsid w:val="007A05B8"/>
    <w:rsid w:val="007A323A"/>
    <w:rsid w:val="007A6945"/>
    <w:rsid w:val="007B68DE"/>
    <w:rsid w:val="007D225D"/>
    <w:rsid w:val="007F4221"/>
    <w:rsid w:val="008104D6"/>
    <w:rsid w:val="0081113F"/>
    <w:rsid w:val="008113CD"/>
    <w:rsid w:val="00812632"/>
    <w:rsid w:val="00812AAB"/>
    <w:rsid w:val="00837B0B"/>
    <w:rsid w:val="00840320"/>
    <w:rsid w:val="00851F86"/>
    <w:rsid w:val="008535EB"/>
    <w:rsid w:val="008626FA"/>
    <w:rsid w:val="0086281E"/>
    <w:rsid w:val="00873512"/>
    <w:rsid w:val="008A26D6"/>
    <w:rsid w:val="008B6FF4"/>
    <w:rsid w:val="008C202F"/>
    <w:rsid w:val="008C7DB8"/>
    <w:rsid w:val="008D3CC5"/>
    <w:rsid w:val="008E0EFC"/>
    <w:rsid w:val="008F06BC"/>
    <w:rsid w:val="008F5432"/>
    <w:rsid w:val="00902B5B"/>
    <w:rsid w:val="0091609E"/>
    <w:rsid w:val="00952CB6"/>
    <w:rsid w:val="00982F02"/>
    <w:rsid w:val="00984463"/>
    <w:rsid w:val="009A3FA3"/>
    <w:rsid w:val="009B347E"/>
    <w:rsid w:val="009B70BF"/>
    <w:rsid w:val="009C006E"/>
    <w:rsid w:val="009C0B9A"/>
    <w:rsid w:val="009C1843"/>
    <w:rsid w:val="009C1B38"/>
    <w:rsid w:val="009D23A7"/>
    <w:rsid w:val="009E7B04"/>
    <w:rsid w:val="00A0338A"/>
    <w:rsid w:val="00A10E83"/>
    <w:rsid w:val="00A17619"/>
    <w:rsid w:val="00A277DB"/>
    <w:rsid w:val="00A554C9"/>
    <w:rsid w:val="00A64B31"/>
    <w:rsid w:val="00A908E4"/>
    <w:rsid w:val="00A96580"/>
    <w:rsid w:val="00AB18F3"/>
    <w:rsid w:val="00AB67FA"/>
    <w:rsid w:val="00AD3CCD"/>
    <w:rsid w:val="00AF66E6"/>
    <w:rsid w:val="00B05D01"/>
    <w:rsid w:val="00B13BC4"/>
    <w:rsid w:val="00B56C2A"/>
    <w:rsid w:val="00B90B02"/>
    <w:rsid w:val="00BA1530"/>
    <w:rsid w:val="00BA45F3"/>
    <w:rsid w:val="00BA53F6"/>
    <w:rsid w:val="00BD4AE5"/>
    <w:rsid w:val="00BE469B"/>
    <w:rsid w:val="00BF6FE8"/>
    <w:rsid w:val="00C13568"/>
    <w:rsid w:val="00C16716"/>
    <w:rsid w:val="00C179A1"/>
    <w:rsid w:val="00C17D5C"/>
    <w:rsid w:val="00C25F3A"/>
    <w:rsid w:val="00C264E0"/>
    <w:rsid w:val="00C45285"/>
    <w:rsid w:val="00C51CA3"/>
    <w:rsid w:val="00C56D90"/>
    <w:rsid w:val="00C62E87"/>
    <w:rsid w:val="00C729A4"/>
    <w:rsid w:val="00C756E6"/>
    <w:rsid w:val="00C80856"/>
    <w:rsid w:val="00CA2302"/>
    <w:rsid w:val="00CA76E0"/>
    <w:rsid w:val="00CB0520"/>
    <w:rsid w:val="00CB5C58"/>
    <w:rsid w:val="00CC39F0"/>
    <w:rsid w:val="00CD06CE"/>
    <w:rsid w:val="00CE2F6C"/>
    <w:rsid w:val="00CF1870"/>
    <w:rsid w:val="00CF3D93"/>
    <w:rsid w:val="00D0545A"/>
    <w:rsid w:val="00D07950"/>
    <w:rsid w:val="00D273A3"/>
    <w:rsid w:val="00D30384"/>
    <w:rsid w:val="00D632B8"/>
    <w:rsid w:val="00D719B1"/>
    <w:rsid w:val="00D737C7"/>
    <w:rsid w:val="00D90039"/>
    <w:rsid w:val="00D911E3"/>
    <w:rsid w:val="00DA55AF"/>
    <w:rsid w:val="00DB5305"/>
    <w:rsid w:val="00DC349C"/>
    <w:rsid w:val="00DD2680"/>
    <w:rsid w:val="00DD69A4"/>
    <w:rsid w:val="00DE0538"/>
    <w:rsid w:val="00DF61F0"/>
    <w:rsid w:val="00E012E8"/>
    <w:rsid w:val="00E069F9"/>
    <w:rsid w:val="00E26004"/>
    <w:rsid w:val="00E26118"/>
    <w:rsid w:val="00E26157"/>
    <w:rsid w:val="00E33688"/>
    <w:rsid w:val="00E3704A"/>
    <w:rsid w:val="00E424B7"/>
    <w:rsid w:val="00E57A33"/>
    <w:rsid w:val="00E670BA"/>
    <w:rsid w:val="00E728CC"/>
    <w:rsid w:val="00E81316"/>
    <w:rsid w:val="00E81785"/>
    <w:rsid w:val="00E858EB"/>
    <w:rsid w:val="00E9510E"/>
    <w:rsid w:val="00EA7583"/>
    <w:rsid w:val="00EC58E0"/>
    <w:rsid w:val="00EE09BA"/>
    <w:rsid w:val="00EE30DC"/>
    <w:rsid w:val="00EE6840"/>
    <w:rsid w:val="00F0372E"/>
    <w:rsid w:val="00F35781"/>
    <w:rsid w:val="00F66BA0"/>
    <w:rsid w:val="00F72703"/>
    <w:rsid w:val="00F74844"/>
    <w:rsid w:val="00F85968"/>
    <w:rsid w:val="00FC139A"/>
    <w:rsid w:val="00FE1D45"/>
    <w:rsid w:val="00FE361D"/>
    <w:rsid w:val="00FF1E57"/>
    <w:rsid w:val="00FF3B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C45113"/>
  <w15:chartTrackingRefBased/>
  <w15:docId w15:val="{0B78B6D7-2DB4-46D7-B2D6-08E5AF2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66E99"/>
    <w:pPr>
      <w:widowControl w:val="0"/>
    </w:pPr>
    <w:rPr>
      <w:snapToGrid w:val="0"/>
      <w:kern w:val="28"/>
      <w:sz w:val="22"/>
    </w:rPr>
  </w:style>
  <w:style w:type="paragraph" w:styleId="Heading1">
    <w:name w:val="heading 1"/>
    <w:basedOn w:val="Normal"/>
    <w:next w:val="ParaNum"/>
    <w:qFormat/>
    <w:rsid w:val="00266E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6E99"/>
    <w:pPr>
      <w:keepNext/>
      <w:numPr>
        <w:ilvl w:val="1"/>
        <w:numId w:val="3"/>
      </w:numPr>
      <w:spacing w:after="120"/>
      <w:outlineLvl w:val="1"/>
    </w:pPr>
    <w:rPr>
      <w:b/>
    </w:rPr>
  </w:style>
  <w:style w:type="paragraph" w:styleId="Heading3">
    <w:name w:val="heading 3"/>
    <w:basedOn w:val="Normal"/>
    <w:next w:val="ParaNum"/>
    <w:qFormat/>
    <w:rsid w:val="00266E99"/>
    <w:pPr>
      <w:keepNext/>
      <w:numPr>
        <w:ilvl w:val="2"/>
        <w:numId w:val="3"/>
      </w:numPr>
      <w:tabs>
        <w:tab w:val="left" w:pos="2160"/>
      </w:tabs>
      <w:spacing w:after="120"/>
      <w:outlineLvl w:val="2"/>
    </w:pPr>
    <w:rPr>
      <w:b/>
    </w:rPr>
  </w:style>
  <w:style w:type="paragraph" w:styleId="Heading4">
    <w:name w:val="heading 4"/>
    <w:basedOn w:val="Normal"/>
    <w:next w:val="ParaNum"/>
    <w:qFormat/>
    <w:rsid w:val="00266E99"/>
    <w:pPr>
      <w:keepNext/>
      <w:numPr>
        <w:ilvl w:val="3"/>
        <w:numId w:val="3"/>
      </w:numPr>
      <w:tabs>
        <w:tab w:val="left" w:pos="2880"/>
      </w:tabs>
      <w:spacing w:after="120"/>
      <w:outlineLvl w:val="3"/>
    </w:pPr>
    <w:rPr>
      <w:b/>
    </w:rPr>
  </w:style>
  <w:style w:type="paragraph" w:styleId="Heading5">
    <w:name w:val="heading 5"/>
    <w:basedOn w:val="Normal"/>
    <w:next w:val="ParaNum"/>
    <w:qFormat/>
    <w:rsid w:val="00266E9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6E99"/>
    <w:pPr>
      <w:numPr>
        <w:ilvl w:val="5"/>
        <w:numId w:val="3"/>
      </w:numPr>
      <w:tabs>
        <w:tab w:val="left" w:pos="4320"/>
      </w:tabs>
      <w:spacing w:after="120"/>
      <w:outlineLvl w:val="5"/>
    </w:pPr>
    <w:rPr>
      <w:b/>
    </w:rPr>
  </w:style>
  <w:style w:type="paragraph" w:styleId="Heading7">
    <w:name w:val="heading 7"/>
    <w:basedOn w:val="Normal"/>
    <w:next w:val="ParaNum"/>
    <w:qFormat/>
    <w:rsid w:val="00266E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6E9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6E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66E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66E99"/>
  </w:style>
  <w:style w:type="paragraph" w:customStyle="1" w:styleId="ParaNum">
    <w:name w:val="ParaNum"/>
    <w:basedOn w:val="Normal"/>
    <w:link w:val="ParaNumChar1"/>
    <w:rsid w:val="00266E99"/>
    <w:pPr>
      <w:numPr>
        <w:numId w:val="2"/>
      </w:numPr>
      <w:tabs>
        <w:tab w:val="clear" w:pos="1080"/>
        <w:tab w:val="num" w:pos="1440"/>
      </w:tabs>
      <w:spacing w:after="120"/>
    </w:pPr>
  </w:style>
  <w:style w:type="paragraph" w:styleId="EndnoteText">
    <w:name w:val="endnote text"/>
    <w:basedOn w:val="Normal"/>
    <w:semiHidden/>
    <w:rsid w:val="00266E99"/>
    <w:rPr>
      <w:sz w:val="20"/>
    </w:rPr>
  </w:style>
  <w:style w:type="character" w:styleId="EndnoteReference">
    <w:name w:val="endnote reference"/>
    <w:semiHidden/>
    <w:rsid w:val="00266E99"/>
    <w:rPr>
      <w:vertAlign w:val="superscript"/>
    </w:rPr>
  </w:style>
  <w:style w:type="paragraph" w:styleId="FootnoteText">
    <w:name w:val="footnote text"/>
    <w:link w:val="FootnoteTextChar"/>
    <w:rsid w:val="00266E99"/>
    <w:pPr>
      <w:spacing w:after="120"/>
    </w:pPr>
  </w:style>
  <w:style w:type="character" w:styleId="FootnoteReference">
    <w:name w:val="footnote reference"/>
    <w:semiHidden/>
    <w:rsid w:val="00266E99"/>
    <w:rPr>
      <w:rFonts w:ascii="Times New Roman" w:hAnsi="Times New Roman"/>
      <w:dstrike w:val="0"/>
      <w:color w:val="auto"/>
      <w:sz w:val="22"/>
      <w:vertAlign w:val="superscript"/>
    </w:rPr>
  </w:style>
  <w:style w:type="paragraph" w:styleId="TOC1">
    <w:name w:val="toc 1"/>
    <w:basedOn w:val="Normal"/>
    <w:next w:val="Normal"/>
    <w:uiPriority w:val="39"/>
    <w:rsid w:val="00266E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6E99"/>
    <w:pPr>
      <w:tabs>
        <w:tab w:val="left" w:pos="720"/>
        <w:tab w:val="right" w:leader="dot" w:pos="9360"/>
      </w:tabs>
      <w:suppressAutoHyphens/>
      <w:ind w:left="720" w:right="720" w:hanging="360"/>
    </w:pPr>
    <w:rPr>
      <w:noProof/>
    </w:rPr>
  </w:style>
  <w:style w:type="paragraph" w:styleId="TOC3">
    <w:name w:val="toc 3"/>
    <w:basedOn w:val="Normal"/>
    <w:next w:val="Normal"/>
    <w:semiHidden/>
    <w:rsid w:val="00266E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6E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6E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6E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6E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6E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6E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6E99"/>
    <w:pPr>
      <w:tabs>
        <w:tab w:val="right" w:pos="9360"/>
      </w:tabs>
      <w:suppressAutoHyphens/>
    </w:pPr>
  </w:style>
  <w:style w:type="character" w:customStyle="1" w:styleId="EquationCaption">
    <w:name w:val="_Equation Caption"/>
    <w:rsid w:val="00266E99"/>
  </w:style>
  <w:style w:type="paragraph" w:styleId="Header">
    <w:name w:val="header"/>
    <w:basedOn w:val="Normal"/>
    <w:autoRedefine/>
    <w:rsid w:val="00266E99"/>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266E99"/>
    <w:pPr>
      <w:tabs>
        <w:tab w:val="center" w:pos="4320"/>
        <w:tab w:val="right" w:pos="8640"/>
      </w:tabs>
    </w:pPr>
  </w:style>
  <w:style w:type="character" w:styleId="PageNumber">
    <w:name w:val="page number"/>
    <w:basedOn w:val="DefaultParagraphFont"/>
    <w:rsid w:val="00266E99"/>
  </w:style>
  <w:style w:type="paragraph" w:styleId="BlockText">
    <w:name w:val="Block Text"/>
    <w:basedOn w:val="Normal"/>
    <w:rsid w:val="00266E99"/>
    <w:pPr>
      <w:spacing w:after="240"/>
      <w:ind w:left="1440" w:right="1440"/>
    </w:pPr>
  </w:style>
  <w:style w:type="paragraph" w:customStyle="1" w:styleId="Paratitle">
    <w:name w:val="Para title"/>
    <w:basedOn w:val="Normal"/>
    <w:rsid w:val="00266E99"/>
    <w:pPr>
      <w:tabs>
        <w:tab w:val="center" w:pos="9270"/>
      </w:tabs>
      <w:spacing w:after="240"/>
    </w:pPr>
    <w:rPr>
      <w:spacing w:val="-2"/>
    </w:rPr>
  </w:style>
  <w:style w:type="paragraph" w:customStyle="1" w:styleId="Bullet">
    <w:name w:val="Bullet"/>
    <w:basedOn w:val="Normal"/>
    <w:rsid w:val="00266E99"/>
    <w:pPr>
      <w:numPr>
        <w:numId w:val="1"/>
      </w:numPr>
      <w:tabs>
        <w:tab w:val="clear" w:pos="360"/>
        <w:tab w:val="left" w:pos="2160"/>
      </w:tabs>
      <w:spacing w:after="220"/>
      <w:ind w:left="2160" w:hanging="720"/>
    </w:pPr>
  </w:style>
  <w:style w:type="paragraph" w:customStyle="1" w:styleId="TableFormat">
    <w:name w:val="TableFormat"/>
    <w:basedOn w:val="Bullet"/>
    <w:rsid w:val="00266E99"/>
    <w:pPr>
      <w:numPr>
        <w:numId w:val="0"/>
      </w:numPr>
      <w:tabs>
        <w:tab w:val="clear" w:pos="2160"/>
        <w:tab w:val="left" w:pos="5040"/>
      </w:tabs>
      <w:ind w:left="5040" w:hanging="3600"/>
    </w:pPr>
  </w:style>
  <w:style w:type="paragraph" w:customStyle="1" w:styleId="TOCTitle">
    <w:name w:val="TOC Title"/>
    <w:basedOn w:val="Normal"/>
    <w:rsid w:val="00266E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6E99"/>
    <w:pPr>
      <w:jc w:val="center"/>
    </w:pPr>
    <w:rPr>
      <w:rFonts w:ascii="Times New Roman Bold" w:hAnsi="Times New Roman Bold"/>
      <w:b/>
      <w:bCs/>
      <w:caps/>
      <w:szCs w:val="22"/>
    </w:rPr>
  </w:style>
  <w:style w:type="character" w:styleId="Hyperlink">
    <w:name w:val="Hyperlink"/>
    <w:rsid w:val="00266E99"/>
    <w:rPr>
      <w:color w:val="0000FF"/>
      <w:u w:val="single"/>
    </w:rPr>
  </w:style>
  <w:style w:type="character" w:customStyle="1" w:styleId="FooterChar">
    <w:name w:val="Footer Char"/>
    <w:link w:val="Footer"/>
    <w:uiPriority w:val="99"/>
    <w:rsid w:val="00266E99"/>
    <w:rPr>
      <w:snapToGrid w:val="0"/>
      <w:kern w:val="28"/>
      <w:sz w:val="22"/>
    </w:rPr>
  </w:style>
  <w:style w:type="character" w:customStyle="1" w:styleId="UnresolvedMention1">
    <w:name w:val="Unresolved Mention1"/>
    <w:uiPriority w:val="99"/>
    <w:semiHidden/>
    <w:unhideWhenUsed/>
    <w:rsid w:val="006C4763"/>
    <w:rPr>
      <w:color w:val="605E5C"/>
      <w:shd w:val="clear" w:color="auto" w:fill="E1DFDD"/>
    </w:rPr>
  </w:style>
  <w:style w:type="character" w:customStyle="1" w:styleId="FootnoteTextChar">
    <w:name w:val="Footnote Text Char"/>
    <w:link w:val="FootnoteText"/>
    <w:rsid w:val="00091295"/>
  </w:style>
  <w:style w:type="character" w:customStyle="1" w:styleId="ParaNumChar1">
    <w:name w:val="ParaNum Char1"/>
    <w:link w:val="ParaNum"/>
    <w:rsid w:val="00091295"/>
    <w:rPr>
      <w:snapToGrid w:val="0"/>
      <w:kern w:val="28"/>
      <w:sz w:val="22"/>
    </w:rPr>
  </w:style>
  <w:style w:type="paragraph" w:customStyle="1" w:styleId="paragraph">
    <w:name w:val="paragraph"/>
    <w:basedOn w:val="Normal"/>
    <w:rsid w:val="006F50A6"/>
    <w:pPr>
      <w:spacing w:before="100" w:beforeAutospacing="1" w:after="100" w:afterAutospacing="1"/>
    </w:pPr>
  </w:style>
  <w:style w:type="character" w:customStyle="1" w:styleId="normaltextrun">
    <w:name w:val="normaltextrun"/>
    <w:basedOn w:val="DefaultParagraphFont"/>
    <w:rsid w:val="006F50A6"/>
  </w:style>
  <w:style w:type="character" w:customStyle="1" w:styleId="eop">
    <w:name w:val="eop"/>
    <w:basedOn w:val="DefaultParagraphFont"/>
    <w:rsid w:val="006F50A6"/>
  </w:style>
  <w:style w:type="character" w:customStyle="1" w:styleId="tabchar">
    <w:name w:val="tabchar"/>
    <w:basedOn w:val="DefaultParagraphFont"/>
    <w:rsid w:val="006F50A6"/>
  </w:style>
  <w:style w:type="character" w:customStyle="1" w:styleId="UnresolvedMention">
    <w:name w:val="Unresolved Mention"/>
    <w:uiPriority w:val="99"/>
    <w:unhideWhenUsed/>
    <w:rsid w:val="00266E99"/>
    <w:rPr>
      <w:color w:val="605E5C"/>
      <w:shd w:val="clear" w:color="auto" w:fill="E1DFDD"/>
    </w:rPr>
  </w:style>
  <w:style w:type="character" w:styleId="CommentReference">
    <w:name w:val="annotation reference"/>
    <w:basedOn w:val="DefaultParagraphFont"/>
    <w:uiPriority w:val="99"/>
    <w:semiHidden/>
    <w:unhideWhenUsed/>
    <w:rsid w:val="005A520E"/>
    <w:rPr>
      <w:sz w:val="16"/>
      <w:szCs w:val="16"/>
    </w:rPr>
  </w:style>
  <w:style w:type="paragraph" w:styleId="CommentText">
    <w:name w:val="annotation text"/>
    <w:basedOn w:val="Normal"/>
    <w:link w:val="CommentTextChar"/>
    <w:uiPriority w:val="99"/>
    <w:semiHidden/>
    <w:unhideWhenUsed/>
    <w:rsid w:val="005A520E"/>
    <w:rPr>
      <w:snapToGrid/>
      <w:sz w:val="20"/>
    </w:rPr>
  </w:style>
  <w:style w:type="character" w:customStyle="1" w:styleId="CommentTextChar">
    <w:name w:val="Comment Text Char"/>
    <w:basedOn w:val="DefaultParagraphFont"/>
    <w:link w:val="CommentText"/>
    <w:uiPriority w:val="99"/>
    <w:semiHidden/>
    <w:rsid w:val="005A520E"/>
    <w:rPr>
      <w:snapToGrid w:val="0"/>
      <w:kern w:val="28"/>
    </w:rPr>
  </w:style>
  <w:style w:type="paragraph" w:styleId="CommentSubject">
    <w:name w:val="annotation subject"/>
    <w:basedOn w:val="CommentText"/>
    <w:next w:val="CommentText"/>
    <w:link w:val="CommentSubjectChar"/>
    <w:uiPriority w:val="99"/>
    <w:semiHidden/>
    <w:unhideWhenUsed/>
    <w:rsid w:val="005A520E"/>
    <w:rPr>
      <w:b/>
      <w:bCs/>
    </w:rPr>
  </w:style>
  <w:style w:type="character" w:customStyle="1" w:styleId="CommentSubjectChar">
    <w:name w:val="Comment Subject Char"/>
    <w:basedOn w:val="CommentTextChar"/>
    <w:link w:val="CommentSubject"/>
    <w:uiPriority w:val="99"/>
    <w:semiHidden/>
    <w:rsid w:val="005A520E"/>
    <w:rPr>
      <w:b/>
      <w:bCs/>
      <w:snapToGrid w:val="0"/>
      <w:kern w:val="28"/>
    </w:rPr>
  </w:style>
  <w:style w:type="paragraph" w:styleId="ListParagraph">
    <w:name w:val="List Paragraph"/>
    <w:basedOn w:val="Normal"/>
    <w:uiPriority w:val="34"/>
    <w:qFormat/>
    <w:rsid w:val="00982F02"/>
    <w:pPr>
      <w:ind w:left="720"/>
      <w:contextualSpacing/>
    </w:pPr>
    <w:rPr>
      <w:snapToGrid/>
    </w:rPr>
  </w:style>
  <w:style w:type="paragraph" w:styleId="Revision">
    <w:name w:val="Revision"/>
    <w:hidden/>
    <w:uiPriority w:val="99"/>
    <w:semiHidden/>
    <w:rsid w:val="007618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Nicholas.Oro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