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577" w:rsidRDefault="00602577">
      <w:pPr>
        <w:pStyle w:val="Header"/>
        <w:tabs>
          <w:tab w:val="clear" w:pos="4320"/>
          <w:tab w:val="clear" w:pos="8640"/>
        </w:tabs>
        <w:sectPr w:rsidR="00602577">
          <w:footerReference w:type="default" r:id="rId7"/>
          <w:headerReference w:type="first" r:id="rId8"/>
          <w:pgSz w:w="12240" w:h="15840" w:code="1"/>
          <w:pgMar w:top="720" w:right="720" w:bottom="1440" w:left="720" w:header="720" w:footer="1440" w:gutter="0"/>
          <w:cols w:space="720"/>
          <w:titlePg/>
        </w:sectPr>
      </w:pPr>
    </w:p>
    <w:p w:rsidR="00602577" w:rsidRDefault="00EE572F">
      <w:pPr>
        <w:jc w:val="right"/>
        <w:rPr>
          <w:sz w:val="24"/>
        </w:rPr>
      </w:pPr>
      <w:r>
        <w:rPr>
          <w:sz w:val="24"/>
        </w:rPr>
        <w:lastRenderedPageBreak/>
        <w:t>DA 14-</w:t>
      </w:r>
      <w:r w:rsidR="007104BB">
        <w:rPr>
          <w:sz w:val="24"/>
        </w:rPr>
        <w:t>980</w:t>
      </w:r>
    </w:p>
    <w:p w:rsidR="00602577" w:rsidRDefault="000F76CB">
      <w:pPr>
        <w:spacing w:before="60"/>
        <w:jc w:val="right"/>
        <w:rPr>
          <w:sz w:val="24"/>
        </w:rPr>
      </w:pPr>
      <w:r>
        <w:rPr>
          <w:sz w:val="24"/>
        </w:rPr>
        <w:t>July</w:t>
      </w:r>
      <w:r w:rsidR="007104BB">
        <w:rPr>
          <w:sz w:val="24"/>
        </w:rPr>
        <w:t xml:space="preserve"> 9</w:t>
      </w:r>
      <w:r w:rsidR="00C60F3A">
        <w:rPr>
          <w:sz w:val="24"/>
        </w:rPr>
        <w:t>, 2014</w:t>
      </w:r>
    </w:p>
    <w:p w:rsidR="00602577" w:rsidRDefault="00602577">
      <w:pPr>
        <w:jc w:val="right"/>
        <w:rPr>
          <w:sz w:val="24"/>
        </w:rPr>
      </w:pPr>
    </w:p>
    <w:p w:rsidR="00EE572F" w:rsidRDefault="00EE572F" w:rsidP="00EE572F">
      <w:pPr>
        <w:pStyle w:val="BodyText"/>
      </w:pPr>
      <w:r>
        <w:t xml:space="preserve">WIRELESS TELECOMMUNICATIONS BUREAU SEEKS COMMENT ON </w:t>
      </w:r>
      <w:r w:rsidR="00237DC4">
        <w:t xml:space="preserve">SPECTRUM NETWORKS GROUP, LLC APPLICATIONS AND WAIVER </w:t>
      </w:r>
      <w:r w:rsidR="000F76CB">
        <w:t>REQUEST</w:t>
      </w:r>
      <w:r>
        <w:t xml:space="preserve"> </w:t>
      </w:r>
      <w:r w:rsidR="002139CA">
        <w:t xml:space="preserve">TO ALLOW </w:t>
      </w:r>
      <w:r w:rsidR="000B262A">
        <w:t xml:space="preserve">IT TO </w:t>
      </w:r>
      <w:r w:rsidR="002139CA">
        <w:t>PROVI</w:t>
      </w:r>
      <w:r w:rsidR="000B262A">
        <w:t>DE PRIVATE, INTERNAL MACHINE-TO-MACHINE COMMUNICATIONS TO BUSINESSES</w:t>
      </w:r>
      <w:r w:rsidR="002139CA">
        <w:t xml:space="preserve"> ON 900 MH</w:t>
      </w:r>
      <w:r>
        <w:t>z</w:t>
      </w:r>
      <w:r w:rsidR="000B262A">
        <w:t xml:space="preserve"> BUSINESS/INDUSTRIAL/</w:t>
      </w:r>
      <w:r w:rsidR="002139CA">
        <w:t>LAND TRANSPORTATION CHANNELS</w:t>
      </w:r>
      <w:r>
        <w:t xml:space="preserve"> </w:t>
      </w:r>
    </w:p>
    <w:p w:rsidR="0090555B" w:rsidRDefault="0090555B" w:rsidP="00EE572F">
      <w:pPr>
        <w:pStyle w:val="BodyText"/>
      </w:pPr>
    </w:p>
    <w:p w:rsidR="0090555B" w:rsidRDefault="0090555B" w:rsidP="00EE572F">
      <w:pPr>
        <w:pStyle w:val="BodyText"/>
      </w:pPr>
      <w:r>
        <w:t>WT Docket No. 14-</w:t>
      </w:r>
      <w:r w:rsidR="007104BB">
        <w:t>100</w:t>
      </w:r>
    </w:p>
    <w:p w:rsidR="008E442C" w:rsidRDefault="008E442C" w:rsidP="000D52DE">
      <w:pPr>
        <w:keepNext/>
        <w:widowControl w:val="0"/>
        <w:spacing w:after="220"/>
        <w:jc w:val="both"/>
        <w:outlineLvl w:val="1"/>
        <w:rPr>
          <w:b/>
          <w:szCs w:val="22"/>
        </w:rPr>
      </w:pPr>
    </w:p>
    <w:p w:rsidR="000D52DE" w:rsidRPr="000D52DE" w:rsidRDefault="00897925" w:rsidP="000D52DE">
      <w:pPr>
        <w:keepNext/>
        <w:widowControl w:val="0"/>
        <w:spacing w:after="220"/>
        <w:jc w:val="both"/>
        <w:outlineLvl w:val="1"/>
        <w:rPr>
          <w:b/>
          <w:szCs w:val="22"/>
        </w:rPr>
      </w:pPr>
      <w:r>
        <w:rPr>
          <w:b/>
          <w:szCs w:val="22"/>
        </w:rPr>
        <w:t>Comment Date:  July</w:t>
      </w:r>
      <w:r w:rsidR="00D15968">
        <w:rPr>
          <w:b/>
          <w:szCs w:val="22"/>
        </w:rPr>
        <w:t xml:space="preserve"> 30</w:t>
      </w:r>
      <w:r w:rsidR="00AD3CEE">
        <w:rPr>
          <w:b/>
          <w:szCs w:val="22"/>
        </w:rPr>
        <w:t>, 2014</w:t>
      </w:r>
      <w:r w:rsidR="00AD3CEE">
        <w:rPr>
          <w:b/>
          <w:szCs w:val="22"/>
        </w:rPr>
        <w:tab/>
      </w:r>
      <w:r w:rsidR="00AD3CEE">
        <w:rPr>
          <w:b/>
          <w:szCs w:val="22"/>
        </w:rPr>
        <w:tab/>
      </w:r>
      <w:r w:rsidR="00AD3CEE">
        <w:rPr>
          <w:b/>
          <w:szCs w:val="22"/>
        </w:rPr>
        <w:tab/>
      </w:r>
      <w:r w:rsidR="00AD3CEE">
        <w:rPr>
          <w:b/>
          <w:szCs w:val="22"/>
        </w:rPr>
        <w:tab/>
      </w:r>
      <w:r w:rsidR="00AD3CEE">
        <w:rPr>
          <w:b/>
          <w:szCs w:val="22"/>
        </w:rPr>
        <w:tab/>
      </w:r>
      <w:r w:rsidR="000D52DE" w:rsidRPr="000D52DE">
        <w:rPr>
          <w:b/>
          <w:szCs w:val="22"/>
        </w:rPr>
        <w:t xml:space="preserve">Reply Date:  </w:t>
      </w:r>
      <w:r w:rsidR="00D15968">
        <w:rPr>
          <w:b/>
          <w:szCs w:val="22"/>
        </w:rPr>
        <w:t>August 11</w:t>
      </w:r>
      <w:r w:rsidR="00C60F3A">
        <w:rPr>
          <w:b/>
          <w:szCs w:val="22"/>
        </w:rPr>
        <w:t>, 2014</w:t>
      </w:r>
    </w:p>
    <w:p w:rsidR="001F4C44" w:rsidRPr="001F4C44" w:rsidRDefault="000B262A" w:rsidP="00B87E70">
      <w:pPr>
        <w:ind w:firstLine="720"/>
        <w:rPr>
          <w:szCs w:val="22"/>
        </w:rPr>
      </w:pPr>
      <w:r>
        <w:rPr>
          <w:szCs w:val="22"/>
        </w:rPr>
        <w:t xml:space="preserve">Between October 21 and December 2, 2013, </w:t>
      </w:r>
      <w:r w:rsidR="000F76CB">
        <w:rPr>
          <w:szCs w:val="22"/>
        </w:rPr>
        <w:t>Spectrum Networks Group, LLC (SNG)</w:t>
      </w:r>
      <w:r w:rsidR="008E442C">
        <w:rPr>
          <w:szCs w:val="22"/>
        </w:rPr>
        <w:t xml:space="preserve"> filed</w:t>
      </w:r>
      <w:r w:rsidR="000D52DE" w:rsidRPr="000D52DE">
        <w:rPr>
          <w:szCs w:val="22"/>
        </w:rPr>
        <w:t xml:space="preserve"> </w:t>
      </w:r>
      <w:r>
        <w:rPr>
          <w:szCs w:val="22"/>
        </w:rPr>
        <w:t>twelve applications for 896-901/</w:t>
      </w:r>
      <w:bookmarkStart w:id="2" w:name="_GoBack"/>
      <w:r>
        <w:rPr>
          <w:szCs w:val="22"/>
        </w:rPr>
        <w:t xml:space="preserve">935-940 </w:t>
      </w:r>
      <w:bookmarkEnd w:id="2"/>
      <w:r>
        <w:rPr>
          <w:szCs w:val="22"/>
        </w:rPr>
        <w:t xml:space="preserve">MHz (900 MHz) Business/Industrial/Land Transportation </w:t>
      </w:r>
      <w:r w:rsidR="001F4C44">
        <w:rPr>
          <w:szCs w:val="22"/>
        </w:rPr>
        <w:t xml:space="preserve">(B/ILT) </w:t>
      </w:r>
      <w:r>
        <w:rPr>
          <w:szCs w:val="22"/>
        </w:rPr>
        <w:t xml:space="preserve">Pool </w:t>
      </w:r>
      <w:r w:rsidR="001F4C44">
        <w:rPr>
          <w:szCs w:val="22"/>
        </w:rPr>
        <w:t>channels</w:t>
      </w:r>
      <w:r>
        <w:rPr>
          <w:szCs w:val="22"/>
        </w:rPr>
        <w:t xml:space="preserve"> at various locations.</w:t>
      </w:r>
      <w:r>
        <w:rPr>
          <w:rStyle w:val="FootnoteReference"/>
          <w:szCs w:val="22"/>
        </w:rPr>
        <w:footnoteReference w:id="1"/>
      </w:r>
      <w:r>
        <w:rPr>
          <w:szCs w:val="22"/>
        </w:rPr>
        <w:t xml:space="preserve">  Between </w:t>
      </w:r>
      <w:r w:rsidR="001F4C44">
        <w:rPr>
          <w:szCs w:val="22"/>
        </w:rPr>
        <w:t xml:space="preserve">March </w:t>
      </w:r>
      <w:r w:rsidR="001F4C44">
        <w:rPr>
          <w:szCs w:val="22"/>
        </w:rPr>
        <w:lastRenderedPageBreak/>
        <w:t>14 and March 18, 2014, SNG filed ninety-nine additional applications for 900 MHz B/ILT channels at various locations.</w:t>
      </w:r>
      <w:r w:rsidR="001F4C44">
        <w:rPr>
          <w:rStyle w:val="FootnoteReference"/>
          <w:szCs w:val="22"/>
        </w:rPr>
        <w:footnoteReference w:id="2"/>
      </w:r>
      <w:r w:rsidR="001F4C44">
        <w:rPr>
          <w:szCs w:val="22"/>
        </w:rPr>
        <w:t xml:space="preserve">  With the latter group of applications, SNG filed a </w:t>
      </w:r>
      <w:r w:rsidR="000D52DE" w:rsidRPr="000D52DE">
        <w:rPr>
          <w:szCs w:val="22"/>
        </w:rPr>
        <w:t xml:space="preserve">request for waiver of Section </w:t>
      </w:r>
      <w:r w:rsidR="000F76CB">
        <w:rPr>
          <w:szCs w:val="22"/>
        </w:rPr>
        <w:lastRenderedPageBreak/>
        <w:t>90.617(c)</w:t>
      </w:r>
      <w:r w:rsidR="003E621C">
        <w:rPr>
          <w:szCs w:val="22"/>
        </w:rPr>
        <w:t xml:space="preserve"> of the Commission’</w:t>
      </w:r>
      <w:r w:rsidR="000D52DE" w:rsidRPr="000D52DE">
        <w:rPr>
          <w:szCs w:val="22"/>
        </w:rPr>
        <w:t>s Rules</w:t>
      </w:r>
      <w:r w:rsidR="00C1549C">
        <w:rPr>
          <w:szCs w:val="22"/>
        </w:rPr>
        <w:t>, which provides that Specialized Mobile Radio (SMR) systems will not be authorized on 900 MHz B/ILT channels</w:t>
      </w:r>
      <w:r w:rsidR="00283E87">
        <w:rPr>
          <w:szCs w:val="22"/>
        </w:rPr>
        <w:t>.</w:t>
      </w:r>
      <w:r w:rsidR="000D52DE" w:rsidRPr="000D52DE">
        <w:rPr>
          <w:szCs w:val="22"/>
          <w:vertAlign w:val="superscript"/>
        </w:rPr>
        <w:footnoteReference w:id="3"/>
      </w:r>
      <w:r w:rsidR="000D52DE" w:rsidRPr="000D52DE">
        <w:rPr>
          <w:szCs w:val="22"/>
        </w:rPr>
        <w:t xml:space="preserve"> </w:t>
      </w:r>
      <w:r w:rsidR="001F4C44">
        <w:rPr>
          <w:szCs w:val="22"/>
        </w:rPr>
        <w:t xml:space="preserve"> </w:t>
      </w:r>
    </w:p>
    <w:p w:rsidR="001F4C44" w:rsidRDefault="001F4C44" w:rsidP="00B87E70">
      <w:pPr>
        <w:ind w:firstLine="720"/>
        <w:rPr>
          <w:szCs w:val="22"/>
        </w:rPr>
      </w:pPr>
    </w:p>
    <w:p w:rsidR="003E621C" w:rsidRDefault="003E621C" w:rsidP="000D52DE">
      <w:pPr>
        <w:ind w:firstLine="720"/>
        <w:rPr>
          <w:szCs w:val="22"/>
        </w:rPr>
      </w:pPr>
      <w:r>
        <w:rPr>
          <w:szCs w:val="22"/>
        </w:rPr>
        <w:t>SMR systems are defined as those “</w:t>
      </w:r>
      <w:r w:rsidRPr="003E621C">
        <w:rPr>
          <w:szCs w:val="22"/>
        </w:rPr>
        <w:t>in which licensees provide land mobile communications services (other than radiolocation services) in the 800 MHz and 900 MHz bands on a commercial basis to entities eligible to be licensed under this part, Federal Government entities, and individuals.</w:t>
      </w:r>
      <w:r>
        <w:rPr>
          <w:szCs w:val="22"/>
        </w:rPr>
        <w:t>”</w:t>
      </w:r>
      <w:r>
        <w:rPr>
          <w:rStyle w:val="FootnoteReference"/>
          <w:szCs w:val="22"/>
        </w:rPr>
        <w:footnoteReference w:id="4"/>
      </w:r>
      <w:r w:rsidR="000D52DE" w:rsidRPr="000D52DE">
        <w:rPr>
          <w:szCs w:val="22"/>
        </w:rPr>
        <w:t xml:space="preserve">  </w:t>
      </w:r>
      <w:r w:rsidR="00AD3CEE">
        <w:rPr>
          <w:szCs w:val="22"/>
        </w:rPr>
        <w:t xml:space="preserve">SNG </w:t>
      </w:r>
      <w:r w:rsidR="00DA4D8B">
        <w:rPr>
          <w:szCs w:val="22"/>
        </w:rPr>
        <w:t>states that it intends to build a network using 900 MHz B/ILT channels to provide communications services to business for their private, internal machine-to-machine communications needs, and to provide service only to Part 90 eligible businesses (and not Federal Government entities or individuals).</w:t>
      </w:r>
      <w:r w:rsidR="00DA4D8B">
        <w:rPr>
          <w:rStyle w:val="FootnoteReference"/>
          <w:szCs w:val="22"/>
        </w:rPr>
        <w:footnoteReference w:id="5"/>
      </w:r>
      <w:r w:rsidR="00DA4D8B">
        <w:rPr>
          <w:szCs w:val="22"/>
        </w:rPr>
        <w:t xml:space="preserve">  It </w:t>
      </w:r>
      <w:r w:rsidR="00AD3CEE">
        <w:rPr>
          <w:szCs w:val="22"/>
        </w:rPr>
        <w:t xml:space="preserve">contends that </w:t>
      </w:r>
      <w:r w:rsidR="00C1549C">
        <w:rPr>
          <w:szCs w:val="22"/>
        </w:rPr>
        <w:t xml:space="preserve">this is permitted by Section 90.617, but it seeks a waiver to the extent </w:t>
      </w:r>
      <w:r w:rsidR="00A84FA3">
        <w:rPr>
          <w:szCs w:val="22"/>
        </w:rPr>
        <w:t xml:space="preserve">that </w:t>
      </w:r>
      <w:r w:rsidR="00C1549C">
        <w:rPr>
          <w:szCs w:val="22"/>
        </w:rPr>
        <w:t>the rules are unclear in this regard.</w:t>
      </w:r>
      <w:r w:rsidR="00C1549C">
        <w:rPr>
          <w:rStyle w:val="FootnoteReference"/>
          <w:szCs w:val="22"/>
        </w:rPr>
        <w:footnoteReference w:id="6"/>
      </w:r>
      <w:r w:rsidR="00C1549C">
        <w:rPr>
          <w:szCs w:val="22"/>
        </w:rPr>
        <w:t xml:space="preserve">  SNG argues that a </w:t>
      </w:r>
      <w:r w:rsidR="00A84FA3">
        <w:rPr>
          <w:szCs w:val="22"/>
        </w:rPr>
        <w:t xml:space="preserve">waiver </w:t>
      </w:r>
      <w:r w:rsidR="00C1549C">
        <w:rPr>
          <w:szCs w:val="22"/>
        </w:rPr>
        <w:t xml:space="preserve">is warranted because its proposed network </w:t>
      </w:r>
      <w:r w:rsidR="00C1549C">
        <w:rPr>
          <w:szCs w:val="22"/>
        </w:rPr>
        <w:lastRenderedPageBreak/>
        <w:t>will permit SNG to assist in bringing about the machine-to-machine revolution by providing such services on channels no wider than needed and using fallow B/ILT channels solely for B/ILT purposes without diverting them from the B/ILT Pool.</w:t>
      </w:r>
      <w:r w:rsidR="00C1549C">
        <w:rPr>
          <w:rStyle w:val="FootnoteReference"/>
          <w:szCs w:val="22"/>
        </w:rPr>
        <w:footnoteReference w:id="7"/>
      </w:r>
      <w:r w:rsidR="00C1549C">
        <w:rPr>
          <w:szCs w:val="22"/>
        </w:rPr>
        <w:t xml:space="preserve">  </w:t>
      </w:r>
    </w:p>
    <w:p w:rsidR="001F4C44" w:rsidRDefault="001F4C44" w:rsidP="000D52DE">
      <w:pPr>
        <w:ind w:firstLine="720"/>
        <w:rPr>
          <w:szCs w:val="22"/>
        </w:rPr>
      </w:pPr>
    </w:p>
    <w:p w:rsidR="00254DC6" w:rsidRDefault="00283E87" w:rsidP="000D52DE">
      <w:pPr>
        <w:ind w:firstLine="720"/>
        <w:rPr>
          <w:szCs w:val="22"/>
        </w:rPr>
      </w:pPr>
      <w:r>
        <w:rPr>
          <w:szCs w:val="22"/>
        </w:rPr>
        <w:t xml:space="preserve">On January 6, 2014, Enterprise Wireless Alliance (EWA) filed an informal </w:t>
      </w:r>
      <w:r w:rsidR="002721A3">
        <w:rPr>
          <w:szCs w:val="22"/>
        </w:rPr>
        <w:t>opposition</w:t>
      </w:r>
      <w:r>
        <w:rPr>
          <w:szCs w:val="22"/>
        </w:rPr>
        <w:t xml:space="preserve"> to SNG’s 2013 applications, arguing that the applications proposed a prohibited SMR service.</w:t>
      </w:r>
      <w:r>
        <w:rPr>
          <w:rStyle w:val="FootnoteReference"/>
          <w:szCs w:val="22"/>
        </w:rPr>
        <w:footnoteReference w:id="8"/>
      </w:r>
      <w:r>
        <w:rPr>
          <w:szCs w:val="22"/>
        </w:rPr>
        <w:t xml:space="preserve">  </w:t>
      </w:r>
      <w:r w:rsidR="00254DC6">
        <w:rPr>
          <w:szCs w:val="22"/>
        </w:rPr>
        <w:t xml:space="preserve">On April 8, 2014, </w:t>
      </w:r>
      <w:r>
        <w:rPr>
          <w:szCs w:val="22"/>
        </w:rPr>
        <w:t xml:space="preserve">EWA </w:t>
      </w:r>
      <w:r w:rsidR="00254DC6">
        <w:rPr>
          <w:szCs w:val="22"/>
        </w:rPr>
        <w:t>filed an informal opposition to</w:t>
      </w:r>
      <w:r w:rsidR="002721A3">
        <w:rPr>
          <w:szCs w:val="22"/>
        </w:rPr>
        <w:t xml:space="preserve"> SNG’s 2014</w:t>
      </w:r>
      <w:r w:rsidR="00254DC6">
        <w:rPr>
          <w:szCs w:val="22"/>
        </w:rPr>
        <w:t xml:space="preserve"> applications </w:t>
      </w:r>
      <w:r w:rsidR="00413442">
        <w:rPr>
          <w:szCs w:val="22"/>
        </w:rPr>
        <w:t xml:space="preserve">making the same argument and opposing </w:t>
      </w:r>
      <w:r w:rsidR="00413442">
        <w:rPr>
          <w:szCs w:val="22"/>
        </w:rPr>
        <w:lastRenderedPageBreak/>
        <w:t>the</w:t>
      </w:r>
      <w:r w:rsidR="00254DC6">
        <w:rPr>
          <w:szCs w:val="22"/>
        </w:rPr>
        <w:t xml:space="preserve"> </w:t>
      </w:r>
      <w:r w:rsidR="00237DC4">
        <w:rPr>
          <w:szCs w:val="22"/>
        </w:rPr>
        <w:t xml:space="preserve">waiver request </w:t>
      </w:r>
      <w:r w:rsidR="00413442">
        <w:rPr>
          <w:szCs w:val="22"/>
        </w:rPr>
        <w:t xml:space="preserve">on the grounds that grant </w:t>
      </w:r>
      <w:r w:rsidR="00254DC6">
        <w:rPr>
          <w:szCs w:val="22"/>
        </w:rPr>
        <w:t>would remove the spectrum from the scarce pool of available 900 MHz frequencies</w:t>
      </w:r>
      <w:r w:rsidR="00413442">
        <w:rPr>
          <w:szCs w:val="22"/>
        </w:rPr>
        <w:t xml:space="preserve"> and</w:t>
      </w:r>
      <w:r w:rsidR="00254DC6">
        <w:rPr>
          <w:szCs w:val="22"/>
        </w:rPr>
        <w:t xml:space="preserve"> establish precedent that would undermine the rule with a</w:t>
      </w:r>
      <w:r w:rsidR="00413442">
        <w:rPr>
          <w:szCs w:val="22"/>
        </w:rPr>
        <w:t>n unproven</w:t>
      </w:r>
      <w:r w:rsidR="00254DC6">
        <w:rPr>
          <w:szCs w:val="22"/>
        </w:rPr>
        <w:t xml:space="preserve"> business plan.</w:t>
      </w:r>
      <w:r w:rsidR="00254DC6">
        <w:rPr>
          <w:rStyle w:val="FootnoteReference"/>
          <w:szCs w:val="22"/>
        </w:rPr>
        <w:footnoteReference w:id="9"/>
      </w:r>
      <w:r w:rsidR="003D52D4">
        <w:rPr>
          <w:szCs w:val="22"/>
        </w:rPr>
        <w:t xml:space="preserve">  SNG filed a reply on April 23, 2014, </w:t>
      </w:r>
      <w:r w:rsidR="00C278E1">
        <w:rPr>
          <w:szCs w:val="22"/>
        </w:rPr>
        <w:t>maintaining that its applications for spectrum are not speculative</w:t>
      </w:r>
      <w:r w:rsidR="0090555B">
        <w:rPr>
          <w:szCs w:val="22"/>
        </w:rPr>
        <w:t>,</w:t>
      </w:r>
      <w:r w:rsidR="00C278E1">
        <w:rPr>
          <w:szCs w:val="22"/>
        </w:rPr>
        <w:t xml:space="preserve"> and that EWA’s opposition is undermined by its role as a frequency coordinator.</w:t>
      </w:r>
      <w:r w:rsidR="003D52D4">
        <w:rPr>
          <w:rStyle w:val="FootnoteReference"/>
          <w:szCs w:val="22"/>
        </w:rPr>
        <w:footnoteReference w:id="10"/>
      </w:r>
      <w:r w:rsidR="00C278E1">
        <w:rPr>
          <w:szCs w:val="22"/>
        </w:rPr>
        <w:t xml:space="preserve">  SNG </w:t>
      </w:r>
      <w:r w:rsidR="00EE1645">
        <w:rPr>
          <w:szCs w:val="22"/>
        </w:rPr>
        <w:t xml:space="preserve">submitted a </w:t>
      </w:r>
      <w:r w:rsidR="00C278E1">
        <w:rPr>
          <w:szCs w:val="22"/>
        </w:rPr>
        <w:t>supplement</w:t>
      </w:r>
      <w:r w:rsidR="00EE1645">
        <w:rPr>
          <w:szCs w:val="22"/>
        </w:rPr>
        <w:t xml:space="preserve">al filing </w:t>
      </w:r>
      <w:r w:rsidR="00C278E1">
        <w:rPr>
          <w:szCs w:val="22"/>
        </w:rPr>
        <w:t xml:space="preserve">on June 24, 2014, further detailing the plans for its network, </w:t>
      </w:r>
      <w:r w:rsidR="00EE1645">
        <w:rPr>
          <w:szCs w:val="22"/>
        </w:rPr>
        <w:t>and</w:t>
      </w:r>
      <w:r w:rsidR="00C278E1">
        <w:rPr>
          <w:szCs w:val="22"/>
        </w:rPr>
        <w:t xml:space="preserve"> </w:t>
      </w:r>
      <w:r w:rsidR="0090555B">
        <w:rPr>
          <w:szCs w:val="22"/>
        </w:rPr>
        <w:t>committing</w:t>
      </w:r>
      <w:r w:rsidR="00C155B0">
        <w:rPr>
          <w:szCs w:val="22"/>
        </w:rPr>
        <w:t xml:space="preserve"> to </w:t>
      </w:r>
      <w:r w:rsidR="00EE1645">
        <w:rPr>
          <w:szCs w:val="22"/>
        </w:rPr>
        <w:t xml:space="preserve">meeting specific </w:t>
      </w:r>
      <w:r w:rsidR="00C155B0">
        <w:rPr>
          <w:szCs w:val="22"/>
        </w:rPr>
        <w:t>loading requirements</w:t>
      </w:r>
      <w:r w:rsidR="00EE1645">
        <w:rPr>
          <w:szCs w:val="22"/>
        </w:rPr>
        <w:t xml:space="preserve"> and</w:t>
      </w:r>
      <w:r w:rsidR="00C155B0">
        <w:rPr>
          <w:szCs w:val="22"/>
        </w:rPr>
        <w:t xml:space="preserve"> </w:t>
      </w:r>
      <w:r w:rsidR="00237DC4">
        <w:rPr>
          <w:szCs w:val="22"/>
        </w:rPr>
        <w:t xml:space="preserve">to </w:t>
      </w:r>
      <w:r w:rsidR="00C155B0">
        <w:rPr>
          <w:szCs w:val="22"/>
        </w:rPr>
        <w:t xml:space="preserve">limit </w:t>
      </w:r>
      <w:r w:rsidR="00EE1645">
        <w:rPr>
          <w:szCs w:val="22"/>
        </w:rPr>
        <w:t>i</w:t>
      </w:r>
      <w:r w:rsidR="0090555B">
        <w:rPr>
          <w:szCs w:val="22"/>
        </w:rPr>
        <w:t>t</w:t>
      </w:r>
      <w:r w:rsidR="00EE1645">
        <w:rPr>
          <w:szCs w:val="22"/>
        </w:rPr>
        <w:t>s</w:t>
      </w:r>
      <w:r w:rsidR="0090555B">
        <w:rPr>
          <w:szCs w:val="22"/>
        </w:rPr>
        <w:t xml:space="preserve"> </w:t>
      </w:r>
      <w:r w:rsidR="00C155B0">
        <w:rPr>
          <w:szCs w:val="22"/>
        </w:rPr>
        <w:t>total channel agg</w:t>
      </w:r>
      <w:r w:rsidR="004E4041">
        <w:rPr>
          <w:szCs w:val="22"/>
        </w:rPr>
        <w:t xml:space="preserve">regation </w:t>
      </w:r>
      <w:r w:rsidR="00EE1645">
        <w:rPr>
          <w:szCs w:val="22"/>
        </w:rPr>
        <w:t xml:space="preserve">even </w:t>
      </w:r>
      <w:r w:rsidR="004E4041">
        <w:rPr>
          <w:szCs w:val="22"/>
        </w:rPr>
        <w:t>after those</w:t>
      </w:r>
      <w:r w:rsidR="00EE1645">
        <w:rPr>
          <w:szCs w:val="22"/>
        </w:rPr>
        <w:t xml:space="preserve"> loading requirements </w:t>
      </w:r>
      <w:r w:rsidR="00C155B0">
        <w:rPr>
          <w:szCs w:val="22"/>
        </w:rPr>
        <w:t>a</w:t>
      </w:r>
      <w:r w:rsidR="00EE1645">
        <w:rPr>
          <w:szCs w:val="22"/>
        </w:rPr>
        <w:t>r</w:t>
      </w:r>
      <w:r w:rsidR="00C155B0">
        <w:rPr>
          <w:szCs w:val="22"/>
        </w:rPr>
        <w:t>e met.</w:t>
      </w:r>
      <w:r w:rsidR="00C155B0">
        <w:rPr>
          <w:rStyle w:val="FootnoteReference"/>
          <w:szCs w:val="22"/>
        </w:rPr>
        <w:footnoteReference w:id="11"/>
      </w:r>
    </w:p>
    <w:p w:rsidR="003E621C" w:rsidRPr="000D52DE" w:rsidRDefault="003E621C" w:rsidP="003E621C">
      <w:pPr>
        <w:widowControl w:val="0"/>
        <w:tabs>
          <w:tab w:val="right" w:pos="9360"/>
        </w:tabs>
        <w:suppressAutoHyphens/>
        <w:spacing w:line="228" w:lineRule="auto"/>
        <w:jc w:val="both"/>
        <w:rPr>
          <w:snapToGrid w:val="0"/>
          <w:spacing w:val="-2"/>
          <w:szCs w:val="22"/>
        </w:rPr>
      </w:pPr>
    </w:p>
    <w:p w:rsidR="000D52DE" w:rsidRPr="000D52DE" w:rsidRDefault="00C1549C" w:rsidP="000D52DE">
      <w:pPr>
        <w:ind w:firstLine="720"/>
        <w:rPr>
          <w:spacing w:val="-2"/>
        </w:rPr>
      </w:pPr>
      <w:r>
        <w:rPr>
          <w:szCs w:val="22"/>
        </w:rPr>
        <w:t xml:space="preserve">This </w:t>
      </w:r>
      <w:r>
        <w:rPr>
          <w:i/>
          <w:szCs w:val="22"/>
        </w:rPr>
        <w:t>Public Notice</w:t>
      </w:r>
      <w:r>
        <w:rPr>
          <w:szCs w:val="22"/>
        </w:rPr>
        <w:t xml:space="preserve"> seeks comment</w:t>
      </w:r>
      <w:r w:rsidRPr="000D52DE">
        <w:rPr>
          <w:spacing w:val="-2"/>
        </w:rPr>
        <w:t xml:space="preserve"> </w:t>
      </w:r>
      <w:r w:rsidR="000D52DE" w:rsidRPr="000D52DE">
        <w:rPr>
          <w:spacing w:val="-2"/>
        </w:rPr>
        <w:t xml:space="preserve">on the </w:t>
      </w:r>
      <w:r w:rsidR="0090555B">
        <w:rPr>
          <w:spacing w:val="-2"/>
        </w:rPr>
        <w:t xml:space="preserve">applications and associated </w:t>
      </w:r>
      <w:r w:rsidR="000D52DE" w:rsidRPr="000D52DE">
        <w:rPr>
          <w:spacing w:val="-2"/>
        </w:rPr>
        <w:t>waiver request.</w:t>
      </w:r>
    </w:p>
    <w:p w:rsidR="003E621C" w:rsidRPr="000D52DE" w:rsidRDefault="003E621C" w:rsidP="003E621C">
      <w:pPr>
        <w:widowControl w:val="0"/>
        <w:tabs>
          <w:tab w:val="right" w:pos="9360"/>
        </w:tabs>
        <w:suppressAutoHyphens/>
        <w:spacing w:line="228" w:lineRule="auto"/>
        <w:jc w:val="both"/>
        <w:rPr>
          <w:snapToGrid w:val="0"/>
          <w:spacing w:val="-2"/>
          <w:szCs w:val="22"/>
        </w:rPr>
      </w:pPr>
    </w:p>
    <w:p w:rsidR="000D52DE" w:rsidRPr="000D52DE" w:rsidRDefault="000D52DE" w:rsidP="000D52DE">
      <w:pPr>
        <w:widowControl w:val="0"/>
        <w:tabs>
          <w:tab w:val="right" w:pos="9360"/>
        </w:tabs>
        <w:suppressAutoHyphens/>
        <w:spacing w:line="228" w:lineRule="auto"/>
        <w:jc w:val="both"/>
        <w:rPr>
          <w:b/>
          <w:snapToGrid w:val="0"/>
          <w:spacing w:val="-2"/>
          <w:szCs w:val="22"/>
        </w:rPr>
      </w:pPr>
      <w:r w:rsidRPr="000D52DE">
        <w:rPr>
          <w:b/>
          <w:snapToGrid w:val="0"/>
          <w:spacing w:val="-2"/>
          <w:szCs w:val="22"/>
        </w:rPr>
        <w:lastRenderedPageBreak/>
        <w:t>Procedural Matters</w:t>
      </w:r>
    </w:p>
    <w:p w:rsidR="000D52DE" w:rsidRPr="000D52DE" w:rsidRDefault="000D52DE" w:rsidP="000D52DE">
      <w:pPr>
        <w:widowControl w:val="0"/>
        <w:tabs>
          <w:tab w:val="right" w:pos="9360"/>
        </w:tabs>
        <w:suppressAutoHyphens/>
        <w:spacing w:line="228" w:lineRule="auto"/>
        <w:jc w:val="both"/>
        <w:rPr>
          <w:snapToGrid w:val="0"/>
          <w:spacing w:val="-2"/>
          <w:szCs w:val="22"/>
        </w:rPr>
      </w:pPr>
    </w:p>
    <w:p w:rsidR="002A60BC" w:rsidRPr="00060EAA" w:rsidRDefault="002A60BC" w:rsidP="002A60BC">
      <w:pPr>
        <w:tabs>
          <w:tab w:val="left" w:pos="-720"/>
        </w:tabs>
        <w:suppressAutoHyphens/>
        <w:spacing w:line="236" w:lineRule="exact"/>
        <w:rPr>
          <w:szCs w:val="22"/>
        </w:rPr>
      </w:pPr>
      <w:r>
        <w:rPr>
          <w:szCs w:val="22"/>
        </w:rPr>
        <w:tab/>
      </w:r>
      <w:r w:rsidRPr="00060EAA">
        <w:rPr>
          <w:szCs w:val="22"/>
        </w:rPr>
        <w:t xml:space="preserve">Interested parties may file comments and reply comments in response to the </w:t>
      </w:r>
      <w:r w:rsidR="0090555B">
        <w:rPr>
          <w:szCs w:val="22"/>
        </w:rPr>
        <w:t xml:space="preserve">applications and </w:t>
      </w:r>
      <w:r w:rsidRPr="00060EAA">
        <w:rPr>
          <w:szCs w:val="22"/>
        </w:rPr>
        <w:t xml:space="preserve">waiver requests on or before the dates listed on the first page of this </w:t>
      </w:r>
      <w:r w:rsidRPr="00060EAA">
        <w:rPr>
          <w:i/>
          <w:szCs w:val="22"/>
        </w:rPr>
        <w:t>Public Notice</w:t>
      </w:r>
      <w:r w:rsidRPr="00060EAA">
        <w:rPr>
          <w:szCs w:val="22"/>
        </w:rPr>
        <w:t xml:space="preserve">.  All pleadings must reference </w:t>
      </w:r>
      <w:r w:rsidR="0090555B">
        <w:rPr>
          <w:szCs w:val="22"/>
        </w:rPr>
        <w:t>WT Docket No. 14-</w:t>
      </w:r>
      <w:r w:rsidR="007104BB">
        <w:rPr>
          <w:szCs w:val="22"/>
        </w:rPr>
        <w:t>100</w:t>
      </w:r>
      <w:r w:rsidR="0090555B">
        <w:rPr>
          <w:szCs w:val="22"/>
        </w:rPr>
        <w:t>.</w:t>
      </w:r>
      <w:r w:rsidRPr="00060EAA">
        <w:rPr>
          <w:szCs w:val="22"/>
        </w:rPr>
        <w:t xml:space="preserve">  Parties may file comments using (1) the Commission’s Electronic Comment Filing System (ECFS), (2) the Federal Government’s </w:t>
      </w:r>
      <w:proofErr w:type="spellStart"/>
      <w:r w:rsidRPr="00060EAA">
        <w:rPr>
          <w:szCs w:val="22"/>
        </w:rPr>
        <w:t>eRulemaking</w:t>
      </w:r>
      <w:proofErr w:type="spellEnd"/>
      <w:r w:rsidRPr="00060EAA">
        <w:rPr>
          <w:szCs w:val="22"/>
        </w:rPr>
        <w:t xml:space="preserve"> Portal, or (3) by filing paper copies.</w:t>
      </w:r>
      <w:r w:rsidRPr="00060EAA">
        <w:rPr>
          <w:szCs w:val="22"/>
          <w:vertAlign w:val="superscript"/>
        </w:rPr>
        <w:footnoteReference w:id="12"/>
      </w:r>
    </w:p>
    <w:p w:rsidR="002A60BC" w:rsidRPr="00060EAA" w:rsidRDefault="002A60BC" w:rsidP="002A60BC">
      <w:pPr>
        <w:tabs>
          <w:tab w:val="left" w:pos="-720"/>
        </w:tabs>
        <w:suppressAutoHyphens/>
        <w:spacing w:line="236" w:lineRule="exact"/>
        <w:rPr>
          <w:szCs w:val="22"/>
        </w:rPr>
      </w:pPr>
    </w:p>
    <w:p w:rsidR="002A60BC" w:rsidRPr="00060EAA" w:rsidRDefault="002A60BC" w:rsidP="002A60BC">
      <w:pPr>
        <w:numPr>
          <w:ilvl w:val="0"/>
          <w:numId w:val="13"/>
        </w:numPr>
        <w:tabs>
          <w:tab w:val="left" w:pos="-720"/>
        </w:tabs>
        <w:suppressAutoHyphens/>
        <w:spacing w:line="236" w:lineRule="exact"/>
        <w:rPr>
          <w:szCs w:val="22"/>
        </w:rPr>
      </w:pPr>
      <w:r w:rsidRPr="00060EAA">
        <w:rPr>
          <w:szCs w:val="22"/>
        </w:rPr>
        <w:t xml:space="preserve">Electronic Filers:  File comments electronically using the Internet by accessing the ECFS:  http://www.fcc.gov/cgb/ecfs/ or the Federal </w:t>
      </w:r>
      <w:proofErr w:type="spellStart"/>
      <w:r w:rsidRPr="00060EAA">
        <w:rPr>
          <w:szCs w:val="22"/>
        </w:rPr>
        <w:t>eRulemaking</w:t>
      </w:r>
      <w:proofErr w:type="spellEnd"/>
      <w:r w:rsidRPr="00060EAA">
        <w:rPr>
          <w:szCs w:val="22"/>
        </w:rPr>
        <w:t xml:space="preserve"> Portal:  http://www.regulations.gov.  Filers should follow the instructions provided on the website for submitting comments.</w:t>
      </w:r>
    </w:p>
    <w:p w:rsidR="002A60BC" w:rsidRPr="00060EAA" w:rsidRDefault="002A60BC" w:rsidP="002A60BC">
      <w:pPr>
        <w:tabs>
          <w:tab w:val="left" w:pos="-720"/>
        </w:tabs>
        <w:suppressAutoHyphens/>
        <w:spacing w:line="236" w:lineRule="exact"/>
        <w:ind w:left="360"/>
        <w:rPr>
          <w:szCs w:val="22"/>
        </w:rPr>
      </w:pPr>
    </w:p>
    <w:p w:rsidR="002A60BC" w:rsidRPr="00060EAA" w:rsidRDefault="002A60BC" w:rsidP="002A60BC">
      <w:pPr>
        <w:numPr>
          <w:ilvl w:val="0"/>
          <w:numId w:val="13"/>
        </w:numPr>
        <w:tabs>
          <w:tab w:val="left" w:pos="-720"/>
        </w:tabs>
        <w:suppressAutoHyphens/>
        <w:spacing w:line="236" w:lineRule="exact"/>
        <w:rPr>
          <w:szCs w:val="22"/>
        </w:rPr>
      </w:pPr>
      <w:r w:rsidRPr="00060EAA">
        <w:rPr>
          <w:szCs w:val="22"/>
        </w:rPr>
        <w:t xml:space="preserve">In completing the transmittal screen, filers should include their full name, U.S. Postal Service mailing address, and the applicable docket or rulemaking number.  Parties may also submit an electronic comment by Internet e-mail. </w:t>
      </w:r>
      <w:r>
        <w:rPr>
          <w:szCs w:val="22"/>
        </w:rPr>
        <w:t xml:space="preserve"> </w:t>
      </w:r>
      <w:r w:rsidRPr="00060EAA">
        <w:rPr>
          <w:szCs w:val="22"/>
        </w:rPr>
        <w:t xml:space="preserve">To get filing instructions, filers should send an e-mail to ecfs@fcc.gov, and include </w:t>
      </w:r>
      <w:r w:rsidRPr="00060EAA">
        <w:rPr>
          <w:szCs w:val="22"/>
        </w:rPr>
        <w:lastRenderedPageBreak/>
        <w:t>the following words in the body of the message, “get form.”  A sample form and directions will be sent in response.</w:t>
      </w:r>
    </w:p>
    <w:p w:rsidR="002A60BC" w:rsidRPr="00060EAA" w:rsidRDefault="002A60BC" w:rsidP="002A60BC">
      <w:pPr>
        <w:tabs>
          <w:tab w:val="left" w:pos="-720"/>
        </w:tabs>
        <w:suppressAutoHyphens/>
        <w:spacing w:line="236" w:lineRule="exact"/>
        <w:ind w:left="360"/>
        <w:rPr>
          <w:szCs w:val="22"/>
        </w:rPr>
      </w:pPr>
    </w:p>
    <w:p w:rsidR="002A60BC" w:rsidRDefault="002A60BC" w:rsidP="002A60BC">
      <w:pPr>
        <w:numPr>
          <w:ilvl w:val="0"/>
          <w:numId w:val="14"/>
        </w:numPr>
        <w:tabs>
          <w:tab w:val="left" w:pos="-720"/>
        </w:tabs>
        <w:suppressAutoHyphens/>
        <w:spacing w:line="236" w:lineRule="exact"/>
        <w:rPr>
          <w:szCs w:val="22"/>
        </w:rPr>
      </w:pPr>
      <w:r w:rsidRPr="00060EAA">
        <w:rPr>
          <w:szCs w:val="22"/>
        </w:rPr>
        <w:t>Paper Filers:  Parties who choose to file by paper must file an original and tw</w:t>
      </w:r>
      <w:r w:rsidR="0090555B">
        <w:rPr>
          <w:szCs w:val="22"/>
        </w:rPr>
        <w:t>o copies of each filing.</w:t>
      </w:r>
    </w:p>
    <w:p w:rsidR="002A60BC" w:rsidRPr="00060EAA" w:rsidRDefault="002A60BC" w:rsidP="002A60BC">
      <w:pPr>
        <w:tabs>
          <w:tab w:val="left" w:pos="-720"/>
        </w:tabs>
        <w:suppressAutoHyphens/>
        <w:spacing w:line="236" w:lineRule="exact"/>
        <w:ind w:left="720"/>
        <w:rPr>
          <w:szCs w:val="22"/>
        </w:rPr>
      </w:pPr>
    </w:p>
    <w:p w:rsidR="002A60BC" w:rsidRPr="00060EAA" w:rsidRDefault="002A60BC" w:rsidP="002A60BC">
      <w:pPr>
        <w:tabs>
          <w:tab w:val="left" w:pos="-720"/>
        </w:tabs>
        <w:suppressAutoHyphens/>
        <w:spacing w:line="236" w:lineRule="exact"/>
        <w:rPr>
          <w:szCs w:val="22"/>
        </w:rPr>
      </w:pPr>
      <w:r>
        <w:rPr>
          <w:szCs w:val="22"/>
        </w:rPr>
        <w:tab/>
      </w:r>
      <w:r w:rsidRPr="00060EAA">
        <w:rPr>
          <w:szCs w:val="22"/>
        </w:rPr>
        <w:t>Send filings by hand or messenger delivery, by commercial overnight courier, or by first-class or overnight U.S. Postal Service mail.  Address filings to the Commission’s Secretary, Office of the Secretary, Federal Communications Commission.</w:t>
      </w:r>
    </w:p>
    <w:p w:rsidR="002A60BC" w:rsidRPr="00060EAA" w:rsidRDefault="002A60BC" w:rsidP="002A60BC">
      <w:pPr>
        <w:tabs>
          <w:tab w:val="left" w:pos="-720"/>
        </w:tabs>
        <w:suppressAutoHyphens/>
        <w:spacing w:line="236" w:lineRule="exact"/>
        <w:rPr>
          <w:szCs w:val="22"/>
        </w:rPr>
      </w:pPr>
    </w:p>
    <w:p w:rsidR="002A60BC" w:rsidRPr="00060EAA" w:rsidRDefault="002A60BC" w:rsidP="002A60BC">
      <w:pPr>
        <w:numPr>
          <w:ilvl w:val="0"/>
          <w:numId w:val="15"/>
        </w:numPr>
        <w:tabs>
          <w:tab w:val="left" w:pos="-720"/>
        </w:tabs>
        <w:suppressAutoHyphens/>
        <w:spacing w:line="236" w:lineRule="exact"/>
        <w:rPr>
          <w:szCs w:val="22"/>
        </w:rPr>
      </w:pPr>
      <w:r w:rsidRPr="00060EAA">
        <w:rPr>
          <w:szCs w:val="22"/>
        </w:rPr>
        <w:t>Deliver hand-delivered or messenger-delivered paper fil</w:t>
      </w:r>
      <w:r w:rsidR="0090555B">
        <w:rPr>
          <w:szCs w:val="22"/>
        </w:rPr>
        <w:t>ings to FCC Headquarters at 445 </w:t>
      </w:r>
      <w:r w:rsidRPr="00060EAA">
        <w:rPr>
          <w:szCs w:val="22"/>
        </w:rPr>
        <w:t>12</w:t>
      </w:r>
      <w:r w:rsidRPr="00060EAA">
        <w:rPr>
          <w:szCs w:val="22"/>
          <w:vertAlign w:val="superscript"/>
        </w:rPr>
        <w:t>th</w:t>
      </w:r>
      <w:r w:rsidRPr="00060EAA">
        <w:rPr>
          <w:szCs w:val="22"/>
        </w:rPr>
        <w:t xml:space="preserve"> St., SW, Room TW-A325, Wa</w:t>
      </w:r>
      <w:r w:rsidR="0090555B">
        <w:rPr>
          <w:szCs w:val="22"/>
        </w:rPr>
        <w:t>shington, DC 20554 between 8:00 p.m.</w:t>
      </w:r>
      <w:r w:rsidRPr="00060EAA">
        <w:rPr>
          <w:szCs w:val="22"/>
        </w:rPr>
        <w:t xml:space="preserve"> and 7:</w:t>
      </w:r>
      <w:r w:rsidR="0090555B">
        <w:rPr>
          <w:szCs w:val="22"/>
        </w:rPr>
        <w:t xml:space="preserve">00 p.m. </w:t>
      </w:r>
      <w:r w:rsidRPr="00060EAA">
        <w:rPr>
          <w:szCs w:val="22"/>
        </w:rPr>
        <w:t xml:space="preserve"> Use rubber bands or fasteners to hold deliveries together.  Dispose of all envelopes before entering the building.</w:t>
      </w:r>
    </w:p>
    <w:p w:rsidR="002A60BC" w:rsidRPr="00060EAA" w:rsidRDefault="002A60BC" w:rsidP="002A60BC">
      <w:pPr>
        <w:tabs>
          <w:tab w:val="left" w:pos="-720"/>
        </w:tabs>
        <w:suppressAutoHyphens/>
        <w:spacing w:line="236" w:lineRule="exact"/>
        <w:ind w:left="1080"/>
        <w:rPr>
          <w:szCs w:val="22"/>
        </w:rPr>
      </w:pPr>
    </w:p>
    <w:p w:rsidR="002A60BC" w:rsidRPr="00060EAA" w:rsidRDefault="002A60BC" w:rsidP="002A60BC">
      <w:pPr>
        <w:numPr>
          <w:ilvl w:val="0"/>
          <w:numId w:val="15"/>
        </w:numPr>
        <w:tabs>
          <w:tab w:val="left" w:pos="-720"/>
        </w:tabs>
        <w:suppressAutoHyphens/>
        <w:spacing w:line="236" w:lineRule="exact"/>
        <w:rPr>
          <w:szCs w:val="22"/>
        </w:rPr>
      </w:pPr>
      <w:r w:rsidRPr="00060EAA">
        <w:rPr>
          <w:szCs w:val="22"/>
        </w:rPr>
        <w:t>Send commercial overnight mail (other than U.S. Postal Service Express Mail and Priority Mail) to 9300 East Hampton Drive, Capitol Heights, MD 20743.</w:t>
      </w:r>
    </w:p>
    <w:p w:rsidR="002A60BC" w:rsidRPr="00060EAA" w:rsidRDefault="002A60BC" w:rsidP="0090555B">
      <w:pPr>
        <w:tabs>
          <w:tab w:val="left" w:pos="-720"/>
        </w:tabs>
        <w:suppressAutoHyphens/>
        <w:spacing w:line="236" w:lineRule="exact"/>
        <w:rPr>
          <w:szCs w:val="22"/>
        </w:rPr>
      </w:pPr>
    </w:p>
    <w:p w:rsidR="002A60BC" w:rsidRPr="00060EAA" w:rsidRDefault="002A60BC" w:rsidP="0090555B">
      <w:pPr>
        <w:numPr>
          <w:ilvl w:val="0"/>
          <w:numId w:val="15"/>
        </w:numPr>
        <w:tabs>
          <w:tab w:val="left" w:pos="-720"/>
        </w:tabs>
        <w:suppressAutoHyphens/>
        <w:spacing w:line="236" w:lineRule="exact"/>
        <w:rPr>
          <w:szCs w:val="22"/>
        </w:rPr>
      </w:pPr>
      <w:r w:rsidRPr="00060EAA">
        <w:rPr>
          <w:szCs w:val="22"/>
        </w:rPr>
        <w:lastRenderedPageBreak/>
        <w:t>Send U.S. Postal Service first-class, Express, and Priority mail to 445 12</w:t>
      </w:r>
      <w:r w:rsidRPr="00060EAA">
        <w:rPr>
          <w:szCs w:val="22"/>
          <w:vertAlign w:val="superscript"/>
        </w:rPr>
        <w:t>th</w:t>
      </w:r>
      <w:r w:rsidRPr="00060EAA">
        <w:rPr>
          <w:szCs w:val="22"/>
        </w:rPr>
        <w:t xml:space="preserve"> Street, SW, Washington DC 20554.</w:t>
      </w:r>
    </w:p>
    <w:p w:rsidR="002A60BC" w:rsidRDefault="002A60BC" w:rsidP="0090555B">
      <w:pPr>
        <w:pStyle w:val="BodyText2"/>
        <w:spacing w:after="0" w:line="228" w:lineRule="auto"/>
        <w:ind w:firstLine="720"/>
        <w:rPr>
          <w:szCs w:val="22"/>
        </w:rPr>
      </w:pPr>
    </w:p>
    <w:p w:rsidR="002A60BC" w:rsidRDefault="002A60BC" w:rsidP="0090555B">
      <w:pPr>
        <w:pStyle w:val="BodyText2"/>
        <w:spacing w:after="0" w:line="228" w:lineRule="auto"/>
        <w:ind w:firstLine="720"/>
        <w:rPr>
          <w:szCs w:val="22"/>
        </w:rPr>
      </w:pPr>
      <w:r w:rsidRPr="00060EAA">
        <w:rPr>
          <w:szCs w:val="22"/>
        </w:rPr>
        <w:t xml:space="preserve">Parties are requested to send one copy of their comments and reply comments to Best Copy and Printing, Inc., Portals II, 445 12th Street, S.W., Room CY-B402, Washington, D.C. 20554, (800) 378-3160, e-mail </w:t>
      </w:r>
      <w:hyperlink r:id="rId9" w:history="1">
        <w:r w:rsidRPr="00060EAA">
          <w:rPr>
            <w:rStyle w:val="Hyperlink"/>
            <w:szCs w:val="22"/>
          </w:rPr>
          <w:t>FCC@BCPIWEB.com</w:t>
        </w:r>
      </w:hyperlink>
      <w:r w:rsidRPr="00060EAA">
        <w:rPr>
          <w:szCs w:val="22"/>
        </w:rPr>
        <w:t>.</w:t>
      </w:r>
    </w:p>
    <w:p w:rsidR="0090555B" w:rsidRPr="00060EAA" w:rsidRDefault="0090555B" w:rsidP="0090555B">
      <w:pPr>
        <w:pStyle w:val="BodyText2"/>
        <w:spacing w:after="0" w:line="228" w:lineRule="auto"/>
        <w:ind w:firstLine="720"/>
        <w:rPr>
          <w:szCs w:val="22"/>
        </w:rPr>
      </w:pPr>
    </w:p>
    <w:p w:rsidR="002A60BC" w:rsidRPr="00060EAA" w:rsidRDefault="002A60BC" w:rsidP="0090555B">
      <w:pPr>
        <w:pStyle w:val="BodyText2"/>
        <w:spacing w:after="0" w:line="228" w:lineRule="auto"/>
        <w:ind w:firstLine="720"/>
        <w:rPr>
          <w:szCs w:val="22"/>
        </w:rPr>
      </w:pPr>
      <w:r w:rsidRPr="00060EAA">
        <w:rPr>
          <w:color w:val="000000"/>
          <w:szCs w:val="22"/>
        </w:rPr>
        <w:t xml:space="preserve">The requests, </w:t>
      </w:r>
      <w:r w:rsidR="008B45DA">
        <w:rPr>
          <w:color w:val="000000"/>
          <w:szCs w:val="22"/>
        </w:rPr>
        <w:t xml:space="preserve">pleadings, </w:t>
      </w:r>
      <w:r w:rsidRPr="00060EAA">
        <w:rPr>
          <w:color w:val="000000"/>
          <w:szCs w:val="22"/>
        </w:rPr>
        <w:t xml:space="preserve">and comments and reply comments filed in response to this </w:t>
      </w:r>
      <w:r w:rsidRPr="00060EAA">
        <w:rPr>
          <w:i/>
          <w:color w:val="000000"/>
          <w:szCs w:val="22"/>
        </w:rPr>
        <w:t>Public Notice</w:t>
      </w:r>
      <w:r w:rsidRPr="00060EAA">
        <w:rPr>
          <w:color w:val="000000"/>
          <w:szCs w:val="22"/>
        </w:rPr>
        <w:t xml:space="preserve"> are available for viewing via the Commission's Electronic Comment Filing System (ECFS), </w:t>
      </w:r>
      <w:hyperlink r:id="rId10" w:history="1">
        <w:r w:rsidRPr="00060EAA">
          <w:rPr>
            <w:rStyle w:val="Hyperlink"/>
            <w:szCs w:val="22"/>
          </w:rPr>
          <w:t>http://www.fcc.gov/cgb/ecfs</w:t>
        </w:r>
      </w:hyperlink>
      <w:r w:rsidRPr="00060EAA">
        <w:rPr>
          <w:szCs w:val="22"/>
        </w:rPr>
        <w:t xml:space="preserve">, </w:t>
      </w:r>
      <w:r w:rsidRPr="00060EAA">
        <w:rPr>
          <w:color w:val="000000"/>
          <w:szCs w:val="22"/>
        </w:rPr>
        <w:t xml:space="preserve">by entering the docket number, WT </w:t>
      </w:r>
      <w:r w:rsidRPr="00060EAA">
        <w:rPr>
          <w:szCs w:val="22"/>
        </w:rPr>
        <w:t>14-</w:t>
      </w:r>
      <w:r w:rsidR="007104BB">
        <w:rPr>
          <w:szCs w:val="22"/>
        </w:rPr>
        <w:t>100</w:t>
      </w:r>
      <w:r w:rsidRPr="00060EAA">
        <w:rPr>
          <w:color w:val="000000"/>
          <w:szCs w:val="22"/>
        </w:rPr>
        <w:t xml:space="preserve">.  The documents also will be available for public inspection and copying during business hours in the FCC Reference Information Center, Portals II, 445 12th Street S.W., Room CY-A257, Washington, D.C. 20554. </w:t>
      </w:r>
      <w:r>
        <w:rPr>
          <w:color w:val="000000"/>
          <w:szCs w:val="22"/>
        </w:rPr>
        <w:t xml:space="preserve"> </w:t>
      </w:r>
      <w:r w:rsidRPr="00060EAA">
        <w:rPr>
          <w:color w:val="000000"/>
          <w:szCs w:val="22"/>
        </w:rPr>
        <w:t>They may also be purchased from Best Copy and Printing</w:t>
      </w:r>
      <w:bookmarkStart w:id="3" w:name="SR;1282"/>
      <w:bookmarkStart w:id="4" w:name="SR;1283"/>
      <w:bookmarkStart w:id="5" w:name="SR;1285"/>
      <w:bookmarkStart w:id="6" w:name="SearchTerm"/>
      <w:bookmarkEnd w:id="3"/>
      <w:bookmarkEnd w:id="4"/>
      <w:bookmarkEnd w:id="5"/>
      <w:r w:rsidRPr="00060EAA">
        <w:rPr>
          <w:color w:val="000000"/>
          <w:szCs w:val="22"/>
        </w:rPr>
        <w:t>, Inc., telephone (800) 378-3160, facsimile</w:t>
      </w:r>
      <w:bookmarkStart w:id="7" w:name="SR;1291"/>
      <w:bookmarkEnd w:id="6"/>
      <w:bookmarkEnd w:id="7"/>
      <w:r w:rsidRPr="00060EAA">
        <w:rPr>
          <w:color w:val="000000"/>
          <w:szCs w:val="22"/>
        </w:rPr>
        <w:t xml:space="preserve"> (202) 488-5563, TTY (202) 488-5562, e-mail FCC@BCPIWEB.com.</w:t>
      </w:r>
    </w:p>
    <w:p w:rsidR="0090555B" w:rsidRPr="00060EAA" w:rsidRDefault="0090555B" w:rsidP="0090555B">
      <w:pPr>
        <w:rPr>
          <w:szCs w:val="22"/>
        </w:rPr>
      </w:pPr>
    </w:p>
    <w:p w:rsidR="002A60BC" w:rsidRPr="00060EAA" w:rsidRDefault="002A60BC" w:rsidP="0090555B">
      <w:pPr>
        <w:ind w:firstLine="720"/>
        <w:rPr>
          <w:szCs w:val="22"/>
        </w:rPr>
      </w:pPr>
      <w:r w:rsidRPr="00060EAA">
        <w:rPr>
          <w:szCs w:val="22"/>
        </w:rPr>
        <w:t xml:space="preserve">Alternate formats of this </w:t>
      </w:r>
      <w:r w:rsidRPr="00060EAA">
        <w:rPr>
          <w:i/>
          <w:szCs w:val="22"/>
        </w:rPr>
        <w:t>Public Notice</w:t>
      </w:r>
      <w:r w:rsidRPr="00060EAA">
        <w:rPr>
          <w:szCs w:val="22"/>
        </w:rPr>
        <w:t xml:space="preserve"> (computer diskette, large print, audio recording, and Braille) are available to persons with disabilities by contacting the Consumer &amp; Governmental Affairs Bureau at (202) 418-0530 (voice), (202) 418-0432 (TTY), or se</w:t>
      </w:r>
      <w:r w:rsidR="0090555B">
        <w:rPr>
          <w:szCs w:val="22"/>
        </w:rPr>
        <w:t>nd an e-mail to fcc504@fcc.gov.</w:t>
      </w:r>
    </w:p>
    <w:p w:rsidR="002A60BC" w:rsidRPr="00060EAA" w:rsidRDefault="002A60BC" w:rsidP="0090555B">
      <w:pPr>
        <w:rPr>
          <w:szCs w:val="22"/>
        </w:rPr>
      </w:pPr>
    </w:p>
    <w:p w:rsidR="000D52DE" w:rsidRPr="000D52DE" w:rsidRDefault="002A60BC" w:rsidP="0090555B">
      <w:pPr>
        <w:widowControl w:val="0"/>
        <w:suppressAutoHyphens/>
        <w:spacing w:line="228" w:lineRule="auto"/>
        <w:ind w:firstLine="720"/>
        <w:rPr>
          <w:snapToGrid w:val="0"/>
          <w:spacing w:val="-2"/>
          <w:szCs w:val="22"/>
        </w:rPr>
      </w:pPr>
      <w:r w:rsidRPr="00060EAA">
        <w:rPr>
          <w:szCs w:val="22"/>
        </w:rPr>
        <w:t xml:space="preserve">This proceeding has been designated as a </w:t>
      </w:r>
      <w:r w:rsidRPr="00060EAA">
        <w:rPr>
          <w:szCs w:val="22"/>
        </w:rPr>
        <w:lastRenderedPageBreak/>
        <w:t>“permit-but-disclose” proceeding in</w:t>
      </w:r>
      <w:r w:rsidR="0090555B">
        <w:rPr>
          <w:szCs w:val="22"/>
        </w:rPr>
        <w:t xml:space="preserve"> accordance with the Commission’</w:t>
      </w:r>
      <w:r w:rsidRPr="00060EAA">
        <w:rPr>
          <w:szCs w:val="22"/>
        </w:rPr>
        <w:t xml:space="preserve">s </w:t>
      </w:r>
      <w:r w:rsidRPr="00060EAA">
        <w:rPr>
          <w:i/>
          <w:szCs w:val="22"/>
        </w:rPr>
        <w:t>ex parte</w:t>
      </w:r>
      <w:r w:rsidRPr="00060EAA">
        <w:rPr>
          <w:szCs w:val="22"/>
        </w:rPr>
        <w:t xml:space="preserve"> rules.</w:t>
      </w:r>
      <w:r w:rsidRPr="00060EAA">
        <w:rPr>
          <w:szCs w:val="22"/>
          <w:vertAlign w:val="superscript"/>
        </w:rPr>
        <w:footnoteReference w:id="13"/>
      </w:r>
      <w:r w:rsidRPr="00060EAA">
        <w:rPr>
          <w:szCs w:val="22"/>
        </w:rPr>
        <w:t xml:space="preserve">  Persons making </w:t>
      </w:r>
      <w:r w:rsidRPr="00060EAA">
        <w:rPr>
          <w:i/>
          <w:szCs w:val="22"/>
        </w:rPr>
        <w:t xml:space="preserve">ex parte </w:t>
      </w:r>
      <w:r w:rsidRPr="00060EAA">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060EAA">
        <w:rPr>
          <w:i/>
          <w:iCs/>
          <w:szCs w:val="22"/>
        </w:rPr>
        <w:t xml:space="preserve">ex parte </w:t>
      </w:r>
      <w:r w:rsidRPr="00060EAA">
        <w:rPr>
          <w:szCs w:val="22"/>
        </w:rPr>
        <w:t xml:space="preserve">presentations are reminded that memoranda summarizing the presentation must (1) list all persons attending or otherwise participating in the meeting at which the </w:t>
      </w:r>
      <w:r w:rsidRPr="00060EAA">
        <w:rPr>
          <w:i/>
          <w:iCs/>
          <w:szCs w:val="22"/>
        </w:rPr>
        <w:t xml:space="preserve">ex parte </w:t>
      </w:r>
      <w:r w:rsidRPr="00060EAA">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060EAA">
        <w:rPr>
          <w:i/>
          <w:iCs/>
          <w:szCs w:val="22"/>
        </w:rPr>
        <w:t xml:space="preserve">ex parte </w:t>
      </w:r>
      <w:r w:rsidRPr="00060EAA">
        <w:rPr>
          <w:szCs w:val="22"/>
        </w:rPr>
        <w:t xml:space="preserve">meetings are deemed to be written </w:t>
      </w:r>
      <w:r w:rsidRPr="00060EAA">
        <w:rPr>
          <w:i/>
          <w:iCs/>
          <w:szCs w:val="22"/>
        </w:rPr>
        <w:t>ex parte</w:t>
      </w:r>
      <w:r w:rsidRPr="00060EAA">
        <w:rPr>
          <w:szCs w:val="22"/>
        </w:rPr>
        <w:t xml:space="preserve"> presentations and must be filed consistent with rule 1.1206(b).  In proceedings governed by rule 1.49(f) or for which the Commission has made available a method of electronic filing, written </w:t>
      </w:r>
      <w:r w:rsidRPr="00060EAA">
        <w:rPr>
          <w:i/>
          <w:iCs/>
          <w:szCs w:val="22"/>
        </w:rPr>
        <w:t xml:space="preserve">ex parte </w:t>
      </w:r>
      <w:r w:rsidRPr="00060EAA">
        <w:rPr>
          <w:szCs w:val="22"/>
        </w:rPr>
        <w:t xml:space="preserve">presentations and memoranda summarizing oral </w:t>
      </w:r>
      <w:r w:rsidRPr="00060EAA">
        <w:rPr>
          <w:i/>
          <w:iCs/>
          <w:szCs w:val="22"/>
        </w:rPr>
        <w:t xml:space="preserve">ex parte </w:t>
      </w:r>
      <w:r w:rsidRPr="00060EAA">
        <w:rPr>
          <w:szCs w:val="22"/>
        </w:rPr>
        <w:t xml:space="preserve">presentations, </w:t>
      </w:r>
      <w:r w:rsidRPr="00060EAA">
        <w:rPr>
          <w:szCs w:val="22"/>
        </w:rPr>
        <w:lastRenderedPageBreak/>
        <w:t>and all attachments thereto, must be filed through the electronic comment filing system available for that proceeding, and must be filed in their native format (</w:t>
      </w:r>
      <w:r w:rsidRPr="00060EAA">
        <w:rPr>
          <w:i/>
          <w:iCs/>
          <w:szCs w:val="22"/>
        </w:rPr>
        <w:t>e.g.</w:t>
      </w:r>
      <w:r w:rsidRPr="00060EAA">
        <w:rPr>
          <w:szCs w:val="22"/>
        </w:rPr>
        <w:t>, .doc, .xml, .</w:t>
      </w:r>
      <w:proofErr w:type="spellStart"/>
      <w:r w:rsidRPr="00060EAA">
        <w:rPr>
          <w:szCs w:val="22"/>
        </w:rPr>
        <w:t>ppt</w:t>
      </w:r>
      <w:proofErr w:type="spellEnd"/>
      <w:r w:rsidRPr="00060EAA">
        <w:rPr>
          <w:szCs w:val="22"/>
        </w:rPr>
        <w:t xml:space="preserve">, searchable .pdf).  Participants in this proceeding should familiarize themselves with the Commission’s </w:t>
      </w:r>
      <w:r w:rsidRPr="00060EAA">
        <w:rPr>
          <w:i/>
          <w:iCs/>
          <w:szCs w:val="22"/>
        </w:rPr>
        <w:t xml:space="preserve">ex parte </w:t>
      </w:r>
      <w:r w:rsidRPr="00060EAA">
        <w:rPr>
          <w:szCs w:val="22"/>
        </w:rPr>
        <w:t>rules.</w:t>
      </w:r>
    </w:p>
    <w:p w:rsidR="000D52DE" w:rsidRPr="000D52DE" w:rsidRDefault="000D52DE" w:rsidP="000D52DE">
      <w:pPr>
        <w:widowControl w:val="0"/>
        <w:tabs>
          <w:tab w:val="right" w:pos="9360"/>
        </w:tabs>
        <w:suppressAutoHyphens/>
        <w:spacing w:line="228" w:lineRule="auto"/>
        <w:ind w:firstLine="720"/>
        <w:rPr>
          <w:snapToGrid w:val="0"/>
          <w:spacing w:val="-2"/>
          <w:szCs w:val="22"/>
        </w:rPr>
      </w:pPr>
    </w:p>
    <w:p w:rsidR="000D52DE" w:rsidRPr="000D52DE" w:rsidRDefault="000D52DE" w:rsidP="000D52DE">
      <w:pPr>
        <w:widowControl w:val="0"/>
        <w:suppressAutoHyphens/>
        <w:spacing w:line="228" w:lineRule="auto"/>
        <w:ind w:firstLine="720"/>
        <w:rPr>
          <w:snapToGrid w:val="0"/>
          <w:spacing w:val="-2"/>
          <w:szCs w:val="22"/>
        </w:rPr>
      </w:pPr>
      <w:r w:rsidRPr="000D52DE">
        <w:rPr>
          <w:snapToGrid w:val="0"/>
          <w:spacing w:val="-2"/>
          <w:szCs w:val="22"/>
        </w:rPr>
        <w:t xml:space="preserve">For further information, contact Mr. </w:t>
      </w:r>
      <w:r w:rsidR="002139CA">
        <w:rPr>
          <w:snapToGrid w:val="0"/>
          <w:spacing w:val="-2"/>
          <w:szCs w:val="22"/>
        </w:rPr>
        <w:t>Paul Moon</w:t>
      </w:r>
      <w:r w:rsidRPr="000D52DE">
        <w:rPr>
          <w:snapToGrid w:val="0"/>
          <w:spacing w:val="-2"/>
          <w:szCs w:val="22"/>
        </w:rPr>
        <w:t xml:space="preserve"> of the Wireless Telecommunications Bureau, Mobility Division, at (202) 418-</w:t>
      </w:r>
      <w:r w:rsidR="002139CA">
        <w:rPr>
          <w:snapToGrid w:val="0"/>
          <w:spacing w:val="-2"/>
          <w:szCs w:val="22"/>
        </w:rPr>
        <w:t>179</w:t>
      </w:r>
      <w:r w:rsidR="0090555B">
        <w:rPr>
          <w:snapToGrid w:val="0"/>
          <w:spacing w:val="-2"/>
          <w:szCs w:val="22"/>
        </w:rPr>
        <w:t xml:space="preserve">3, </w:t>
      </w:r>
      <w:r w:rsidR="002139CA">
        <w:rPr>
          <w:snapToGrid w:val="0"/>
          <w:spacing w:val="-2"/>
          <w:szCs w:val="22"/>
        </w:rPr>
        <w:t>Paul.Moon</w:t>
      </w:r>
      <w:r w:rsidRPr="000D52DE">
        <w:rPr>
          <w:snapToGrid w:val="0"/>
          <w:spacing w:val="-2"/>
          <w:szCs w:val="22"/>
        </w:rPr>
        <w:t>@fcc.gov.</w:t>
      </w:r>
    </w:p>
    <w:p w:rsidR="000D52DE" w:rsidRPr="000D52DE" w:rsidRDefault="000D52DE" w:rsidP="000D52DE">
      <w:pPr>
        <w:widowControl w:val="0"/>
        <w:tabs>
          <w:tab w:val="right" w:pos="9360"/>
        </w:tabs>
        <w:suppressAutoHyphens/>
        <w:spacing w:line="228" w:lineRule="auto"/>
        <w:ind w:firstLine="720"/>
        <w:rPr>
          <w:snapToGrid w:val="0"/>
          <w:spacing w:val="-2"/>
          <w:szCs w:val="22"/>
        </w:rPr>
      </w:pPr>
    </w:p>
    <w:p w:rsidR="000D52DE" w:rsidRPr="000D52DE" w:rsidRDefault="000D52DE" w:rsidP="000D52DE">
      <w:pPr>
        <w:widowControl w:val="0"/>
        <w:tabs>
          <w:tab w:val="right" w:pos="9360"/>
        </w:tabs>
        <w:suppressAutoHyphens/>
        <w:spacing w:line="228" w:lineRule="auto"/>
        <w:ind w:firstLine="720"/>
        <w:rPr>
          <w:snapToGrid w:val="0"/>
          <w:spacing w:val="-2"/>
          <w:szCs w:val="22"/>
        </w:rPr>
      </w:pPr>
      <w:r w:rsidRPr="000D52DE">
        <w:rPr>
          <w:snapToGrid w:val="0"/>
          <w:spacing w:val="-2"/>
          <w:szCs w:val="22"/>
        </w:rPr>
        <w:t>Action by the Deputy Chief, Mobility Division, Wireless Telecommunications Bureau.</w:t>
      </w:r>
    </w:p>
    <w:p w:rsidR="000D52DE" w:rsidRPr="000D52DE" w:rsidRDefault="000D52DE" w:rsidP="000D52DE">
      <w:pPr>
        <w:widowControl w:val="0"/>
        <w:tabs>
          <w:tab w:val="right" w:pos="9360"/>
        </w:tabs>
        <w:suppressAutoHyphens/>
        <w:spacing w:line="228" w:lineRule="auto"/>
        <w:ind w:firstLine="720"/>
        <w:rPr>
          <w:snapToGrid w:val="0"/>
          <w:spacing w:val="-2"/>
          <w:szCs w:val="22"/>
        </w:rPr>
      </w:pPr>
    </w:p>
    <w:p w:rsidR="000D52DE" w:rsidRPr="000D52DE" w:rsidRDefault="000D52DE" w:rsidP="000D52DE">
      <w:pPr>
        <w:widowControl w:val="0"/>
        <w:tabs>
          <w:tab w:val="right" w:pos="9360"/>
        </w:tabs>
        <w:suppressAutoHyphens/>
        <w:spacing w:line="228" w:lineRule="auto"/>
        <w:ind w:firstLine="720"/>
        <w:jc w:val="center"/>
        <w:rPr>
          <w:snapToGrid w:val="0"/>
          <w:spacing w:val="-2"/>
          <w:szCs w:val="22"/>
        </w:rPr>
      </w:pPr>
      <w:r w:rsidRPr="000D52DE">
        <w:rPr>
          <w:snapToGrid w:val="0"/>
          <w:spacing w:val="-2"/>
          <w:szCs w:val="22"/>
        </w:rPr>
        <w:t>- FCC -</w:t>
      </w:r>
    </w:p>
    <w:sectPr w:rsidR="000D52DE" w:rsidRPr="000D52DE">
      <w:type w:val="continuous"/>
      <w:pgSz w:w="12240" w:h="15840" w:code="1"/>
      <w:pgMar w:top="720" w:right="1440" w:bottom="1440" w:left="1440" w:header="72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C9E" w:rsidRDefault="00AC1C9E">
      <w:r>
        <w:separator/>
      </w:r>
    </w:p>
  </w:endnote>
  <w:endnote w:type="continuationSeparator" w:id="0">
    <w:p w:rsidR="00AC1C9E" w:rsidRDefault="00AC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ews Gothic MT">
    <w:altName w:val="Arial"/>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6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373614"/>
      <w:docPartObj>
        <w:docPartGallery w:val="Page Numbers (Bottom of Page)"/>
        <w:docPartUnique/>
      </w:docPartObj>
    </w:sdtPr>
    <w:sdtEndPr>
      <w:rPr>
        <w:noProof/>
      </w:rPr>
    </w:sdtEndPr>
    <w:sdtContent>
      <w:p w:rsidR="00EE1645" w:rsidRDefault="00EE1645">
        <w:pPr>
          <w:pStyle w:val="Footer"/>
          <w:jc w:val="center"/>
        </w:pPr>
        <w:r>
          <w:fldChar w:fldCharType="begin"/>
        </w:r>
        <w:r>
          <w:instrText xml:space="preserve"> PAGE   \* MERGEFORMAT </w:instrText>
        </w:r>
        <w:r>
          <w:fldChar w:fldCharType="separate"/>
        </w:r>
        <w:r w:rsidR="008A7BA2">
          <w:rPr>
            <w:noProof/>
          </w:rPr>
          <w:t>2</w:t>
        </w:r>
        <w:r>
          <w:rPr>
            <w:noProof/>
          </w:rPr>
          <w:fldChar w:fldCharType="end"/>
        </w:r>
      </w:p>
    </w:sdtContent>
  </w:sdt>
  <w:p w:rsidR="00EE1645" w:rsidRDefault="00EE1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C9E" w:rsidRDefault="00AC1C9E">
      <w:r>
        <w:separator/>
      </w:r>
    </w:p>
  </w:footnote>
  <w:footnote w:type="continuationSeparator" w:id="0">
    <w:p w:rsidR="00AC1C9E" w:rsidRDefault="00AC1C9E">
      <w:r>
        <w:continuationSeparator/>
      </w:r>
    </w:p>
  </w:footnote>
  <w:footnote w:id="1">
    <w:p w:rsidR="00EE1645" w:rsidRPr="002F556C" w:rsidRDefault="00EE1645">
      <w:pPr>
        <w:pStyle w:val="FootnoteText"/>
        <w:rPr>
          <w:sz w:val="20"/>
        </w:rPr>
      </w:pPr>
      <w:r>
        <w:rPr>
          <w:rStyle w:val="FootnoteReference"/>
        </w:rPr>
        <w:footnoteRef/>
      </w:r>
      <w:r>
        <w:t xml:space="preserve"> </w:t>
      </w:r>
      <w:r w:rsidRPr="002139CA">
        <w:rPr>
          <w:sz w:val="20"/>
        </w:rPr>
        <w:t>FCC File Nos. 0005974432, 0005974434, 0005974435, 0005974741, 0005981686, 0005981690, 0005981692, 0005983155, 0005983162, 0005989998, 0006038074, 0006038080</w:t>
      </w:r>
      <w:r>
        <w:rPr>
          <w:sz w:val="20"/>
        </w:rPr>
        <w:t>.  Application FCC File No. 0005989998 was withdrawn on March 4, 2014.</w:t>
      </w:r>
    </w:p>
  </w:footnote>
  <w:footnote w:id="2">
    <w:p w:rsidR="00EE1645" w:rsidRPr="002139CA" w:rsidRDefault="00EE1645" w:rsidP="001F4C44">
      <w:pPr>
        <w:pStyle w:val="FootnoteText"/>
        <w:rPr>
          <w:sz w:val="20"/>
        </w:rPr>
      </w:pPr>
      <w:r w:rsidRPr="002139CA">
        <w:rPr>
          <w:rStyle w:val="FootnoteReference"/>
          <w:sz w:val="20"/>
        </w:rPr>
        <w:footnoteRef/>
      </w:r>
      <w:r w:rsidRPr="002139CA">
        <w:rPr>
          <w:sz w:val="20"/>
        </w:rPr>
        <w:t xml:space="preserve"> FCC File Nos. 0006201203, 0006201205, 0006201206, 0006201208, 0006201210, 0006201211, 0006201213, 0006201214, 0006201216, 0006201217, 0006201220, 0006201221, 0006201222, 0006201223, 0006201224, 0006201226, 0006201227, 0006201229, 0006201230, 0006201231, 0006201232, 0006201233, 0006201234, 0006201235, 0006201237, 0006201238, 0006201239, 0006201240, 0006201241, 0006201242, 0006201243, 0006201244, 0006201371, 0006201372, 0006201373, 0006201375, 0006201376, 0006201377, 0006201378, 0006201379, 0006201380, 0006201381, 0006201382, 0006201383, 0006201384, 0006201385, 0006201386, 0006201387, 0006201389, 0006201390, 0006201391, 0006201392, 0006201393, 0006201394, 0006201395, 0006201396, 0006201397, 0006201398, 0006201400, 0006201401, 0006202421, 0006202425, 0006202430, 0006202434, 0006202441, 0006202446, 0006202451, 0006202454, 0006202458, 0006202461, 0006202464, 0006202471, 0006202475, 0006203109, 0006203115, 0006203116, 0006203118, 0006203119, 0006203121, 0006203122, 0006203124, 0006203126, 0006203132, 0006203134, 0006203135, 0006203136, 0006203137, 0006203139, 0006203140, 0006203141, 0006203144, 0006203145, 0006203146, 0006203147, 0006203148, 0006204656, 0006204657, 0006204660, 0006204662.</w:t>
      </w:r>
    </w:p>
  </w:footnote>
  <w:footnote w:id="3">
    <w:p w:rsidR="00EE1645" w:rsidRPr="002139CA" w:rsidRDefault="00EE1645" w:rsidP="000D52DE">
      <w:pPr>
        <w:pStyle w:val="FootnoteText"/>
        <w:rPr>
          <w:spacing w:val="-2"/>
          <w:sz w:val="20"/>
        </w:rPr>
      </w:pPr>
      <w:r w:rsidRPr="002139CA">
        <w:rPr>
          <w:rStyle w:val="FootnoteReference"/>
          <w:spacing w:val="-2"/>
          <w:sz w:val="20"/>
        </w:rPr>
        <w:footnoteRef/>
      </w:r>
      <w:r w:rsidRPr="002139CA">
        <w:rPr>
          <w:spacing w:val="-2"/>
          <w:sz w:val="20"/>
        </w:rPr>
        <w:t xml:space="preserve"> 47 C.F.R. § 90.617(c).</w:t>
      </w:r>
    </w:p>
  </w:footnote>
  <w:footnote w:id="4">
    <w:p w:rsidR="00EE1645" w:rsidRPr="002139CA" w:rsidRDefault="00EE1645">
      <w:pPr>
        <w:pStyle w:val="FootnoteText"/>
        <w:rPr>
          <w:sz w:val="20"/>
        </w:rPr>
      </w:pPr>
      <w:r w:rsidRPr="002139CA">
        <w:rPr>
          <w:rStyle w:val="FootnoteReference"/>
          <w:sz w:val="20"/>
        </w:rPr>
        <w:footnoteRef/>
      </w:r>
      <w:r w:rsidRPr="002139CA">
        <w:rPr>
          <w:sz w:val="20"/>
        </w:rPr>
        <w:t xml:space="preserve"> </w:t>
      </w:r>
      <w:r>
        <w:rPr>
          <w:i/>
          <w:sz w:val="20"/>
        </w:rPr>
        <w:t xml:space="preserve">See </w:t>
      </w:r>
      <w:r w:rsidRPr="002139CA">
        <w:rPr>
          <w:spacing w:val="-2"/>
          <w:sz w:val="20"/>
        </w:rPr>
        <w:t>47 C.F.R. § 90.7.</w:t>
      </w:r>
    </w:p>
  </w:footnote>
  <w:footnote w:id="5">
    <w:p w:rsidR="00EE1645" w:rsidRPr="00283E87" w:rsidRDefault="00EE1645" w:rsidP="00283E87">
      <w:pPr>
        <w:pStyle w:val="FootnoteText"/>
        <w:jc w:val="both"/>
        <w:rPr>
          <w:sz w:val="20"/>
        </w:rPr>
      </w:pPr>
      <w:r w:rsidRPr="00DA4D8B">
        <w:rPr>
          <w:rStyle w:val="FootnoteReference"/>
          <w:sz w:val="20"/>
        </w:rPr>
        <w:footnoteRef/>
      </w:r>
      <w:r w:rsidRPr="00DA4D8B">
        <w:rPr>
          <w:sz w:val="20"/>
        </w:rPr>
        <w:t xml:space="preserve"> </w:t>
      </w:r>
      <w:r w:rsidRPr="00DA4D8B">
        <w:rPr>
          <w:i/>
          <w:sz w:val="20"/>
        </w:rPr>
        <w:t xml:space="preserve">See </w:t>
      </w:r>
      <w:r w:rsidR="00237DC4">
        <w:rPr>
          <w:sz w:val="20"/>
        </w:rPr>
        <w:t>Request for Waiver</w:t>
      </w:r>
      <w:r w:rsidR="00237DC4" w:rsidRPr="00DA4D8B">
        <w:rPr>
          <w:sz w:val="20"/>
        </w:rPr>
        <w:t xml:space="preserve"> </w:t>
      </w:r>
      <w:r w:rsidRPr="00DA4D8B">
        <w:rPr>
          <w:sz w:val="20"/>
        </w:rPr>
        <w:t xml:space="preserve">at </w:t>
      </w:r>
      <w:r>
        <w:rPr>
          <w:sz w:val="20"/>
        </w:rPr>
        <w:t>1-</w:t>
      </w:r>
      <w:r w:rsidRPr="00DA4D8B">
        <w:rPr>
          <w:sz w:val="20"/>
        </w:rPr>
        <w:t>2.</w:t>
      </w:r>
      <w:r>
        <w:rPr>
          <w:sz w:val="20"/>
        </w:rPr>
        <w:t xml:space="preserve">  SNG is willing to accept a condition on its licenses that the channels may be used only for the private, internal communications needs of Part 90 eligible users.  </w:t>
      </w:r>
      <w:r>
        <w:rPr>
          <w:i/>
          <w:sz w:val="20"/>
        </w:rPr>
        <w:t>See id.</w:t>
      </w:r>
      <w:r>
        <w:rPr>
          <w:sz w:val="20"/>
        </w:rPr>
        <w:t xml:space="preserve"> at 5-6.</w:t>
      </w:r>
    </w:p>
  </w:footnote>
  <w:footnote w:id="6">
    <w:p w:rsidR="00EE1645" w:rsidRPr="00C1549C" w:rsidRDefault="00EE1645">
      <w:pPr>
        <w:pStyle w:val="FootnoteText"/>
        <w:rPr>
          <w:sz w:val="20"/>
        </w:rPr>
      </w:pPr>
      <w:r>
        <w:rPr>
          <w:rStyle w:val="FootnoteReference"/>
        </w:rPr>
        <w:footnoteRef/>
      </w:r>
      <w:r>
        <w:t xml:space="preserve"> </w:t>
      </w:r>
      <w:r>
        <w:rPr>
          <w:i/>
          <w:sz w:val="20"/>
        </w:rPr>
        <w:t>See id.</w:t>
      </w:r>
      <w:r>
        <w:rPr>
          <w:sz w:val="20"/>
        </w:rPr>
        <w:t xml:space="preserve"> at 2-3.</w:t>
      </w:r>
    </w:p>
  </w:footnote>
  <w:footnote w:id="7">
    <w:p w:rsidR="00EE1645" w:rsidRDefault="00EE1645">
      <w:pPr>
        <w:pStyle w:val="FootnoteText"/>
      </w:pPr>
      <w:r>
        <w:rPr>
          <w:rStyle w:val="FootnoteReference"/>
        </w:rPr>
        <w:footnoteRef/>
      </w:r>
      <w:r>
        <w:t xml:space="preserve"> </w:t>
      </w:r>
      <w:r>
        <w:rPr>
          <w:i/>
          <w:sz w:val="20"/>
        </w:rPr>
        <w:t>See id.</w:t>
      </w:r>
      <w:r>
        <w:rPr>
          <w:sz w:val="20"/>
        </w:rPr>
        <w:t xml:space="preserve"> at 4-6.</w:t>
      </w:r>
    </w:p>
  </w:footnote>
  <w:footnote w:id="8">
    <w:p w:rsidR="00EE1645" w:rsidRPr="00283E87" w:rsidRDefault="00EE1645">
      <w:pPr>
        <w:pStyle w:val="FootnoteText"/>
      </w:pPr>
      <w:r>
        <w:rPr>
          <w:rStyle w:val="FootnoteReference"/>
        </w:rPr>
        <w:footnoteRef/>
      </w:r>
      <w:r>
        <w:t xml:space="preserve"> </w:t>
      </w:r>
      <w:r w:rsidRPr="002139CA">
        <w:rPr>
          <w:sz w:val="20"/>
        </w:rPr>
        <w:t xml:space="preserve">Letter from Mark E. Crosby, President/CEO, </w:t>
      </w:r>
      <w:proofErr w:type="gramStart"/>
      <w:r w:rsidRPr="002139CA">
        <w:rPr>
          <w:sz w:val="20"/>
        </w:rPr>
        <w:t>Enterprise</w:t>
      </w:r>
      <w:proofErr w:type="gramEnd"/>
      <w:r w:rsidRPr="002139CA">
        <w:rPr>
          <w:sz w:val="20"/>
        </w:rPr>
        <w:t xml:space="preserve"> Wireless Alliance to Marlene H. Dortch, Secretary, FCC (filed </w:t>
      </w:r>
      <w:r>
        <w:rPr>
          <w:sz w:val="20"/>
        </w:rPr>
        <w:t>Jan</w:t>
      </w:r>
      <w:r w:rsidRPr="002139CA">
        <w:rPr>
          <w:sz w:val="20"/>
        </w:rPr>
        <w:t xml:space="preserve">. </w:t>
      </w:r>
      <w:r>
        <w:rPr>
          <w:sz w:val="20"/>
        </w:rPr>
        <w:t>6</w:t>
      </w:r>
      <w:r w:rsidRPr="002139CA">
        <w:rPr>
          <w:sz w:val="20"/>
        </w:rPr>
        <w:t>, 2014).</w:t>
      </w:r>
      <w:r>
        <w:rPr>
          <w:sz w:val="20"/>
        </w:rPr>
        <w:t xml:space="preserve">  EWA also objected to similar applications filed by other parties.  </w:t>
      </w:r>
      <w:r>
        <w:rPr>
          <w:i/>
          <w:sz w:val="20"/>
        </w:rPr>
        <w:t xml:space="preserve">See </w:t>
      </w:r>
      <w:r>
        <w:rPr>
          <w:sz w:val="20"/>
        </w:rPr>
        <w:t xml:space="preserve">FCC File Nos. 0005974431, 0005974433, 0004974740, and 0006038081 (filed by </w:t>
      </w:r>
      <w:proofErr w:type="spellStart"/>
      <w:r>
        <w:rPr>
          <w:sz w:val="20"/>
        </w:rPr>
        <w:t>Sharmel</w:t>
      </w:r>
      <w:proofErr w:type="spellEnd"/>
      <w:r>
        <w:rPr>
          <w:sz w:val="20"/>
        </w:rPr>
        <w:t xml:space="preserve">, LLC); 0005974742 and 0005981684 (filed by </w:t>
      </w:r>
      <w:proofErr w:type="spellStart"/>
      <w:r>
        <w:rPr>
          <w:sz w:val="20"/>
        </w:rPr>
        <w:t>Finken</w:t>
      </w:r>
      <w:proofErr w:type="spellEnd"/>
      <w:r>
        <w:rPr>
          <w:sz w:val="20"/>
        </w:rPr>
        <w:t xml:space="preserve"> Tracking &amp; </w:t>
      </w:r>
      <w:proofErr w:type="spellStart"/>
      <w:r>
        <w:rPr>
          <w:sz w:val="20"/>
        </w:rPr>
        <w:t>Comm</w:t>
      </w:r>
      <w:proofErr w:type="spellEnd"/>
      <w:r>
        <w:rPr>
          <w:sz w:val="20"/>
        </w:rPr>
        <w:t xml:space="preserve">, Inc.); 0005983156 and 0005987126 (filed by CCD900 Communications, Inc.); 0005987130, 0006038055, 0006038058, 0006038059, 0006038062, 0006038063, 0006038065, 0006038066, 0006038069, 0006038071, 0006038072, 0006039615, 0006039616, 0006039617, 0006039620, 0006039622, 0006039624, 0006039627, 0006039628, and 0006039629 (filed by </w:t>
      </w:r>
      <w:proofErr w:type="spellStart"/>
      <w:r>
        <w:rPr>
          <w:sz w:val="20"/>
        </w:rPr>
        <w:t>Matly</w:t>
      </w:r>
      <w:proofErr w:type="spellEnd"/>
      <w:r>
        <w:rPr>
          <w:sz w:val="20"/>
        </w:rPr>
        <w:t xml:space="preserve">, Inc.); 0006037076, 0006038077, and 0006038078 (filed by EZ-Raven </w:t>
      </w:r>
      <w:proofErr w:type="spellStart"/>
      <w:r>
        <w:rPr>
          <w:sz w:val="20"/>
        </w:rPr>
        <w:t>Comms</w:t>
      </w:r>
      <w:proofErr w:type="spellEnd"/>
      <w:r>
        <w:rPr>
          <w:sz w:val="20"/>
        </w:rPr>
        <w:t xml:space="preserve">, LLC); and 0006038075 (filed by </w:t>
      </w:r>
      <w:proofErr w:type="spellStart"/>
      <w:r>
        <w:rPr>
          <w:sz w:val="20"/>
        </w:rPr>
        <w:t>Mellcell</w:t>
      </w:r>
      <w:proofErr w:type="spellEnd"/>
      <w:r>
        <w:rPr>
          <w:sz w:val="20"/>
        </w:rPr>
        <w:t>, Inc.).  Application FCC File No. 0006037136 was withdrawn on March 4, 2014.</w:t>
      </w:r>
    </w:p>
  </w:footnote>
  <w:footnote w:id="9">
    <w:p w:rsidR="00EE1645" w:rsidRPr="002139CA" w:rsidRDefault="00EE1645">
      <w:pPr>
        <w:pStyle w:val="FootnoteText"/>
        <w:rPr>
          <w:sz w:val="20"/>
        </w:rPr>
      </w:pPr>
      <w:r w:rsidRPr="002139CA">
        <w:rPr>
          <w:rStyle w:val="FootnoteReference"/>
          <w:sz w:val="20"/>
        </w:rPr>
        <w:footnoteRef/>
      </w:r>
      <w:r w:rsidRPr="002139CA">
        <w:rPr>
          <w:sz w:val="20"/>
        </w:rPr>
        <w:t xml:space="preserve"> Letter from Mark E. Crosby, President/CEO, </w:t>
      </w:r>
      <w:proofErr w:type="gramStart"/>
      <w:r w:rsidRPr="002139CA">
        <w:rPr>
          <w:sz w:val="20"/>
        </w:rPr>
        <w:t>Enterprise</w:t>
      </w:r>
      <w:proofErr w:type="gramEnd"/>
      <w:r w:rsidRPr="002139CA">
        <w:rPr>
          <w:sz w:val="20"/>
        </w:rPr>
        <w:t xml:space="preserve"> Wireless Alliance to Marlene H. Dortch, Secretary, FCC (filed Apr. 8, 2014).</w:t>
      </w:r>
    </w:p>
  </w:footnote>
  <w:footnote w:id="10">
    <w:p w:rsidR="00EE1645" w:rsidRPr="002139CA" w:rsidRDefault="00EE1645">
      <w:pPr>
        <w:pStyle w:val="FootnoteText"/>
        <w:rPr>
          <w:sz w:val="20"/>
        </w:rPr>
      </w:pPr>
      <w:r w:rsidRPr="002139CA">
        <w:rPr>
          <w:rStyle w:val="FootnoteReference"/>
          <w:sz w:val="20"/>
        </w:rPr>
        <w:footnoteRef/>
      </w:r>
      <w:r w:rsidRPr="002139CA">
        <w:rPr>
          <w:sz w:val="20"/>
        </w:rPr>
        <w:t xml:space="preserve"> Reply to EWA’s Opposition, FCC File No. 0006203140 </w:t>
      </w:r>
      <w:r w:rsidRPr="002139CA">
        <w:rPr>
          <w:i/>
          <w:sz w:val="20"/>
        </w:rPr>
        <w:t>et al.</w:t>
      </w:r>
      <w:r w:rsidRPr="002139CA">
        <w:rPr>
          <w:sz w:val="20"/>
        </w:rPr>
        <w:t xml:space="preserve"> (filed Apr. 23, 2014).</w:t>
      </w:r>
    </w:p>
  </w:footnote>
  <w:footnote w:id="11">
    <w:p w:rsidR="00EE1645" w:rsidRPr="002139CA" w:rsidRDefault="00EE1645">
      <w:pPr>
        <w:pStyle w:val="FootnoteText"/>
        <w:rPr>
          <w:sz w:val="20"/>
        </w:rPr>
      </w:pPr>
      <w:r w:rsidRPr="002139CA">
        <w:rPr>
          <w:rStyle w:val="FootnoteReference"/>
          <w:sz w:val="20"/>
        </w:rPr>
        <w:footnoteRef/>
      </w:r>
      <w:r w:rsidRPr="002139CA">
        <w:rPr>
          <w:sz w:val="20"/>
        </w:rPr>
        <w:t xml:space="preserve"> Letter from </w:t>
      </w:r>
      <w:proofErr w:type="spellStart"/>
      <w:r w:rsidRPr="002139CA">
        <w:rPr>
          <w:sz w:val="20"/>
        </w:rPr>
        <w:t>Pantelis</w:t>
      </w:r>
      <w:proofErr w:type="spellEnd"/>
      <w:r w:rsidRPr="002139CA">
        <w:rPr>
          <w:sz w:val="20"/>
        </w:rPr>
        <w:t xml:space="preserve"> </w:t>
      </w:r>
      <w:proofErr w:type="spellStart"/>
      <w:r w:rsidRPr="002139CA">
        <w:rPr>
          <w:sz w:val="20"/>
        </w:rPr>
        <w:t>Michalopoulos</w:t>
      </w:r>
      <w:proofErr w:type="spellEnd"/>
      <w:r w:rsidRPr="002139CA">
        <w:rPr>
          <w:sz w:val="20"/>
        </w:rPr>
        <w:t xml:space="preserve"> and Christopher Bjornson, Counsel to Spectrum Networks Group, LLC and M2M Spectrum Networks, LLC to Marlene H. Dortch, Secretary, </w:t>
      </w:r>
      <w:proofErr w:type="gramStart"/>
      <w:r w:rsidRPr="002139CA">
        <w:rPr>
          <w:sz w:val="20"/>
        </w:rPr>
        <w:t>FCC</w:t>
      </w:r>
      <w:proofErr w:type="gramEnd"/>
      <w:r w:rsidRPr="002139CA">
        <w:rPr>
          <w:sz w:val="20"/>
        </w:rPr>
        <w:t xml:space="preserve"> (filed June 24, 2014).  </w:t>
      </w:r>
      <w:r>
        <w:rPr>
          <w:sz w:val="20"/>
        </w:rPr>
        <w:t xml:space="preserve">While the supplement indicates that it pertains only to SNG’s 2014 applications, SNG also filed it in the Universal Licensing System under its 2013 applications.  </w:t>
      </w:r>
    </w:p>
  </w:footnote>
  <w:footnote w:id="12">
    <w:p w:rsidR="00EE1645" w:rsidRPr="002139CA" w:rsidRDefault="00EE1645" w:rsidP="002A60BC">
      <w:pPr>
        <w:pStyle w:val="FootnoteText"/>
        <w:rPr>
          <w:sz w:val="20"/>
        </w:rPr>
      </w:pPr>
      <w:r w:rsidRPr="002139CA">
        <w:rPr>
          <w:rStyle w:val="FootnoteReference"/>
          <w:sz w:val="20"/>
        </w:rPr>
        <w:footnoteRef/>
      </w:r>
      <w:r w:rsidRPr="002139CA">
        <w:rPr>
          <w:sz w:val="20"/>
        </w:rPr>
        <w:t xml:space="preserve"> </w:t>
      </w:r>
      <w:r w:rsidRPr="002139CA">
        <w:rPr>
          <w:i/>
          <w:sz w:val="20"/>
        </w:rPr>
        <w:t xml:space="preserve">See </w:t>
      </w:r>
      <w:r w:rsidRPr="002139CA">
        <w:rPr>
          <w:sz w:val="20"/>
        </w:rPr>
        <w:t>Electronic Filing of Documents in Rulemaking Proceedings</w:t>
      </w:r>
      <w:r w:rsidRPr="00060EAA">
        <w:rPr>
          <w:szCs w:val="22"/>
        </w:rPr>
        <w:t xml:space="preserve">, </w:t>
      </w:r>
      <w:r w:rsidRPr="002139CA">
        <w:rPr>
          <w:i/>
          <w:sz w:val="20"/>
        </w:rPr>
        <w:t>Report and Order</w:t>
      </w:r>
      <w:r w:rsidRPr="002139CA">
        <w:rPr>
          <w:sz w:val="20"/>
        </w:rPr>
        <w:t xml:space="preserve">, GC Docket No. 97-113, 13 FCC </w:t>
      </w:r>
      <w:proofErr w:type="spellStart"/>
      <w:r w:rsidRPr="002139CA">
        <w:rPr>
          <w:sz w:val="20"/>
        </w:rPr>
        <w:t>Rcd</w:t>
      </w:r>
      <w:proofErr w:type="spellEnd"/>
      <w:r w:rsidRPr="002139CA">
        <w:rPr>
          <w:sz w:val="20"/>
        </w:rPr>
        <w:t xml:space="preserve"> 11322 (1998).</w:t>
      </w:r>
    </w:p>
  </w:footnote>
  <w:footnote w:id="13">
    <w:p w:rsidR="00EE1645" w:rsidRPr="002139CA" w:rsidRDefault="00EE1645" w:rsidP="002A60BC">
      <w:pPr>
        <w:pStyle w:val="FootnoteText"/>
        <w:rPr>
          <w:sz w:val="20"/>
        </w:rPr>
      </w:pPr>
      <w:r w:rsidRPr="002139CA">
        <w:rPr>
          <w:rStyle w:val="FootnoteReference"/>
          <w:sz w:val="20"/>
        </w:rPr>
        <w:footnoteRef/>
      </w:r>
      <w:r w:rsidRPr="002139CA">
        <w:rPr>
          <w:sz w:val="20"/>
        </w:rPr>
        <w:t xml:space="preserve"> </w:t>
      </w:r>
      <w:r w:rsidRPr="002139CA">
        <w:rPr>
          <w:i/>
          <w:sz w:val="20"/>
        </w:rPr>
        <w:t>See</w:t>
      </w:r>
      <w:r w:rsidRPr="002139CA">
        <w:rPr>
          <w:sz w:val="20"/>
        </w:rPr>
        <w:t xml:space="preserve"> 47 C.F.R. §§ 1.1200(a), 1.1206.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645" w:rsidRDefault="00EE1645">
    <w:pPr>
      <w:pStyle w:val="Header"/>
      <w:tabs>
        <w:tab w:val="clear" w:pos="4320"/>
        <w:tab w:val="clear" w:pos="8640"/>
      </w:tabs>
      <w:spacing w:before="40"/>
      <w:ind w:firstLine="1080"/>
      <w:rPr>
        <w:rFonts w:ascii="News Gothic MT" w:hAnsi="News Gothic MT"/>
        <w:b/>
        <w:kern w:val="28"/>
        <w:sz w:val="96"/>
      </w:rPr>
    </w:pPr>
    <w:r>
      <w:rPr>
        <w:rFonts w:ascii="News Gothic MT" w:hAnsi="News Gothic MT"/>
        <w:b/>
        <w:noProof/>
        <w:sz w:val="24"/>
      </w:rPr>
      <w:drawing>
        <wp:anchor distT="0" distB="0" distL="114300" distR="114300" simplePos="0" relativeHeight="251659264" behindDoc="0" locked="0" layoutInCell="0" allowOverlap="1">
          <wp:simplePos x="0" y="0"/>
          <wp:positionH relativeFrom="column">
            <wp:posOffset>443865</wp:posOffset>
          </wp:positionH>
          <wp:positionV relativeFrom="paragraph">
            <wp:posOffset>107950</wp:posOffset>
          </wp:positionV>
          <wp:extent cx="530225" cy="530225"/>
          <wp:effectExtent l="0" t="0" r="3175" b="3175"/>
          <wp:wrapTopAndBottom/>
          <wp:docPr id="6"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ews Gothic MT" w:hAnsi="News Gothic MT"/>
        <w:b/>
        <w:kern w:val="28"/>
        <w:sz w:val="96"/>
      </w:rPr>
      <w:t xml:space="preserve">  PUBLIC NOTICE</w:t>
    </w:r>
  </w:p>
  <w:p w:rsidR="00EE1645" w:rsidRDefault="00EE1645">
    <w:pPr>
      <w:pStyle w:val="Header"/>
      <w:tabs>
        <w:tab w:val="clear" w:pos="4320"/>
        <w:tab w:val="clear" w:pos="8640"/>
        <w:tab w:val="left" w:pos="1080"/>
      </w:tabs>
      <w:spacing w:line="1120" w:lineRule="exact"/>
      <w:ind w:left="720"/>
      <w:rPr>
        <w:rFonts w:ascii="Arial" w:hAnsi="Arial"/>
        <w:b/>
        <w:sz w:val="28"/>
      </w:rPr>
    </w:pPr>
    <w:r>
      <w:rPr>
        <w:rFonts w:ascii="Arial" w:hAnsi="Arial"/>
        <w:b/>
        <w:noProof/>
      </w:rPr>
      <mc:AlternateContent>
        <mc:Choice Requires="wps">
          <w:drawing>
            <wp:anchor distT="0" distB="0" distL="114300" distR="114300" simplePos="0" relativeHeight="251657216" behindDoc="0" locked="0" layoutInCell="0" allowOverlap="1">
              <wp:simplePos x="0" y="0"/>
              <wp:positionH relativeFrom="column">
                <wp:posOffset>477520</wp:posOffset>
              </wp:positionH>
              <wp:positionV relativeFrom="paragraph">
                <wp:posOffset>697865</wp:posOffset>
              </wp:positionV>
              <wp:extent cx="5886450" cy="254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D7510"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pt,54.95pt" to="501.1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BtFgIAACs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" o:allowincell="f"/>
          </w:pict>
        </mc:Fallback>
      </mc:AlternateContent>
    </w:r>
    <w:r>
      <w:rPr>
        <w:rFonts w:ascii="News Gothic MT" w:hAnsi="News Gothic MT"/>
        <w:b/>
        <w:noProof/>
        <w:sz w:val="24"/>
      </w:rPr>
      <mc:AlternateContent>
        <mc:Choice Requires="wps">
          <w:drawing>
            <wp:anchor distT="0" distB="0" distL="114300" distR="114300" simplePos="0" relativeHeight="251656192" behindDoc="0" locked="0" layoutInCell="0" allowOverlap="1">
              <wp:simplePos x="0" y="0"/>
              <wp:positionH relativeFrom="column">
                <wp:posOffset>381000</wp:posOffset>
              </wp:positionH>
              <wp:positionV relativeFrom="paragraph">
                <wp:posOffset>5080</wp:posOffset>
              </wp:positionV>
              <wp:extent cx="3108960" cy="640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645" w:rsidRDefault="00EE1645">
                          <w:pPr>
                            <w:rPr>
                              <w:rFonts w:ascii="Arial" w:hAnsi="Arial"/>
                              <w:b/>
                            </w:rPr>
                          </w:pPr>
                          <w:r>
                            <w:rPr>
                              <w:rFonts w:ascii="Arial" w:hAnsi="Arial"/>
                              <w:b/>
                            </w:rPr>
                            <w:t>Federal Communications Commission</w:t>
                          </w:r>
                        </w:p>
                        <w:p w:rsidR="00EE1645" w:rsidRDefault="00EE164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EE1645" w:rsidRDefault="00EE1645">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4pt;width:244.8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Qo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" o:allowincell="f" stroked="f">
              <v:textbox>
                <w:txbxContent>
                  <w:p w:rsidR="00EE1645" w:rsidRDefault="00EE1645">
                    <w:pPr>
                      <w:rPr>
                        <w:rFonts w:ascii="Arial" w:hAnsi="Arial"/>
                        <w:b/>
                      </w:rPr>
                    </w:pPr>
                    <w:r>
                      <w:rPr>
                        <w:rFonts w:ascii="Arial" w:hAnsi="Arial"/>
                        <w:b/>
                      </w:rPr>
                      <w:t>Federal Communications Commission</w:t>
                    </w:r>
                  </w:p>
                  <w:p w:rsidR="00EE1645" w:rsidRDefault="00EE164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EE1645" w:rsidRDefault="00EE1645">
                    <w:pPr>
                      <w:rPr>
                        <w:rFonts w:ascii="Arial" w:hAnsi="Arial"/>
                        <w:sz w:val="24"/>
                      </w:rPr>
                    </w:pPr>
                    <w:r>
                      <w:rPr>
                        <w:rFonts w:ascii="Arial" w:hAnsi="Arial"/>
                        <w:b/>
                      </w:rPr>
                      <w:t>Washington, D.C. 20554</w:t>
                    </w:r>
                  </w:p>
                </w:txbxContent>
              </v:textbox>
            </v:shape>
          </w:pict>
        </mc:Fallback>
      </mc:AlternateContent>
    </w:r>
    <w:r>
      <w:rPr>
        <w:rFonts w:ascii="News Gothic MT" w:hAnsi="News Gothic MT"/>
        <w:b/>
        <w:noProof/>
        <w:sz w:val="24"/>
      </w:rPr>
      <mc:AlternateContent>
        <mc:Choice Requires="wps">
          <w:drawing>
            <wp:anchor distT="0" distB="0" distL="114300" distR="114300" simplePos="0" relativeHeight="251658240" behindDoc="0" locked="0" layoutInCell="0" allowOverlap="1">
              <wp:simplePos x="0" y="0"/>
              <wp:positionH relativeFrom="column">
                <wp:posOffset>3829050</wp:posOffset>
              </wp:positionH>
              <wp:positionV relativeFrom="paragraph">
                <wp:posOffset>130175</wp:posOffset>
              </wp:positionV>
              <wp:extent cx="2640965" cy="54864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645" w:rsidRDefault="00EE1645">
                          <w:pPr>
                            <w:spacing w:before="40"/>
                            <w:jc w:val="right"/>
                            <w:rPr>
                              <w:rFonts w:ascii="Arial" w:hAnsi="Arial"/>
                              <w:b/>
                              <w:sz w:val="16"/>
                            </w:rPr>
                          </w:pPr>
                          <w:r>
                            <w:rPr>
                              <w:rFonts w:ascii="Arial" w:hAnsi="Arial"/>
                              <w:b/>
                              <w:sz w:val="16"/>
                            </w:rPr>
                            <w:t>News Media Information 202 / 418-0500</w:t>
                          </w:r>
                        </w:p>
                        <w:p w:rsidR="00EE1645" w:rsidRDefault="00EE1645">
                          <w:pPr>
                            <w:jc w:val="right"/>
                            <w:rPr>
                              <w:rFonts w:ascii="Arial" w:hAnsi="Arial"/>
                              <w:b/>
                              <w:sz w:val="16"/>
                            </w:rPr>
                          </w:pPr>
                          <w:r>
                            <w:rPr>
                              <w:rFonts w:ascii="Arial" w:hAnsi="Arial"/>
                              <w:b/>
                              <w:sz w:val="16"/>
                            </w:rPr>
                            <w:tab/>
                            <w:t xml:space="preserve">Internet: </w:t>
                          </w:r>
                          <w:bookmarkStart w:id="0" w:name="_Hlt233824"/>
                          <w:r>
                            <w:rPr>
                              <w:rFonts w:ascii="Arial" w:hAnsi="Arial"/>
                              <w:b/>
                              <w:sz w:val="16"/>
                            </w:rPr>
                            <w:t>h</w:t>
                          </w:r>
                          <w:bookmarkEnd w:id="0"/>
                          <w:r>
                            <w:rPr>
                              <w:rFonts w:ascii="Arial" w:hAnsi="Arial"/>
                              <w:b/>
                              <w:sz w:val="16"/>
                            </w:rPr>
                            <w:t>ttp://www.fcc.gov</w:t>
                          </w:r>
                        </w:p>
                        <w:p w:rsidR="00EE1645" w:rsidRDefault="00EE1645">
                          <w:pPr>
                            <w:jc w:val="right"/>
                            <w:rPr>
                              <w:rFonts w:ascii="Arial" w:hAnsi="Arial"/>
                              <w:b/>
                              <w:sz w:val="16"/>
                            </w:rPr>
                          </w:pPr>
                          <w:r>
                            <w:rPr>
                              <w:rFonts w:ascii="Arial" w:hAnsi="Arial"/>
                              <w:b/>
                              <w:sz w:val="16"/>
                            </w:rPr>
                            <w:t>TTY: 1-888-835-5322</w:t>
                          </w:r>
                        </w:p>
                        <w:p w:rsidR="00EE1645" w:rsidRDefault="00EE1645">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01.5pt;margin-top:10.25pt;width:207.9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" o:allowincell="f" stroked="f">
              <v:textbox inset=",0,,0">
                <w:txbxContent>
                  <w:p w:rsidR="00EE1645" w:rsidRDefault="00EE1645">
                    <w:pPr>
                      <w:spacing w:before="40"/>
                      <w:jc w:val="right"/>
                      <w:rPr>
                        <w:rFonts w:ascii="Arial" w:hAnsi="Arial"/>
                        <w:b/>
                        <w:sz w:val="16"/>
                      </w:rPr>
                    </w:pPr>
                    <w:r>
                      <w:rPr>
                        <w:rFonts w:ascii="Arial" w:hAnsi="Arial"/>
                        <w:b/>
                        <w:sz w:val="16"/>
                      </w:rPr>
                      <w:t>News Media Information 202 / 418-0500</w:t>
                    </w:r>
                  </w:p>
                  <w:p w:rsidR="00EE1645" w:rsidRDefault="00EE1645">
                    <w:pPr>
                      <w:jc w:val="right"/>
                      <w:rPr>
                        <w:rFonts w:ascii="Arial" w:hAnsi="Arial"/>
                        <w:b/>
                        <w:sz w:val="16"/>
                      </w:rPr>
                    </w:pPr>
                    <w:r>
                      <w:rPr>
                        <w:rFonts w:ascii="Arial" w:hAnsi="Arial"/>
                        <w:b/>
                        <w:sz w:val="16"/>
                      </w:rPr>
                      <w:tab/>
                      <w:t xml:space="preserve">Internet: </w:t>
                    </w:r>
                    <w:bookmarkStart w:id="1" w:name="_Hlt233824"/>
                    <w:r>
                      <w:rPr>
                        <w:rFonts w:ascii="Arial" w:hAnsi="Arial"/>
                        <w:b/>
                        <w:sz w:val="16"/>
                      </w:rPr>
                      <w:t>h</w:t>
                    </w:r>
                    <w:bookmarkEnd w:id="1"/>
                    <w:r>
                      <w:rPr>
                        <w:rFonts w:ascii="Arial" w:hAnsi="Arial"/>
                        <w:b/>
                        <w:sz w:val="16"/>
                      </w:rPr>
                      <w:t>ttp://www.fcc.gov</w:t>
                    </w:r>
                  </w:p>
                  <w:p w:rsidR="00EE1645" w:rsidRDefault="00EE1645">
                    <w:pPr>
                      <w:jc w:val="right"/>
                      <w:rPr>
                        <w:rFonts w:ascii="Arial" w:hAnsi="Arial"/>
                        <w:b/>
                        <w:sz w:val="16"/>
                      </w:rPr>
                    </w:pPr>
                    <w:r>
                      <w:rPr>
                        <w:rFonts w:ascii="Arial" w:hAnsi="Arial"/>
                        <w:b/>
                        <w:sz w:val="16"/>
                      </w:rPr>
                      <w:t>TTY: 1-888-835-5322</w:t>
                    </w:r>
                  </w:p>
                  <w:p w:rsidR="00EE1645" w:rsidRDefault="00EE1645">
                    <w:pPr>
                      <w:jc w:val="right"/>
                    </w:pPr>
                  </w:p>
                </w:txbxContent>
              </v:textbox>
            </v:shape>
          </w:pict>
        </mc:Fallback>
      </mc:AlternateContent>
    </w:r>
  </w:p>
  <w:p w:rsidR="00EE1645" w:rsidRDefault="00EE1645">
    <w:pPr>
      <w:pStyle w:val="Header"/>
      <w:tabs>
        <w:tab w:val="clear" w:pos="4320"/>
        <w:tab w:val="clear" w:pos="8640"/>
        <w:tab w:val="left" w:pos="1080"/>
      </w:tabs>
      <w:ind w:left="720"/>
      <w:rPr>
        <w:rFonts w:ascii="Arial" w:hAnsi="Arial"/>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57658"/>
    <w:multiLevelType w:val="hybridMultilevel"/>
    <w:tmpl w:val="A59E262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2">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50E225D9"/>
    <w:multiLevelType w:val="hybridMultilevel"/>
    <w:tmpl w:val="6F56B5B2"/>
    <w:lvl w:ilvl="0" w:tplc="04090001">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News Gothic MT"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News Gothic MT"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News Gothic MT"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5">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6">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7">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8">
    <w:nsid w:val="7F0406EE"/>
    <w:multiLevelType w:val="hybridMultilevel"/>
    <w:tmpl w:val="749E4CE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2160"/>
        </w:tabs>
        <w:ind w:left="2160" w:hanging="360"/>
      </w:pPr>
      <w:rPr>
        <w:rFonts w:cs="Times New Roman" w:hint="default"/>
      </w:rPr>
    </w:lvl>
    <w:lvl w:ilvl="2" w:tplc="04090005">
      <w:start w:val="1"/>
      <w:numFmt w:val="lowerRoman"/>
      <w:lvlText w:val="%3."/>
      <w:lvlJc w:val="right"/>
      <w:pPr>
        <w:tabs>
          <w:tab w:val="num" w:pos="2880"/>
        </w:tabs>
        <w:ind w:left="2880" w:hanging="180"/>
      </w:pPr>
      <w:rPr>
        <w:rFonts w:cs="Times New Roman"/>
      </w:rPr>
    </w:lvl>
    <w:lvl w:ilvl="3" w:tplc="04090001">
      <w:numFmt w:val="bullet"/>
      <w:lvlText w:val="-"/>
      <w:lvlJc w:val="left"/>
      <w:pPr>
        <w:tabs>
          <w:tab w:val="num" w:pos="1440"/>
        </w:tabs>
        <w:ind w:left="1440" w:hanging="360"/>
      </w:pPr>
      <w:rPr>
        <w:rFonts w:ascii="Times New Roman" w:eastAsia="Times New Roman" w:hAnsi="Times New Roman" w:hint="default"/>
      </w:rPr>
    </w:lvl>
    <w:lvl w:ilvl="4" w:tplc="04090003">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num w:numId="1">
    <w:abstractNumId w:val="6"/>
  </w:num>
  <w:num w:numId="2">
    <w:abstractNumId w:val="5"/>
  </w:num>
  <w:num w:numId="3">
    <w:abstractNumId w:val="7"/>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4"/>
  </w:num>
  <w:num w:numId="12">
    <w:abstractNumId w:val="2"/>
  </w:num>
  <w:num w:numId="1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3A"/>
    <w:rsid w:val="000133B6"/>
    <w:rsid w:val="000265AE"/>
    <w:rsid w:val="00076AFD"/>
    <w:rsid w:val="000A19E5"/>
    <w:rsid w:val="000B262A"/>
    <w:rsid w:val="000D52DE"/>
    <w:rsid w:val="000F76CB"/>
    <w:rsid w:val="0010639F"/>
    <w:rsid w:val="001F4C44"/>
    <w:rsid w:val="002139CA"/>
    <w:rsid w:val="00237DC4"/>
    <w:rsid w:val="00243DB7"/>
    <w:rsid w:val="00254DC6"/>
    <w:rsid w:val="00266B5C"/>
    <w:rsid w:val="002721A3"/>
    <w:rsid w:val="00280594"/>
    <w:rsid w:val="00283E87"/>
    <w:rsid w:val="002A60BC"/>
    <w:rsid w:val="002E5693"/>
    <w:rsid w:val="002F556C"/>
    <w:rsid w:val="003D52D4"/>
    <w:rsid w:val="003E621C"/>
    <w:rsid w:val="00413442"/>
    <w:rsid w:val="00431C1B"/>
    <w:rsid w:val="004E4041"/>
    <w:rsid w:val="005359F4"/>
    <w:rsid w:val="005B3A4B"/>
    <w:rsid w:val="00602577"/>
    <w:rsid w:val="00610A6D"/>
    <w:rsid w:val="00663535"/>
    <w:rsid w:val="007104BB"/>
    <w:rsid w:val="0079660D"/>
    <w:rsid w:val="0079734D"/>
    <w:rsid w:val="007A775C"/>
    <w:rsid w:val="007B3882"/>
    <w:rsid w:val="007E4FFE"/>
    <w:rsid w:val="00823457"/>
    <w:rsid w:val="00884BE4"/>
    <w:rsid w:val="00897925"/>
    <w:rsid w:val="008A7BA2"/>
    <w:rsid w:val="008B45DA"/>
    <w:rsid w:val="008E442C"/>
    <w:rsid w:val="008F2C4C"/>
    <w:rsid w:val="0090555B"/>
    <w:rsid w:val="009106F7"/>
    <w:rsid w:val="00962252"/>
    <w:rsid w:val="009C6C24"/>
    <w:rsid w:val="00A50026"/>
    <w:rsid w:val="00A6378F"/>
    <w:rsid w:val="00A84FA3"/>
    <w:rsid w:val="00AC1C9E"/>
    <w:rsid w:val="00AD3CEE"/>
    <w:rsid w:val="00B34377"/>
    <w:rsid w:val="00B61F17"/>
    <w:rsid w:val="00B87E70"/>
    <w:rsid w:val="00C1549C"/>
    <w:rsid w:val="00C155B0"/>
    <w:rsid w:val="00C278E1"/>
    <w:rsid w:val="00C33BFE"/>
    <w:rsid w:val="00C60F3A"/>
    <w:rsid w:val="00C9785E"/>
    <w:rsid w:val="00D15968"/>
    <w:rsid w:val="00D17DC0"/>
    <w:rsid w:val="00D60EFF"/>
    <w:rsid w:val="00DA4D8B"/>
    <w:rsid w:val="00E629C9"/>
    <w:rsid w:val="00EE1645"/>
    <w:rsid w:val="00EE572F"/>
    <w:rsid w:val="00F03BB3"/>
    <w:rsid w:val="00F27799"/>
    <w:rsid w:val="00F30B32"/>
    <w:rsid w:val="00F86677"/>
    <w:rsid w:val="00FB2193"/>
    <w:rsid w:val="00FC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semiHidden/>
    <w:rPr>
      <w:color w:val="0000FF"/>
      <w:u w:val="single"/>
    </w:rPr>
  </w:style>
  <w:style w:type="paragraph" w:styleId="BlockText">
    <w:name w:val="Block Text"/>
    <w:basedOn w:val="Normal"/>
    <w:semiHidden/>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aliases w:val="Appel note de bas de p,Style 12,(NECG) Footnote Reference,Style 124,Style 13,o,fr,Style 3,FR"/>
    <w:semiHidden/>
    <w:rPr>
      <w:vertAlign w:val="superscript"/>
    </w:rPr>
  </w:style>
  <w:style w:type="paragraph" w:styleId="FootnoteText">
    <w:name w:val="footnote text"/>
    <w:aliases w:val="Footnote Text Char,Footnote Text Char2 Char,Footnote Text Char1 Char Char,Footnote Text Char Char Char Char,Footnote Text Char2 Char Char Char Char,Footnote Text Char1 Char1 Char Char Char Char,Footnote Text Char2,Footnote Text Char1 Char"/>
    <w:basedOn w:val="Normal"/>
    <w:link w:val="FootnoteTextChar1"/>
    <w:semiHidden/>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semiHidden/>
    <w:rPr>
      <w:color w:val="800080"/>
      <w:u w:val="single"/>
    </w:rPr>
  </w:style>
  <w:style w:type="paragraph" w:styleId="BodyText">
    <w:name w:val="Body Text"/>
    <w:basedOn w:val="Normal"/>
    <w:link w:val="BodyTextChar"/>
    <w:rsid w:val="00EE572F"/>
    <w:pPr>
      <w:widowControl w:val="0"/>
      <w:tabs>
        <w:tab w:val="center" w:pos="4680"/>
      </w:tabs>
      <w:suppressAutoHyphens/>
      <w:spacing w:line="227" w:lineRule="auto"/>
      <w:jc w:val="center"/>
    </w:pPr>
    <w:rPr>
      <w:rFonts w:ascii="Times" w:hAnsi="Times"/>
      <w:b/>
      <w:snapToGrid w:val="0"/>
      <w:spacing w:val="-2"/>
    </w:rPr>
  </w:style>
  <w:style w:type="character" w:customStyle="1" w:styleId="BodyTextChar">
    <w:name w:val="Body Text Char"/>
    <w:link w:val="BodyText"/>
    <w:rsid w:val="00EE572F"/>
    <w:rPr>
      <w:rFonts w:ascii="Times" w:hAnsi="Times"/>
      <w:b/>
      <w:snapToGrid w:val="0"/>
      <w:spacing w:val="-2"/>
      <w:sz w:val="22"/>
    </w:rPr>
  </w:style>
  <w:style w:type="paragraph" w:styleId="BodyText2">
    <w:name w:val="Body Text 2"/>
    <w:basedOn w:val="Normal"/>
    <w:link w:val="BodyText2Char"/>
    <w:uiPriority w:val="99"/>
    <w:semiHidden/>
    <w:unhideWhenUsed/>
    <w:rsid w:val="000D52DE"/>
    <w:pPr>
      <w:spacing w:after="120" w:line="480" w:lineRule="auto"/>
    </w:pPr>
  </w:style>
  <w:style w:type="character" w:customStyle="1" w:styleId="BodyText2Char">
    <w:name w:val="Body Text 2 Char"/>
    <w:link w:val="BodyText2"/>
    <w:uiPriority w:val="99"/>
    <w:semiHidden/>
    <w:rsid w:val="000D52DE"/>
    <w:rPr>
      <w:sz w:val="22"/>
    </w:rPr>
  </w:style>
  <w:style w:type="character" w:customStyle="1" w:styleId="FootnoteTextChar1">
    <w:name w:val="Footnote Text Char1"/>
    <w:aliases w:val="Footnote Text Char Char,Footnote Text Char2 Char Char,Footnote Text Char1 Char Char Char,Footnote Text Char Char Char Char Char,Footnote Text Char2 Char Char Char Char Char,Footnote Text Char1 Char1 Char Char Char Char Char"/>
    <w:link w:val="FootnoteText"/>
    <w:semiHidden/>
    <w:rsid w:val="002A60BC"/>
    <w:rPr>
      <w:sz w:val="22"/>
    </w:rPr>
  </w:style>
  <w:style w:type="paragraph" w:styleId="ListParagraph">
    <w:name w:val="List Paragraph"/>
    <w:basedOn w:val="Normal"/>
    <w:uiPriority w:val="34"/>
    <w:qFormat/>
    <w:rsid w:val="0090555B"/>
    <w:pPr>
      <w:ind w:left="720"/>
      <w:contextualSpacing/>
    </w:pPr>
  </w:style>
  <w:style w:type="paragraph" w:styleId="BalloonText">
    <w:name w:val="Balloon Text"/>
    <w:basedOn w:val="Normal"/>
    <w:link w:val="BalloonTextChar"/>
    <w:uiPriority w:val="99"/>
    <w:semiHidden/>
    <w:unhideWhenUsed/>
    <w:rsid w:val="002139CA"/>
    <w:rPr>
      <w:rFonts w:ascii="Tahoma" w:hAnsi="Tahoma" w:cs="Tahoma"/>
      <w:sz w:val="16"/>
      <w:szCs w:val="16"/>
    </w:rPr>
  </w:style>
  <w:style w:type="character" w:customStyle="1" w:styleId="BalloonTextChar">
    <w:name w:val="Balloon Text Char"/>
    <w:basedOn w:val="DefaultParagraphFont"/>
    <w:link w:val="BalloonText"/>
    <w:uiPriority w:val="99"/>
    <w:semiHidden/>
    <w:rsid w:val="002139CA"/>
    <w:rPr>
      <w:rFonts w:ascii="Tahoma" w:hAnsi="Tahoma" w:cs="Tahoma"/>
      <w:sz w:val="16"/>
      <w:szCs w:val="16"/>
    </w:rPr>
  </w:style>
  <w:style w:type="character" w:customStyle="1" w:styleId="FooterChar">
    <w:name w:val="Footer Char"/>
    <w:basedOn w:val="DefaultParagraphFont"/>
    <w:link w:val="Footer"/>
    <w:uiPriority w:val="99"/>
    <w:rsid w:val="00884B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cc.gov/cgb/ecfs" TargetMode="External"/><Relationship Id="rId4" Type="http://schemas.openxmlformats.org/officeDocument/2006/relationships/webSettings" Target="webSettings.xml"/><Relationship Id="rId9" Type="http://schemas.openxmlformats.org/officeDocument/2006/relationships/hyperlink" Target="mailto:FCC@BCPIWE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7099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[Click to enter document number]</vt:lpstr>
    </vt:vector>
  </TitlesOfParts>
  <Manager/>
  <Company/>
  <LinksUpToDate>false</LinksUpToDate>
  <CharactersWithSpaces>8328</CharactersWithSpaces>
  <SharedDoc>false</SharedDoc>
  <HyperlinkBase> </HyperlinkBase>
  <HLinks>
    <vt:vector size="12" baseType="variant">
      <vt:variant>
        <vt:i4>3997814</vt:i4>
      </vt:variant>
      <vt:variant>
        <vt:i4>3</vt:i4>
      </vt:variant>
      <vt:variant>
        <vt:i4>0</vt:i4>
      </vt:variant>
      <vt:variant>
        <vt:i4>5</vt:i4>
      </vt:variant>
      <vt:variant>
        <vt:lpwstr>http://www.fcc.gov/cgb/ecfs</vt:lpwstr>
      </vt:variant>
      <vt:variant>
        <vt:lpwstr/>
      </vt:variant>
      <vt:variant>
        <vt:i4>7209031</vt:i4>
      </vt:variant>
      <vt:variant>
        <vt:i4>0</vt:i4>
      </vt:variant>
      <vt:variant>
        <vt:i4>0</vt:i4>
      </vt:variant>
      <vt:variant>
        <vt:i4>5</vt:i4>
      </vt:variant>
      <vt:variant>
        <vt:lpwstr>mailto:FCC@BCPIWEB.com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2014-07-07T20:43:00Z</cp:lastPrinted>
  <dcterms:created xsi:type="dcterms:W3CDTF">2014-07-14T21:33:00Z</dcterms:created>
  <dcterms:modified xsi:type="dcterms:W3CDTF">2014-07-14T21:33:00Z</dcterms:modified>
  <cp:category> </cp:category>
  <cp:contentStatus> </cp:contentStatus>
</cp:coreProperties>
</file>