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6B" w:rsidRPr="00890BDF" w:rsidRDefault="005C67E1" w:rsidP="00257EBC">
      <w:pPr>
        <w:widowControl/>
        <w:jc w:val="right"/>
        <w:rPr>
          <w:b/>
          <w:szCs w:val="22"/>
        </w:rPr>
      </w:pPr>
      <w:bookmarkStart w:id="0" w:name="_GoBack"/>
      <w:bookmarkEnd w:id="0"/>
      <w:r w:rsidRPr="00890BDF">
        <w:rPr>
          <w:b/>
          <w:szCs w:val="22"/>
        </w:rPr>
        <w:t>FCC 13-144</w:t>
      </w:r>
    </w:p>
    <w:p w:rsidR="00C82B6B" w:rsidRPr="00B6445F" w:rsidRDefault="00890BDF" w:rsidP="00257EBC">
      <w:pPr>
        <w:widowControl/>
        <w:spacing w:before="60"/>
        <w:jc w:val="right"/>
        <w:rPr>
          <w:szCs w:val="22"/>
        </w:rPr>
      </w:pPr>
      <w:r>
        <w:rPr>
          <w:b/>
          <w:szCs w:val="22"/>
        </w:rPr>
        <w:t xml:space="preserve">Released:  </w:t>
      </w:r>
      <w:r w:rsidR="009F3203" w:rsidRPr="00890BDF">
        <w:rPr>
          <w:b/>
          <w:szCs w:val="22"/>
        </w:rPr>
        <w:t>November 1, 2013</w:t>
      </w:r>
    </w:p>
    <w:p w:rsidR="00C82B6B" w:rsidRPr="00B6445F" w:rsidRDefault="00C82B6B" w:rsidP="00257EBC">
      <w:pPr>
        <w:widowControl/>
        <w:jc w:val="right"/>
        <w:rPr>
          <w:szCs w:val="22"/>
        </w:rPr>
      </w:pPr>
    </w:p>
    <w:p w:rsidR="00C82B6B" w:rsidRPr="00B6445F" w:rsidRDefault="00352379" w:rsidP="00257EBC">
      <w:pPr>
        <w:widowControl/>
        <w:spacing w:after="240"/>
        <w:jc w:val="center"/>
        <w:rPr>
          <w:b/>
          <w:szCs w:val="22"/>
        </w:rPr>
      </w:pPr>
      <w:r w:rsidRPr="00B6445F">
        <w:rPr>
          <w:b/>
          <w:szCs w:val="22"/>
        </w:rPr>
        <w:t>COMMISSION SEEKS COMMENT ON LICENSING MODELS AND TECHNICAL REQUIREMENTS IN THE 3550-3650 MHz BAND</w:t>
      </w:r>
    </w:p>
    <w:p w:rsidR="00C82B6B" w:rsidRPr="00B6445F" w:rsidRDefault="00750B59" w:rsidP="00257EBC">
      <w:pPr>
        <w:widowControl/>
        <w:jc w:val="center"/>
        <w:rPr>
          <w:b/>
          <w:szCs w:val="22"/>
        </w:rPr>
      </w:pPr>
      <w:r>
        <w:rPr>
          <w:b/>
          <w:szCs w:val="22"/>
        </w:rPr>
        <w:t>GN Docket No. 12-354</w:t>
      </w:r>
    </w:p>
    <w:p w:rsidR="00C82B6B" w:rsidRDefault="00C82B6B" w:rsidP="00257EBC">
      <w:pPr>
        <w:widowControl/>
        <w:jc w:val="center"/>
        <w:rPr>
          <w:szCs w:val="22"/>
        </w:rPr>
      </w:pPr>
    </w:p>
    <w:p w:rsidR="003C6316" w:rsidRPr="001701C1" w:rsidRDefault="001701C1" w:rsidP="00257EBC">
      <w:pPr>
        <w:widowControl/>
        <w:rPr>
          <w:b/>
          <w:szCs w:val="22"/>
        </w:rPr>
      </w:pPr>
      <w:r>
        <w:rPr>
          <w:b/>
          <w:szCs w:val="22"/>
        </w:rPr>
        <w:t>Comment Date</w:t>
      </w:r>
      <w:r w:rsidR="003C6316" w:rsidRPr="001701C1">
        <w:rPr>
          <w:b/>
          <w:szCs w:val="22"/>
        </w:rPr>
        <w:t xml:space="preserve">: </w:t>
      </w:r>
      <w:r w:rsidR="00016C77">
        <w:rPr>
          <w:b/>
          <w:szCs w:val="22"/>
        </w:rPr>
        <w:t xml:space="preserve"> </w:t>
      </w:r>
      <w:r w:rsidR="00B94BF8">
        <w:rPr>
          <w:b/>
          <w:szCs w:val="22"/>
        </w:rPr>
        <w:t>December</w:t>
      </w:r>
      <w:r w:rsidR="00B94BF8" w:rsidRPr="001701C1">
        <w:rPr>
          <w:b/>
          <w:szCs w:val="22"/>
        </w:rPr>
        <w:t xml:space="preserve"> </w:t>
      </w:r>
      <w:r w:rsidR="006360CB">
        <w:rPr>
          <w:b/>
          <w:szCs w:val="22"/>
        </w:rPr>
        <w:t>5</w:t>
      </w:r>
      <w:r w:rsidR="00C72EA0" w:rsidRPr="001701C1">
        <w:rPr>
          <w:b/>
          <w:szCs w:val="22"/>
        </w:rPr>
        <w:t>, 2013</w:t>
      </w:r>
    </w:p>
    <w:p w:rsidR="00A6165A" w:rsidRPr="001701C1" w:rsidRDefault="001701C1" w:rsidP="00257EBC">
      <w:pPr>
        <w:widowControl/>
        <w:rPr>
          <w:b/>
          <w:szCs w:val="22"/>
        </w:rPr>
      </w:pPr>
      <w:r>
        <w:rPr>
          <w:b/>
          <w:szCs w:val="22"/>
        </w:rPr>
        <w:t>Reply Comment Date</w:t>
      </w:r>
      <w:r w:rsidR="003C6316" w:rsidRPr="001701C1">
        <w:rPr>
          <w:b/>
          <w:szCs w:val="22"/>
        </w:rPr>
        <w:t xml:space="preserve">: </w:t>
      </w:r>
      <w:r w:rsidR="00016C77">
        <w:rPr>
          <w:b/>
          <w:szCs w:val="22"/>
        </w:rPr>
        <w:t xml:space="preserve"> </w:t>
      </w:r>
      <w:r w:rsidR="00B94BF8">
        <w:rPr>
          <w:b/>
          <w:szCs w:val="22"/>
        </w:rPr>
        <w:t>December</w:t>
      </w:r>
      <w:r w:rsidR="00B94BF8" w:rsidRPr="001701C1">
        <w:rPr>
          <w:b/>
          <w:szCs w:val="22"/>
        </w:rPr>
        <w:t xml:space="preserve"> </w:t>
      </w:r>
      <w:r w:rsidR="006360CB">
        <w:rPr>
          <w:b/>
          <w:szCs w:val="22"/>
        </w:rPr>
        <w:t>20</w:t>
      </w:r>
      <w:r w:rsidR="00C72EA0" w:rsidRPr="001701C1">
        <w:rPr>
          <w:b/>
          <w:szCs w:val="22"/>
        </w:rPr>
        <w:t>, 2013</w:t>
      </w:r>
    </w:p>
    <w:p w:rsidR="00A6165A" w:rsidRDefault="00A6165A" w:rsidP="00257EBC">
      <w:pPr>
        <w:widowControl/>
        <w:rPr>
          <w:szCs w:val="22"/>
        </w:rPr>
      </w:pPr>
    </w:p>
    <w:p w:rsidR="007E1953" w:rsidRPr="00B6445F" w:rsidRDefault="007E1953" w:rsidP="00257EBC">
      <w:pPr>
        <w:widowControl/>
        <w:rPr>
          <w:szCs w:val="22"/>
        </w:rPr>
      </w:pPr>
      <w:r>
        <w:rPr>
          <w:szCs w:val="22"/>
        </w:rPr>
        <w:t>By the Commission:</w:t>
      </w:r>
    </w:p>
    <w:p w:rsidR="00723966" w:rsidRDefault="00751C68" w:rsidP="00257EBC">
      <w:pPr>
        <w:pStyle w:val="TOCTitle"/>
        <w:widowControl/>
      </w:pPr>
      <w:bookmarkStart w:id="1" w:name="TOChere"/>
      <w:r>
        <w:t>Table of Contents</w:t>
      </w:r>
    </w:p>
    <w:p w:rsidR="00751C68" w:rsidRDefault="00751C68" w:rsidP="00257EBC">
      <w:pPr>
        <w:pStyle w:val="Paratitle"/>
        <w:widowControl/>
      </w:pPr>
      <w:r>
        <w:t>Heading</w:t>
      </w:r>
      <w:r>
        <w:tab/>
        <w:t>Paragraph #</w:t>
      </w:r>
      <w:bookmarkStart w:id="2" w:name="start_here"/>
      <w:bookmarkEnd w:id="2"/>
    </w:p>
    <w:p w:rsidR="00751C68" w:rsidRDefault="00751C68" w:rsidP="00257EBC">
      <w:pPr>
        <w:pStyle w:val="TOC1"/>
        <w:widowControl/>
        <w:rPr>
          <w:rFonts w:asciiTheme="minorHAnsi" w:eastAsiaTheme="minorEastAsia" w:hAnsiTheme="minorHAnsi" w:cstheme="minorBidi"/>
          <w:caps w:val="0"/>
          <w:snapToGrid/>
          <w:kern w:val="0"/>
          <w:szCs w:val="22"/>
        </w:rPr>
      </w:pPr>
      <w:r w:rsidRPr="004420DC">
        <w:t>I.</w:t>
      </w:r>
      <w:r>
        <w:rPr>
          <w:rFonts w:asciiTheme="minorHAnsi" w:eastAsiaTheme="minorEastAsia" w:hAnsiTheme="minorHAnsi" w:cstheme="minorBidi"/>
          <w:caps w:val="0"/>
          <w:snapToGrid/>
          <w:kern w:val="0"/>
          <w:szCs w:val="22"/>
        </w:rPr>
        <w:tab/>
      </w:r>
      <w:r w:rsidRPr="004420DC">
        <w:t>Introduction</w:t>
      </w:r>
      <w:r>
        <w:tab/>
        <w:t>1</w:t>
      </w:r>
    </w:p>
    <w:p w:rsidR="00751C68" w:rsidRDefault="00751C68" w:rsidP="00257EBC">
      <w:pPr>
        <w:pStyle w:val="TOC1"/>
        <w:widowControl/>
        <w:rPr>
          <w:rFonts w:asciiTheme="minorHAnsi" w:eastAsiaTheme="minorEastAsia" w:hAnsiTheme="minorHAnsi" w:cstheme="minorBidi"/>
          <w:caps w:val="0"/>
          <w:snapToGrid/>
          <w:kern w:val="0"/>
          <w:szCs w:val="22"/>
        </w:rPr>
      </w:pPr>
      <w:r w:rsidRPr="004420DC">
        <w:t>II.</w:t>
      </w:r>
      <w:r>
        <w:rPr>
          <w:rFonts w:asciiTheme="minorHAnsi" w:eastAsiaTheme="minorEastAsia" w:hAnsiTheme="minorHAnsi" w:cstheme="minorBidi"/>
          <w:caps w:val="0"/>
          <w:snapToGrid/>
          <w:kern w:val="0"/>
          <w:szCs w:val="22"/>
        </w:rPr>
        <w:tab/>
      </w:r>
      <w:r w:rsidRPr="004420DC">
        <w:t>Background</w:t>
      </w:r>
      <w:r>
        <w:tab/>
        <w:t>4</w:t>
      </w:r>
    </w:p>
    <w:p w:rsidR="00751C68" w:rsidRDefault="00751C68" w:rsidP="00257EBC">
      <w:pPr>
        <w:pStyle w:val="TOC1"/>
        <w:widowControl/>
        <w:rPr>
          <w:rFonts w:asciiTheme="minorHAnsi" w:eastAsiaTheme="minorEastAsia" w:hAnsiTheme="minorHAnsi" w:cstheme="minorBidi"/>
          <w:caps w:val="0"/>
          <w:snapToGrid/>
          <w:kern w:val="0"/>
          <w:szCs w:val="22"/>
        </w:rPr>
      </w:pPr>
      <w:r w:rsidRPr="004420DC">
        <w:t>III.</w:t>
      </w:r>
      <w:r>
        <w:rPr>
          <w:rFonts w:asciiTheme="minorHAnsi" w:eastAsiaTheme="minorEastAsia" w:hAnsiTheme="minorHAnsi" w:cstheme="minorBidi"/>
          <w:caps w:val="0"/>
          <w:snapToGrid/>
          <w:kern w:val="0"/>
          <w:szCs w:val="22"/>
        </w:rPr>
        <w:tab/>
      </w:r>
      <w:r w:rsidRPr="004420DC">
        <w:t>discussion</w:t>
      </w:r>
      <w:r>
        <w:tab/>
        <w:t>9</w:t>
      </w:r>
    </w:p>
    <w:p w:rsidR="00751C68" w:rsidRDefault="00751C68" w:rsidP="00257EBC">
      <w:pPr>
        <w:pStyle w:val="TOC2"/>
        <w:widowControl/>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Priority Access Tier</w:t>
      </w:r>
      <w:r>
        <w:tab/>
        <w:t>10</w:t>
      </w:r>
    </w:p>
    <w:p w:rsidR="00751C68" w:rsidRDefault="00751C68" w:rsidP="00257EBC">
      <w:pPr>
        <w:pStyle w:val="TOC3"/>
        <w:widowControl/>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Open Eligibility for Priority Access Licenses</w:t>
      </w:r>
      <w:r>
        <w:tab/>
        <w:t>11</w:t>
      </w:r>
    </w:p>
    <w:p w:rsidR="00751C68" w:rsidRDefault="00751C68" w:rsidP="00257EBC">
      <w:pPr>
        <w:pStyle w:val="TOC3"/>
        <w:widowControl/>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Priority Access Licenses</w:t>
      </w:r>
      <w:r>
        <w:tab/>
        <w:t>11</w:t>
      </w:r>
    </w:p>
    <w:p w:rsidR="00751C68" w:rsidRDefault="00751C68" w:rsidP="00257EBC">
      <w:pPr>
        <w:pStyle w:val="TOC3"/>
        <w:widowControl/>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Assignment of Priority Access Licenses</w:t>
      </w:r>
      <w:r>
        <w:tab/>
        <w:t>22</w:t>
      </w:r>
    </w:p>
    <w:p w:rsidR="00751C68" w:rsidRDefault="00751C68" w:rsidP="00257EBC">
      <w:pPr>
        <w:pStyle w:val="TOC2"/>
        <w:widowControl/>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Band Plan</w:t>
      </w:r>
      <w:r>
        <w:tab/>
        <w:t>28</w:t>
      </w:r>
    </w:p>
    <w:p w:rsidR="00751C68" w:rsidRDefault="00751C68" w:rsidP="00257EBC">
      <w:pPr>
        <w:pStyle w:val="TOC2"/>
        <w:widowControl/>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Ensuring Productive Spectrum Use</w:t>
      </w:r>
      <w:r>
        <w:tab/>
        <w:t>33</w:t>
      </w:r>
    </w:p>
    <w:p w:rsidR="00751C68" w:rsidRDefault="00751C68" w:rsidP="00257EBC">
      <w:pPr>
        <w:pStyle w:val="TOC2"/>
        <w:widowControl/>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Localized Critical Access Use</w:t>
      </w:r>
      <w:r>
        <w:tab/>
        <w:t>36</w:t>
      </w:r>
    </w:p>
    <w:p w:rsidR="00751C68" w:rsidRDefault="00751C68" w:rsidP="00257EBC">
      <w:pPr>
        <w:pStyle w:val="TOC2"/>
        <w:widowControl/>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Technical Issues</w:t>
      </w:r>
      <w:r>
        <w:tab/>
        <w:t>41</w:t>
      </w:r>
    </w:p>
    <w:p w:rsidR="00751C68" w:rsidRDefault="00751C68" w:rsidP="00257EBC">
      <w:pPr>
        <w:pStyle w:val="TOC3"/>
        <w:widowControl/>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Technical Implementation of the Revised Framework</w:t>
      </w:r>
      <w:r>
        <w:tab/>
        <w:t>42</w:t>
      </w:r>
    </w:p>
    <w:p w:rsidR="00751C68" w:rsidRDefault="00751C68" w:rsidP="00257EBC">
      <w:pPr>
        <w:pStyle w:val="TOC3"/>
        <w:widowControl/>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Additional Technical Considerations</w:t>
      </w:r>
      <w:r>
        <w:tab/>
        <w:t>49</w:t>
      </w:r>
    </w:p>
    <w:p w:rsidR="00751C68" w:rsidRDefault="00751C68" w:rsidP="00257EBC">
      <w:pPr>
        <w:pStyle w:val="TOC2"/>
        <w:widowControl/>
        <w:tabs>
          <w:tab w:val="left" w:pos="360"/>
        </w:tabs>
        <w:rPr>
          <w:rFonts w:asciiTheme="minorHAnsi" w:eastAsiaTheme="minorEastAsia" w:hAnsiTheme="minorHAnsi" w:cstheme="minorBidi"/>
          <w:snapToGrid/>
          <w:kern w:val="0"/>
          <w:szCs w:val="22"/>
        </w:rPr>
      </w:pPr>
      <w:r>
        <w:t>F.</w:t>
      </w:r>
      <w:r>
        <w:rPr>
          <w:rFonts w:asciiTheme="minorHAnsi" w:eastAsiaTheme="minorEastAsia" w:hAnsiTheme="minorHAnsi" w:cstheme="minorBidi"/>
          <w:snapToGrid/>
          <w:kern w:val="0"/>
          <w:szCs w:val="22"/>
        </w:rPr>
        <w:tab/>
      </w:r>
      <w:r>
        <w:t>Extension of Revised Framework to the 3650-3700 MHz Band</w:t>
      </w:r>
      <w:r>
        <w:tab/>
        <w:t>51</w:t>
      </w:r>
    </w:p>
    <w:p w:rsidR="00751C68" w:rsidRDefault="00751C68" w:rsidP="00257EBC">
      <w:pPr>
        <w:pStyle w:val="TOC1"/>
        <w:widowControl/>
        <w:rPr>
          <w:rFonts w:asciiTheme="minorHAnsi" w:eastAsiaTheme="minorEastAsia" w:hAnsiTheme="minorHAnsi" w:cstheme="minorBidi"/>
          <w:caps w:val="0"/>
          <w:snapToGrid/>
          <w:kern w:val="0"/>
          <w:szCs w:val="22"/>
        </w:rPr>
      </w:pPr>
      <w:r w:rsidRPr="004420DC">
        <w:t>IV.</w:t>
      </w:r>
      <w:r>
        <w:rPr>
          <w:rFonts w:asciiTheme="minorHAnsi" w:eastAsiaTheme="minorEastAsia" w:hAnsiTheme="minorHAnsi" w:cstheme="minorBidi"/>
          <w:caps w:val="0"/>
          <w:snapToGrid/>
          <w:kern w:val="0"/>
          <w:szCs w:val="22"/>
        </w:rPr>
        <w:tab/>
      </w:r>
      <w:r w:rsidRPr="004420DC">
        <w:t>Procedural Matters</w:t>
      </w:r>
      <w:r>
        <w:tab/>
        <w:t>52</w:t>
      </w:r>
    </w:p>
    <w:p w:rsidR="00751C68" w:rsidRDefault="00751C68" w:rsidP="00257EBC">
      <w:pPr>
        <w:pStyle w:val="TOC2"/>
        <w:widowControl/>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rsidRPr="004420DC">
        <w:rPr>
          <w:i/>
        </w:rPr>
        <w:t xml:space="preserve">Ex Parte </w:t>
      </w:r>
      <w:r>
        <w:t>Rules</w:t>
      </w:r>
      <w:r>
        <w:tab/>
        <w:t>52</w:t>
      </w:r>
    </w:p>
    <w:p w:rsidR="00751C68" w:rsidRDefault="00751C68" w:rsidP="00257EBC">
      <w:pPr>
        <w:pStyle w:val="TOC2"/>
        <w:widowControl/>
        <w:tabs>
          <w:tab w:val="left" w:pos="360"/>
        </w:tabs>
        <w:rPr>
          <w:rFonts w:asciiTheme="minorHAnsi" w:eastAsiaTheme="minorEastAsia" w:hAnsiTheme="minorHAnsi" w:cstheme="minorBidi"/>
          <w:snapToGrid/>
          <w:kern w:val="0"/>
          <w:szCs w:val="22"/>
        </w:rPr>
      </w:pPr>
      <w:r w:rsidRPr="004420DC">
        <w:rPr>
          <w:snapToGrid/>
        </w:rPr>
        <w:t>B.</w:t>
      </w:r>
      <w:r>
        <w:rPr>
          <w:rFonts w:asciiTheme="minorHAnsi" w:eastAsiaTheme="minorEastAsia" w:hAnsiTheme="minorHAnsi" w:cstheme="minorBidi"/>
          <w:snapToGrid/>
          <w:kern w:val="0"/>
          <w:szCs w:val="22"/>
        </w:rPr>
        <w:tab/>
      </w:r>
      <w:r w:rsidRPr="004420DC">
        <w:rPr>
          <w:snapToGrid/>
        </w:rPr>
        <w:t>Filing Requirements</w:t>
      </w:r>
      <w:r>
        <w:tab/>
        <w:t>53</w:t>
      </w:r>
    </w:p>
    <w:p w:rsidR="00751C68" w:rsidRDefault="00751C68" w:rsidP="00257EBC">
      <w:pPr>
        <w:pStyle w:val="TOC2"/>
        <w:widowControl/>
        <w:tabs>
          <w:tab w:val="left" w:pos="360"/>
        </w:tabs>
        <w:rPr>
          <w:rFonts w:asciiTheme="minorHAnsi" w:eastAsiaTheme="minorEastAsia" w:hAnsiTheme="minorHAnsi" w:cstheme="minorBidi"/>
          <w:snapToGrid/>
          <w:kern w:val="0"/>
          <w:szCs w:val="22"/>
        </w:rPr>
      </w:pPr>
      <w:r w:rsidRPr="004420DC">
        <w:rPr>
          <w:snapToGrid/>
        </w:rPr>
        <w:t>C.</w:t>
      </w:r>
      <w:r>
        <w:rPr>
          <w:rFonts w:asciiTheme="minorHAnsi" w:eastAsiaTheme="minorEastAsia" w:hAnsiTheme="minorHAnsi" w:cstheme="minorBidi"/>
          <w:snapToGrid/>
          <w:kern w:val="0"/>
          <w:szCs w:val="22"/>
        </w:rPr>
        <w:tab/>
      </w:r>
      <w:r w:rsidRPr="004420DC">
        <w:rPr>
          <w:snapToGrid/>
        </w:rPr>
        <w:t>Initial Regulatory Flexibility Analysis</w:t>
      </w:r>
      <w:r>
        <w:tab/>
        <w:t>55</w:t>
      </w:r>
    </w:p>
    <w:p w:rsidR="00751C68" w:rsidRDefault="00751C68" w:rsidP="00257EBC">
      <w:pPr>
        <w:pStyle w:val="TOC2"/>
        <w:widowControl/>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Initial Paperwork Reduction Act Analysis</w:t>
      </w:r>
      <w:r>
        <w:tab/>
        <w:t>56</w:t>
      </w:r>
    </w:p>
    <w:bookmarkEnd w:id="1"/>
    <w:p w:rsidR="00751C68" w:rsidRPr="00B6445F" w:rsidRDefault="00751C68" w:rsidP="00257EBC">
      <w:pPr>
        <w:widowControl/>
        <w:rPr>
          <w:szCs w:val="22"/>
        </w:rPr>
      </w:pPr>
    </w:p>
    <w:p w:rsidR="00412FC5" w:rsidRPr="00B6445F" w:rsidRDefault="00461113" w:rsidP="00257EBC">
      <w:pPr>
        <w:pStyle w:val="Heading1"/>
        <w:widowControl/>
        <w:rPr>
          <w:rFonts w:ascii="Times New Roman" w:hAnsi="Times New Roman"/>
          <w:szCs w:val="22"/>
        </w:rPr>
      </w:pPr>
      <w:bookmarkStart w:id="3" w:name="_Toc364956227"/>
      <w:bookmarkStart w:id="4" w:name="_Toc365040860"/>
      <w:bookmarkStart w:id="5" w:name="_Toc365381556"/>
      <w:bookmarkStart w:id="6" w:name="_Toc365539312"/>
      <w:bookmarkStart w:id="7" w:name="_Toc366145024"/>
      <w:bookmarkStart w:id="8" w:name="_Toc366157649"/>
      <w:bookmarkStart w:id="9" w:name="_Toc366159761"/>
      <w:bookmarkStart w:id="10" w:name="_Toc367261110"/>
      <w:r w:rsidRPr="00B6445F">
        <w:rPr>
          <w:rFonts w:ascii="Times New Roman" w:hAnsi="Times New Roman"/>
          <w:szCs w:val="22"/>
        </w:rPr>
        <w:t>Introduction</w:t>
      </w:r>
      <w:bookmarkEnd w:id="3"/>
      <w:bookmarkEnd w:id="4"/>
      <w:bookmarkEnd w:id="5"/>
      <w:bookmarkEnd w:id="6"/>
      <w:bookmarkEnd w:id="7"/>
      <w:bookmarkEnd w:id="8"/>
      <w:bookmarkEnd w:id="9"/>
      <w:bookmarkEnd w:id="10"/>
      <w:r w:rsidR="00352379" w:rsidRPr="00B6445F">
        <w:rPr>
          <w:rFonts w:ascii="Times New Roman" w:hAnsi="Times New Roman"/>
          <w:szCs w:val="22"/>
        </w:rPr>
        <w:t xml:space="preserve"> </w:t>
      </w:r>
    </w:p>
    <w:p w:rsidR="00AC6E21" w:rsidRPr="00B6445F" w:rsidRDefault="00FB6E87" w:rsidP="00BB251A">
      <w:pPr>
        <w:pStyle w:val="ParaNum"/>
      </w:pPr>
      <w:r w:rsidRPr="00B6445F">
        <w:t xml:space="preserve">In December 2012, </w:t>
      </w:r>
      <w:r w:rsidR="00FD2080">
        <w:t>the Commission</w:t>
      </w:r>
      <w:r w:rsidRPr="00B6445F">
        <w:t xml:space="preserve"> released a</w:t>
      </w:r>
      <w:r w:rsidR="00FD2080">
        <w:t xml:space="preserve"> Notice of Proposed Rulemaking (</w:t>
      </w:r>
      <w:r w:rsidRPr="00B6445F">
        <w:t>NPRM</w:t>
      </w:r>
      <w:r w:rsidR="00FD2080">
        <w:t>)</w:t>
      </w:r>
      <w:r w:rsidR="006F111A" w:rsidRPr="00B6445F">
        <w:t xml:space="preserve"> </w:t>
      </w:r>
      <w:r w:rsidR="00FD2080">
        <w:t>seeking comment on</w:t>
      </w:r>
      <w:r w:rsidR="00FD2080" w:rsidRPr="00B6445F">
        <w:t xml:space="preserve"> </w:t>
      </w:r>
      <w:r w:rsidR="006F111A" w:rsidRPr="00B6445F">
        <w:t>a</w:t>
      </w:r>
      <w:r w:rsidR="000F5332" w:rsidRPr="00B6445F">
        <w:t xml:space="preserve"> new Citizens Broadband Service</w:t>
      </w:r>
      <w:r w:rsidR="006F111A" w:rsidRPr="00B6445F">
        <w:t xml:space="preserve"> in the 3550-3650 MHz band (3.5 GHz Band)</w:t>
      </w:r>
      <w:r w:rsidR="0057457C" w:rsidRPr="00B6445F">
        <w:t xml:space="preserve"> for</w:t>
      </w:r>
      <w:r w:rsidR="00E32000">
        <w:t xml:space="preserve"> </w:t>
      </w:r>
      <w:r w:rsidR="0057457C" w:rsidRPr="00B6445F">
        <w:lastRenderedPageBreak/>
        <w:t>shared, commercial use</w:t>
      </w:r>
      <w:r w:rsidR="00E32000">
        <w:t>s, including small cell networks</w:t>
      </w:r>
      <w:r w:rsidR="0057457C" w:rsidRPr="00B6445F">
        <w:t>.</w:t>
      </w:r>
      <w:r w:rsidR="006F111A" w:rsidRPr="00B6445F">
        <w:rPr>
          <w:rStyle w:val="FootnoteReference"/>
          <w:szCs w:val="22"/>
        </w:rPr>
        <w:footnoteReference w:id="2"/>
      </w:r>
      <w:r w:rsidR="0057457C" w:rsidRPr="00B6445F">
        <w:t xml:space="preserve">  The</w:t>
      </w:r>
      <w:r w:rsidR="00B10C71" w:rsidRPr="00B6445F">
        <w:t xml:space="preserve"> </w:t>
      </w:r>
      <w:r w:rsidR="0057457C" w:rsidRPr="00B6445F">
        <w:t>NPRM proposed a three-tier, license-by-rule authorization framework that would facilitate rapid broadband deployment while protecting existing incumbent users of the 3.5 GHz Band.</w:t>
      </w:r>
      <w:r w:rsidR="00AC6E21" w:rsidRPr="00B6445F">
        <w:rPr>
          <w:rStyle w:val="FootnoteReference"/>
          <w:szCs w:val="22"/>
        </w:rPr>
        <w:footnoteReference w:id="3"/>
      </w:r>
      <w:r w:rsidR="0057457C" w:rsidRPr="00B6445F">
        <w:t xml:space="preserve">  The NPRM solicited comment on all aspects of this proposal</w:t>
      </w:r>
      <w:r w:rsidR="00181271" w:rsidRPr="00B6445F">
        <w:t>, including the appropriate licensing framework and the potential uses of each service tier</w:t>
      </w:r>
      <w:r w:rsidR="001A539F">
        <w:t xml:space="preserve"> and the</w:t>
      </w:r>
      <w:r w:rsidR="00FD2080">
        <w:t xml:space="preserve"> Commission has </w:t>
      </w:r>
      <w:r w:rsidR="007A0BC0" w:rsidRPr="00B6445F">
        <w:t xml:space="preserve">received </w:t>
      </w:r>
      <w:r w:rsidR="0057457C" w:rsidRPr="00B6445F">
        <w:t xml:space="preserve">extensive </w:t>
      </w:r>
      <w:r w:rsidR="007A0BC0" w:rsidRPr="00B6445F">
        <w:t>comment</w:t>
      </w:r>
      <w:r w:rsidR="0057457C" w:rsidRPr="00B6445F">
        <w:t xml:space="preserve"> from </w:t>
      </w:r>
      <w:r w:rsidR="007A0BC0" w:rsidRPr="00B6445F">
        <w:t>a wide range of</w:t>
      </w:r>
      <w:r w:rsidR="0057457C" w:rsidRPr="00B6445F">
        <w:t xml:space="preserve"> stakeholders</w:t>
      </w:r>
      <w:r w:rsidR="00FD2080">
        <w:t xml:space="preserve"> in</w:t>
      </w:r>
      <w:r w:rsidR="001A539F">
        <w:t xml:space="preserve"> response</w:t>
      </w:r>
      <w:r w:rsidR="0057457C" w:rsidRPr="00B6445F">
        <w:t>.</w:t>
      </w:r>
      <w:r w:rsidR="00AC6E21" w:rsidRPr="00B6445F">
        <w:rPr>
          <w:rStyle w:val="FootnoteReference"/>
          <w:szCs w:val="22"/>
        </w:rPr>
        <w:footnoteReference w:id="4"/>
      </w:r>
      <w:r w:rsidR="00A538D7" w:rsidRPr="00B6445F">
        <w:t xml:space="preserve">  </w:t>
      </w:r>
      <w:r w:rsidR="003A42E4">
        <w:t>The Commission</w:t>
      </w:r>
      <w:r w:rsidR="003A42E4" w:rsidRPr="00B6445F">
        <w:t xml:space="preserve"> </w:t>
      </w:r>
      <w:r w:rsidR="00AA10CD" w:rsidRPr="00B6445F">
        <w:t>also held a workshop on March 14, 2013 to bring together diverse perspectives on the band and foster productive discussion on the NPRM.</w:t>
      </w:r>
      <w:r w:rsidR="00AA10CD" w:rsidRPr="00B6445F">
        <w:rPr>
          <w:rStyle w:val="FootnoteReference"/>
          <w:szCs w:val="22"/>
        </w:rPr>
        <w:footnoteReference w:id="5"/>
      </w:r>
      <w:r w:rsidR="00AA10CD" w:rsidRPr="00B6445F">
        <w:t xml:space="preserve">  </w:t>
      </w:r>
      <w:r w:rsidR="003A42E4">
        <w:t>Based upon our review of the substantial record before us</w:t>
      </w:r>
      <w:r w:rsidR="007A0BC0" w:rsidRPr="00B6445F">
        <w:t>,</w:t>
      </w:r>
      <w:r w:rsidR="00A538D7" w:rsidRPr="00B6445F">
        <w:t xml:space="preserve"> we have determined that it would be in the public interest to solicit</w:t>
      </w:r>
      <w:r w:rsidR="00B159EC">
        <w:t xml:space="preserve"> further</w:t>
      </w:r>
      <w:r w:rsidR="00A538D7" w:rsidRPr="00B6445F">
        <w:t xml:space="preserve"> comment on </w:t>
      </w:r>
      <w:r w:rsidR="00B159EC">
        <w:t xml:space="preserve">specific </w:t>
      </w:r>
      <w:r w:rsidR="00553590" w:rsidRPr="00B6445F">
        <w:t xml:space="preserve">alternative licensing proposals inspired by </w:t>
      </w:r>
      <w:r w:rsidR="00A538D7" w:rsidRPr="00B6445F">
        <w:t>some of the suggestions made by commenters</w:t>
      </w:r>
      <w:r w:rsidR="00AC6E21" w:rsidRPr="00B6445F">
        <w:t xml:space="preserve"> and workshop </w:t>
      </w:r>
      <w:r w:rsidR="00D95BEC" w:rsidRPr="00B6445F">
        <w:t>participants</w:t>
      </w:r>
      <w:r w:rsidR="00E32000">
        <w:t xml:space="preserve"> to facilitate use of the band for a diverse array of applications</w:t>
      </w:r>
      <w:r w:rsidR="00AC6E21" w:rsidRPr="00B6445F">
        <w:t>.</w:t>
      </w:r>
    </w:p>
    <w:p w:rsidR="00376F00" w:rsidRPr="00B6445F" w:rsidRDefault="00CF68B4" w:rsidP="00257EBC">
      <w:pPr>
        <w:pStyle w:val="ParaNum"/>
        <w:widowControl/>
        <w:rPr>
          <w:szCs w:val="22"/>
        </w:rPr>
      </w:pPr>
      <w:r w:rsidRPr="00B6445F">
        <w:rPr>
          <w:szCs w:val="22"/>
        </w:rPr>
        <w:t>This Public Notice</w:t>
      </w:r>
      <w:r w:rsidR="00D02A39">
        <w:rPr>
          <w:szCs w:val="22"/>
        </w:rPr>
        <w:t xml:space="preserve"> builds on the NPRM and elaborates on some alternative licensing concepts described in that document. </w:t>
      </w:r>
      <w:r w:rsidR="007E73CA">
        <w:rPr>
          <w:szCs w:val="22"/>
        </w:rPr>
        <w:t xml:space="preserve"> </w:t>
      </w:r>
      <w:r w:rsidR="00D02A39">
        <w:rPr>
          <w:szCs w:val="22"/>
        </w:rPr>
        <w:t xml:space="preserve">We refer </w:t>
      </w:r>
      <w:r w:rsidR="007C20BE">
        <w:rPr>
          <w:szCs w:val="22"/>
        </w:rPr>
        <w:t xml:space="preserve">to </w:t>
      </w:r>
      <w:r w:rsidR="003A42E4">
        <w:rPr>
          <w:szCs w:val="22"/>
        </w:rPr>
        <w:t>these</w:t>
      </w:r>
      <w:r w:rsidR="00D02A39">
        <w:rPr>
          <w:szCs w:val="22"/>
        </w:rPr>
        <w:t xml:space="preserve"> </w:t>
      </w:r>
      <w:r w:rsidR="001E379A">
        <w:rPr>
          <w:szCs w:val="22"/>
        </w:rPr>
        <w:t xml:space="preserve">elaborated </w:t>
      </w:r>
      <w:r w:rsidR="00D02A39">
        <w:rPr>
          <w:szCs w:val="22"/>
        </w:rPr>
        <w:t xml:space="preserve">licensing concepts as the </w:t>
      </w:r>
      <w:r w:rsidR="0037434C">
        <w:rPr>
          <w:szCs w:val="22"/>
        </w:rPr>
        <w:t>Revised Framework</w:t>
      </w:r>
      <w:r w:rsidRPr="00B6445F">
        <w:rPr>
          <w:szCs w:val="22"/>
        </w:rPr>
        <w:t xml:space="preserve">.  </w:t>
      </w:r>
      <w:r w:rsidR="00C51E82">
        <w:rPr>
          <w:szCs w:val="22"/>
        </w:rPr>
        <w:t>Th</w:t>
      </w:r>
      <w:r w:rsidR="003A42E4">
        <w:rPr>
          <w:szCs w:val="22"/>
        </w:rPr>
        <w:t>e</w:t>
      </w:r>
      <w:r w:rsidR="00C51E82">
        <w:rPr>
          <w:szCs w:val="22"/>
        </w:rPr>
        <w:t xml:space="preserve"> Revised Framework </w:t>
      </w:r>
      <w:r w:rsidR="001A539F">
        <w:rPr>
          <w:szCs w:val="22"/>
        </w:rPr>
        <w:t xml:space="preserve">describes </w:t>
      </w:r>
      <w:r w:rsidR="00947939">
        <w:rPr>
          <w:szCs w:val="22"/>
        </w:rPr>
        <w:t>an integrated approach to</w:t>
      </w:r>
      <w:r w:rsidR="00DC42DC" w:rsidRPr="00B6445F">
        <w:rPr>
          <w:szCs w:val="22"/>
        </w:rPr>
        <w:t xml:space="preserve"> </w:t>
      </w:r>
      <w:r w:rsidR="003A42E4">
        <w:rPr>
          <w:szCs w:val="22"/>
        </w:rPr>
        <w:t xml:space="preserve">dynamically </w:t>
      </w:r>
      <w:r w:rsidR="00947939">
        <w:rPr>
          <w:szCs w:val="22"/>
        </w:rPr>
        <w:t>authorizing</w:t>
      </w:r>
      <w:r w:rsidR="00DC42DC" w:rsidRPr="00B6445F">
        <w:rPr>
          <w:szCs w:val="22"/>
        </w:rPr>
        <w:t xml:space="preserve"> access to </w:t>
      </w:r>
      <w:r w:rsidR="001A539F">
        <w:rPr>
          <w:szCs w:val="22"/>
        </w:rPr>
        <w:t xml:space="preserve">the Priority Access and General Authorized Access (GAA) </w:t>
      </w:r>
      <w:r w:rsidR="00030698">
        <w:rPr>
          <w:szCs w:val="22"/>
        </w:rPr>
        <w:t>tier</w:t>
      </w:r>
      <w:r w:rsidR="001A539F">
        <w:rPr>
          <w:szCs w:val="22"/>
        </w:rPr>
        <w:t>s</w:t>
      </w:r>
      <w:r w:rsidR="0047262E">
        <w:rPr>
          <w:szCs w:val="22"/>
        </w:rPr>
        <w:t xml:space="preserve"> </w:t>
      </w:r>
      <w:r w:rsidR="001A539F">
        <w:rPr>
          <w:szCs w:val="22"/>
        </w:rPr>
        <w:t xml:space="preserve">of the 3.5 GHz Band </w:t>
      </w:r>
      <w:r w:rsidR="0047262E">
        <w:rPr>
          <w:szCs w:val="22"/>
        </w:rPr>
        <w:t xml:space="preserve">and represents one logical approach towards </w:t>
      </w:r>
      <w:r w:rsidR="00E32000">
        <w:rPr>
          <w:szCs w:val="22"/>
        </w:rPr>
        <w:t>implementing the next generation of spectrum management systems</w:t>
      </w:r>
      <w:r w:rsidR="00B159EC">
        <w:rPr>
          <w:szCs w:val="22"/>
        </w:rPr>
        <w:t xml:space="preserve"> in light</w:t>
      </w:r>
      <w:r w:rsidR="003D54CF" w:rsidRPr="00B6445F">
        <w:rPr>
          <w:szCs w:val="22"/>
        </w:rPr>
        <w:t xml:space="preserve"> of the proposals and alternative proposals set forth in the NPRM, the presentations made at the workshop, and the </w:t>
      </w:r>
      <w:r w:rsidR="00E92C05">
        <w:rPr>
          <w:szCs w:val="22"/>
        </w:rPr>
        <w:t xml:space="preserve">record </w:t>
      </w:r>
      <w:r w:rsidR="001E379A">
        <w:rPr>
          <w:szCs w:val="22"/>
        </w:rPr>
        <w:t>in this proceeding</w:t>
      </w:r>
      <w:r w:rsidR="003D54CF" w:rsidRPr="00B6445F">
        <w:rPr>
          <w:szCs w:val="22"/>
        </w:rPr>
        <w:t xml:space="preserve">.  </w:t>
      </w:r>
      <w:r w:rsidR="001A539F">
        <w:rPr>
          <w:szCs w:val="22"/>
        </w:rPr>
        <w:t xml:space="preserve">The Public Notice </w:t>
      </w:r>
      <w:r w:rsidR="001A539F" w:rsidRPr="00B6445F">
        <w:rPr>
          <w:szCs w:val="22"/>
        </w:rPr>
        <w:t xml:space="preserve">also </w:t>
      </w:r>
      <w:r w:rsidR="001A539F">
        <w:rPr>
          <w:szCs w:val="22"/>
        </w:rPr>
        <w:t>includes</w:t>
      </w:r>
      <w:r w:rsidR="001A539F" w:rsidRPr="00B6445F">
        <w:rPr>
          <w:szCs w:val="22"/>
        </w:rPr>
        <w:t xml:space="preserve"> examples of </w:t>
      </w:r>
      <w:r w:rsidR="001A539F">
        <w:rPr>
          <w:szCs w:val="22"/>
        </w:rPr>
        <w:t xml:space="preserve">possible </w:t>
      </w:r>
      <w:r w:rsidR="001A539F" w:rsidRPr="00B6445F">
        <w:rPr>
          <w:szCs w:val="22"/>
        </w:rPr>
        <w:t>technical specifications</w:t>
      </w:r>
      <w:r w:rsidR="001A539F">
        <w:rPr>
          <w:szCs w:val="22"/>
        </w:rPr>
        <w:t>,</w:t>
      </w:r>
      <w:r w:rsidR="001A539F" w:rsidRPr="00B6445F">
        <w:rPr>
          <w:szCs w:val="22"/>
        </w:rPr>
        <w:t xml:space="preserve"> which could </w:t>
      </w:r>
      <w:r w:rsidR="001A539F">
        <w:rPr>
          <w:szCs w:val="22"/>
        </w:rPr>
        <w:t>enable</w:t>
      </w:r>
      <w:r w:rsidR="001A539F" w:rsidRPr="00B6445F">
        <w:rPr>
          <w:szCs w:val="22"/>
        </w:rPr>
        <w:t xml:space="preserve"> multiple </w:t>
      </w:r>
      <w:r w:rsidR="001A539F">
        <w:rPr>
          <w:szCs w:val="22"/>
        </w:rPr>
        <w:t>networks</w:t>
      </w:r>
      <w:r w:rsidR="001A539F" w:rsidRPr="00B6445F">
        <w:rPr>
          <w:szCs w:val="22"/>
        </w:rPr>
        <w:t xml:space="preserve"> </w:t>
      </w:r>
      <w:r w:rsidR="001A539F">
        <w:rPr>
          <w:szCs w:val="22"/>
        </w:rPr>
        <w:t xml:space="preserve">to coexist in the band </w:t>
      </w:r>
      <w:r w:rsidR="001A539F" w:rsidRPr="00B6445F">
        <w:rPr>
          <w:szCs w:val="22"/>
        </w:rPr>
        <w:t xml:space="preserve">within a given geographic area.  </w:t>
      </w:r>
      <w:r w:rsidR="00DC42DC" w:rsidRPr="00B6445F">
        <w:rPr>
          <w:szCs w:val="22"/>
        </w:rPr>
        <w:t xml:space="preserve">We seek detailed comment on the </w:t>
      </w:r>
      <w:r w:rsidR="0037434C">
        <w:rPr>
          <w:szCs w:val="22"/>
        </w:rPr>
        <w:t>Revised Framework</w:t>
      </w:r>
      <w:r w:rsidR="00DC42DC" w:rsidRPr="00B6445F">
        <w:rPr>
          <w:szCs w:val="22"/>
        </w:rPr>
        <w:t xml:space="preserve"> and the </w:t>
      </w:r>
      <w:r w:rsidR="00E92C05">
        <w:rPr>
          <w:szCs w:val="22"/>
        </w:rPr>
        <w:t>possible</w:t>
      </w:r>
      <w:r w:rsidR="00E92C05" w:rsidRPr="00B6445F">
        <w:rPr>
          <w:szCs w:val="22"/>
        </w:rPr>
        <w:t xml:space="preserve"> </w:t>
      </w:r>
      <w:r w:rsidR="00DC42DC" w:rsidRPr="00B6445F">
        <w:rPr>
          <w:szCs w:val="22"/>
        </w:rPr>
        <w:t xml:space="preserve">technical </w:t>
      </w:r>
      <w:r w:rsidR="00C671F6" w:rsidRPr="00B6445F">
        <w:rPr>
          <w:szCs w:val="22"/>
        </w:rPr>
        <w:t>criteria</w:t>
      </w:r>
      <w:r w:rsidR="00E92C05">
        <w:rPr>
          <w:szCs w:val="22"/>
        </w:rPr>
        <w:t xml:space="preserve">.  We </w:t>
      </w:r>
      <w:r w:rsidR="00DC42DC" w:rsidRPr="00B6445F">
        <w:rPr>
          <w:szCs w:val="22"/>
        </w:rPr>
        <w:t>request that commenters provide technical</w:t>
      </w:r>
      <w:r w:rsidR="00C671F6" w:rsidRPr="00B6445F">
        <w:rPr>
          <w:szCs w:val="22"/>
        </w:rPr>
        <w:t xml:space="preserve"> and cost-benefit</w:t>
      </w:r>
      <w:r w:rsidR="00DC42DC" w:rsidRPr="00B6445F">
        <w:rPr>
          <w:szCs w:val="22"/>
        </w:rPr>
        <w:t xml:space="preserve"> analyses to support their positions.</w:t>
      </w:r>
      <w:r w:rsidRPr="00B6445F">
        <w:rPr>
          <w:szCs w:val="22"/>
        </w:rPr>
        <w:t xml:space="preserve">   </w:t>
      </w:r>
    </w:p>
    <w:p w:rsidR="00461113" w:rsidRPr="00B6445F" w:rsidRDefault="00CF68B4" w:rsidP="00C03243">
      <w:pPr>
        <w:pStyle w:val="ParaNum"/>
      </w:pPr>
      <w:r w:rsidRPr="00B6445F">
        <w:t>Our goal</w:t>
      </w:r>
      <w:r w:rsidR="00D02A39">
        <w:t xml:space="preserve"> </w:t>
      </w:r>
      <w:r w:rsidR="007C20BE">
        <w:t xml:space="preserve">in seeking comment on </w:t>
      </w:r>
      <w:r w:rsidR="00D02A39">
        <w:t xml:space="preserve">the </w:t>
      </w:r>
      <w:r w:rsidR="0037434C">
        <w:t>Revised Framework</w:t>
      </w:r>
      <w:r w:rsidRPr="00B6445F">
        <w:t xml:space="preserve"> is to supplement the record with </w:t>
      </w:r>
      <w:r w:rsidR="00727298">
        <w:t>focused comment</w:t>
      </w:r>
      <w:r w:rsidRPr="00B6445F">
        <w:t xml:space="preserve"> on licensing and authorization concepts for the 3.5 GHz Band.  </w:t>
      </w:r>
      <w:r w:rsidR="00DC4CF9" w:rsidRPr="00B6445F">
        <w:t>This</w:t>
      </w:r>
      <w:r w:rsidR="00376F00" w:rsidRPr="00B6445F">
        <w:t xml:space="preserve"> Public Notice does not </w:t>
      </w:r>
      <w:r w:rsidR="008F7541">
        <w:t>discuss</w:t>
      </w:r>
      <w:r w:rsidR="00376F00" w:rsidRPr="00B6445F">
        <w:t xml:space="preserve"> issues related to shared operations with incumbent federal and </w:t>
      </w:r>
      <w:r w:rsidR="00E92C05">
        <w:t>Fixed Satellite System (</w:t>
      </w:r>
      <w:r w:rsidR="00376F00" w:rsidRPr="00B6445F">
        <w:t>FSS</w:t>
      </w:r>
      <w:r w:rsidR="00E92C05">
        <w:t>)</w:t>
      </w:r>
      <w:r w:rsidR="00376F00" w:rsidRPr="00B6445F">
        <w:t xml:space="preserve"> users, potential out-of-band interference issues, or any potential geographic restrictions on commercial use of the 3.5 GHz Band.  </w:t>
      </w:r>
      <w:r w:rsidR="007C20BE">
        <w:t xml:space="preserve">The Commission </w:t>
      </w:r>
      <w:r w:rsidR="00EC4096">
        <w:t xml:space="preserve">or Bureaus </w:t>
      </w:r>
      <w:r w:rsidR="00DC4CF9" w:rsidRPr="00B6445F">
        <w:t xml:space="preserve">may release additional public notices to </w:t>
      </w:r>
      <w:r w:rsidR="008F7541">
        <w:t xml:space="preserve">supplement the record on </w:t>
      </w:r>
      <w:r w:rsidR="00DC4CF9" w:rsidRPr="00B6445F">
        <w:t xml:space="preserve">these </w:t>
      </w:r>
      <w:r w:rsidR="00EC4096">
        <w:t>or other</w:t>
      </w:r>
      <w:r w:rsidR="00EC4096" w:rsidRPr="00B6445F">
        <w:t xml:space="preserve"> </w:t>
      </w:r>
      <w:r w:rsidR="00DC4CF9" w:rsidRPr="00B6445F">
        <w:t xml:space="preserve">issues. </w:t>
      </w:r>
      <w:r w:rsidR="007E73CA">
        <w:t xml:space="preserve"> </w:t>
      </w:r>
      <w:r w:rsidR="00AC4E07">
        <w:t>We also plan to hold a workshop in the near future on the technical aspects of the</w:t>
      </w:r>
      <w:r w:rsidR="00892ABA">
        <w:t xml:space="preserve"> Spectrum Access System</w:t>
      </w:r>
      <w:r w:rsidR="00AC4E07">
        <w:t xml:space="preserve"> </w:t>
      </w:r>
      <w:r w:rsidR="00892ABA">
        <w:t>(</w:t>
      </w:r>
      <w:r w:rsidR="00AC4E07">
        <w:t>SAS</w:t>
      </w:r>
      <w:r w:rsidR="00892ABA">
        <w:t>), as proposed in the NPRM</w:t>
      </w:r>
      <w:r w:rsidR="00AC4E07">
        <w:t>.</w:t>
      </w:r>
      <w:r w:rsidR="00960F1E">
        <w:rPr>
          <w:rStyle w:val="FootnoteReference"/>
        </w:rPr>
        <w:footnoteReference w:id="6"/>
      </w:r>
      <w:r w:rsidR="00AC4E07">
        <w:t xml:space="preserve">  </w:t>
      </w:r>
      <w:r w:rsidR="00097917">
        <w:t>Accordingly, with respect to our request for comment here, we</w:t>
      </w:r>
      <w:r w:rsidR="00DC4CF9" w:rsidRPr="00B6445F">
        <w:t xml:space="preserve"> </w:t>
      </w:r>
      <w:r w:rsidR="00376F00" w:rsidRPr="00B6445F">
        <w:t xml:space="preserve">encourage commenters </w:t>
      </w:r>
      <w:r w:rsidR="00B159EC">
        <w:t>to focus on t</w:t>
      </w:r>
      <w:r w:rsidR="00DC4CF9" w:rsidRPr="00B6445F">
        <w:t>hose issues</w:t>
      </w:r>
      <w:r w:rsidR="00376F00" w:rsidRPr="00B6445F">
        <w:t xml:space="preserve"> that </w:t>
      </w:r>
      <w:r w:rsidR="00DC4CF9" w:rsidRPr="00B6445F">
        <w:t xml:space="preserve">relate to the licensing and authorization concepts </w:t>
      </w:r>
      <w:r w:rsidR="007C20BE">
        <w:t xml:space="preserve">discussed </w:t>
      </w:r>
      <w:r w:rsidR="00E92C05">
        <w:t>in</w:t>
      </w:r>
      <w:r w:rsidR="00DC4CF9" w:rsidRPr="00B6445F">
        <w:t xml:space="preserve"> </w:t>
      </w:r>
      <w:r w:rsidR="00727298">
        <w:t xml:space="preserve">the NPRM, as elaborated </w:t>
      </w:r>
      <w:r w:rsidR="007C20BE">
        <w:t xml:space="preserve">on </w:t>
      </w:r>
      <w:r w:rsidR="00727298">
        <w:t xml:space="preserve">in </w:t>
      </w:r>
      <w:r w:rsidR="00DC4CF9" w:rsidRPr="00B6445F">
        <w:t>this Public Notice.</w:t>
      </w:r>
      <w:r w:rsidR="00097917">
        <w:t xml:space="preserve">  </w:t>
      </w:r>
      <w:r w:rsidR="00C92898" w:rsidRPr="00C92898">
        <w:t xml:space="preserve">Due to unique circumstances in this proceeding, including the issuance of subsequent public notice to augment the initial </w:t>
      </w:r>
      <w:r w:rsidR="00C92898">
        <w:t>NPRM</w:t>
      </w:r>
      <w:r w:rsidR="00C92898" w:rsidRPr="00C92898">
        <w:t xml:space="preserve">, the development of a novel licensing regime through the </w:t>
      </w:r>
      <w:r w:rsidR="00C92898">
        <w:t>SAS</w:t>
      </w:r>
      <w:r w:rsidR="00C92898" w:rsidRPr="00C92898">
        <w:t xml:space="preserve">, and the need to coordinate with incumbent federal users of the 3550-3650 MHz band, we believe that the record may benefit from additional comment on specific rule proposals at a subsequent stage. </w:t>
      </w:r>
      <w:r w:rsidR="00C92898">
        <w:t xml:space="preserve"> </w:t>
      </w:r>
      <w:r w:rsidR="00C03243">
        <w:t xml:space="preserve">As a result, </w:t>
      </w:r>
      <w:r w:rsidR="00C03243" w:rsidRPr="00C03243">
        <w:t>we will propose specific rules through a Further Notice of Proposed Rulemaking prior to issuing a Report and</w:t>
      </w:r>
      <w:r w:rsidR="00C03243">
        <w:t xml:space="preserve"> Order</w:t>
      </w:r>
      <w:r w:rsidR="00C92898" w:rsidRPr="00C92898">
        <w:t>.</w:t>
      </w:r>
    </w:p>
    <w:p w:rsidR="00AC6E21" w:rsidRPr="00B6445F" w:rsidRDefault="00AC6E21" w:rsidP="00257EBC">
      <w:pPr>
        <w:pStyle w:val="Heading1"/>
        <w:widowControl/>
        <w:rPr>
          <w:rFonts w:ascii="Times New Roman" w:hAnsi="Times New Roman"/>
          <w:szCs w:val="22"/>
        </w:rPr>
      </w:pPr>
      <w:bookmarkStart w:id="11" w:name="_Toc364956228"/>
      <w:bookmarkStart w:id="12" w:name="_Toc365040861"/>
      <w:bookmarkStart w:id="13" w:name="_Toc365381557"/>
      <w:bookmarkStart w:id="14" w:name="_Toc365539313"/>
      <w:bookmarkStart w:id="15" w:name="_Toc366145025"/>
      <w:bookmarkStart w:id="16" w:name="_Toc366157650"/>
      <w:bookmarkStart w:id="17" w:name="_Toc366159762"/>
      <w:bookmarkStart w:id="18" w:name="_Toc367261111"/>
      <w:r w:rsidRPr="00B6445F">
        <w:rPr>
          <w:rFonts w:ascii="Times New Roman" w:hAnsi="Times New Roman"/>
          <w:szCs w:val="22"/>
        </w:rPr>
        <w:lastRenderedPageBreak/>
        <w:t>Background</w:t>
      </w:r>
      <w:bookmarkEnd w:id="11"/>
      <w:bookmarkEnd w:id="12"/>
      <w:bookmarkEnd w:id="13"/>
      <w:bookmarkEnd w:id="14"/>
      <w:bookmarkEnd w:id="15"/>
      <w:bookmarkEnd w:id="16"/>
      <w:bookmarkEnd w:id="17"/>
      <w:bookmarkEnd w:id="18"/>
    </w:p>
    <w:p w:rsidR="00B33636" w:rsidRDefault="00B33636" w:rsidP="00257EBC">
      <w:pPr>
        <w:pStyle w:val="ParaNum"/>
        <w:widowControl/>
        <w:rPr>
          <w:szCs w:val="22"/>
        </w:rPr>
      </w:pPr>
      <w:r>
        <w:rPr>
          <w:szCs w:val="22"/>
        </w:rPr>
        <w:t xml:space="preserve">As we noted in the NPRM, </w:t>
      </w:r>
      <w:r w:rsidR="00F81A06">
        <w:rPr>
          <w:szCs w:val="20"/>
        </w:rPr>
        <w:t xml:space="preserve">due to the technical characteristics of the 3.5 GHz Band and the existence of important incumbent operations in the band in many areas of the country, </w:t>
      </w:r>
      <w:r>
        <w:rPr>
          <w:szCs w:val="20"/>
        </w:rPr>
        <w:t>t</w:t>
      </w:r>
      <w:r w:rsidR="00F81A06">
        <w:rPr>
          <w:szCs w:val="20"/>
        </w:rPr>
        <w:t>he band</w:t>
      </w:r>
      <w:r w:rsidRPr="00B33636">
        <w:rPr>
          <w:szCs w:val="20"/>
        </w:rPr>
        <w:t xml:space="preserve"> appears to be an ideal </w:t>
      </w:r>
      <w:r w:rsidR="001E379A">
        <w:rPr>
          <w:szCs w:val="20"/>
        </w:rPr>
        <w:t>platform</w:t>
      </w:r>
      <w:r w:rsidR="001E379A" w:rsidRPr="00B33636">
        <w:rPr>
          <w:szCs w:val="20"/>
        </w:rPr>
        <w:t xml:space="preserve"> </w:t>
      </w:r>
      <w:r w:rsidRPr="00B33636">
        <w:rPr>
          <w:szCs w:val="20"/>
        </w:rPr>
        <w:t xml:space="preserve">to </w:t>
      </w:r>
      <w:r w:rsidR="00F81A06">
        <w:rPr>
          <w:szCs w:val="20"/>
        </w:rPr>
        <w:t xml:space="preserve">explore innovative approaches to </w:t>
      </w:r>
      <w:r w:rsidRPr="00B33636">
        <w:rPr>
          <w:szCs w:val="20"/>
        </w:rPr>
        <w:t>shared spectrum use</w:t>
      </w:r>
      <w:r w:rsidR="00F81A06">
        <w:rPr>
          <w:szCs w:val="20"/>
        </w:rPr>
        <w:t xml:space="preserve"> and small cell technology.</w:t>
      </w:r>
      <w:r>
        <w:rPr>
          <w:rStyle w:val="FootnoteReference"/>
          <w:szCs w:val="20"/>
        </w:rPr>
        <w:footnoteReference w:id="7"/>
      </w:r>
      <w:r w:rsidRPr="00B33636">
        <w:rPr>
          <w:szCs w:val="20"/>
        </w:rPr>
        <w:t xml:space="preserve">  </w:t>
      </w:r>
      <w:r>
        <w:rPr>
          <w:szCs w:val="20"/>
        </w:rPr>
        <w:t xml:space="preserve">Due to the existence of Federal operations in the band, NTIA’s </w:t>
      </w:r>
      <w:r w:rsidRPr="00B33636">
        <w:rPr>
          <w:szCs w:val="20"/>
        </w:rPr>
        <w:t xml:space="preserve">Fast Track Report recommended, based on </w:t>
      </w:r>
      <w:r w:rsidR="001E379A">
        <w:rPr>
          <w:szCs w:val="20"/>
        </w:rPr>
        <w:t>some assumptions about deployment of</w:t>
      </w:r>
      <w:r w:rsidR="001E379A" w:rsidRPr="00B33636">
        <w:rPr>
          <w:szCs w:val="20"/>
        </w:rPr>
        <w:t xml:space="preserve"> </w:t>
      </w:r>
      <w:r w:rsidRPr="00B33636">
        <w:rPr>
          <w:szCs w:val="20"/>
        </w:rPr>
        <w:t xml:space="preserve">commercial wireless broadband </w:t>
      </w:r>
      <w:proofErr w:type="gramStart"/>
      <w:r w:rsidRPr="00B33636">
        <w:rPr>
          <w:szCs w:val="20"/>
        </w:rPr>
        <w:t>technology ,</w:t>
      </w:r>
      <w:proofErr w:type="gramEnd"/>
      <w:r w:rsidRPr="00B33636">
        <w:rPr>
          <w:szCs w:val="20"/>
        </w:rPr>
        <w:t xml:space="preserve"> that new commercial uses of the band occur ou</w:t>
      </w:r>
      <w:r>
        <w:rPr>
          <w:szCs w:val="20"/>
        </w:rPr>
        <w:t>tside of large “exclusion zones</w:t>
      </w:r>
      <w:r w:rsidRPr="00B33636">
        <w:rPr>
          <w:szCs w:val="20"/>
        </w:rPr>
        <w:t>”</w:t>
      </w:r>
      <w:r w:rsidR="002802D6" w:rsidRPr="002802D6">
        <w:rPr>
          <w:szCs w:val="20"/>
        </w:rPr>
        <w:t xml:space="preserve"> </w:t>
      </w:r>
      <w:r w:rsidR="002802D6" w:rsidRPr="00B33636">
        <w:rPr>
          <w:szCs w:val="20"/>
        </w:rPr>
        <w:t>to protect government operation</w:t>
      </w:r>
      <w:r w:rsidR="001718E9">
        <w:rPr>
          <w:szCs w:val="20"/>
        </w:rPr>
        <w:t>s.</w:t>
      </w:r>
      <w:r>
        <w:rPr>
          <w:rStyle w:val="FootnoteReference"/>
          <w:szCs w:val="20"/>
        </w:rPr>
        <w:footnoteReference w:id="8"/>
      </w:r>
      <w:r w:rsidRPr="00B33636">
        <w:rPr>
          <w:szCs w:val="20"/>
        </w:rPr>
        <w:t xml:space="preserve"> </w:t>
      </w:r>
      <w:r w:rsidR="007E73CA">
        <w:rPr>
          <w:szCs w:val="20"/>
        </w:rPr>
        <w:t xml:space="preserve"> </w:t>
      </w:r>
      <w:r w:rsidR="00AF2362">
        <w:rPr>
          <w:szCs w:val="20"/>
        </w:rPr>
        <w:t>Given that the exclusion</w:t>
      </w:r>
      <w:r w:rsidR="001A539F">
        <w:rPr>
          <w:szCs w:val="20"/>
        </w:rPr>
        <w:t xml:space="preserve"> </w:t>
      </w:r>
      <w:r w:rsidR="005C4A4F">
        <w:rPr>
          <w:szCs w:val="20"/>
        </w:rPr>
        <w:t xml:space="preserve">zones </w:t>
      </w:r>
      <w:r w:rsidR="00F81A06">
        <w:rPr>
          <w:szCs w:val="20"/>
        </w:rPr>
        <w:t>would</w:t>
      </w:r>
      <w:r w:rsidRPr="00B33636">
        <w:rPr>
          <w:szCs w:val="20"/>
        </w:rPr>
        <w:t xml:space="preserve"> cover approximately 60</w:t>
      </w:r>
      <w:r w:rsidR="001A539F">
        <w:rPr>
          <w:szCs w:val="20"/>
        </w:rPr>
        <w:t xml:space="preserve"> percent of the U.S. population</w:t>
      </w:r>
      <w:r w:rsidRPr="00B33636">
        <w:rPr>
          <w:szCs w:val="20"/>
          <w:vertAlign w:val="superscript"/>
        </w:rPr>
        <w:footnoteReference w:id="9"/>
      </w:r>
      <w:r w:rsidR="001A539F">
        <w:rPr>
          <w:szCs w:val="20"/>
        </w:rPr>
        <w:t xml:space="preserve"> </w:t>
      </w:r>
      <w:r w:rsidRPr="00B33636">
        <w:rPr>
          <w:szCs w:val="20"/>
        </w:rPr>
        <w:t xml:space="preserve">and because of limited signal propagation at 3.5 GHz, </w:t>
      </w:r>
      <w:r w:rsidR="00F81A06">
        <w:rPr>
          <w:szCs w:val="20"/>
        </w:rPr>
        <w:t xml:space="preserve">the band did not appear to be </w:t>
      </w:r>
      <w:proofErr w:type="gramStart"/>
      <w:r w:rsidRPr="00B33636">
        <w:rPr>
          <w:szCs w:val="20"/>
        </w:rPr>
        <w:t>well-</w:t>
      </w:r>
      <w:r w:rsidR="00F81A06">
        <w:rPr>
          <w:szCs w:val="20"/>
        </w:rPr>
        <w:t>suited</w:t>
      </w:r>
      <w:proofErr w:type="gramEnd"/>
      <w:r w:rsidR="00F81A06">
        <w:rPr>
          <w:szCs w:val="20"/>
        </w:rPr>
        <w:t xml:space="preserve"> for </w:t>
      </w:r>
      <w:proofErr w:type="spellStart"/>
      <w:r w:rsidR="00F81A06">
        <w:rPr>
          <w:szCs w:val="20"/>
        </w:rPr>
        <w:t>macrocell</w:t>
      </w:r>
      <w:proofErr w:type="spellEnd"/>
      <w:r w:rsidR="00F81A06">
        <w:rPr>
          <w:szCs w:val="20"/>
        </w:rPr>
        <w:t xml:space="preserve"> deployment. However, as noted in a 2012 Report by the President’s Council of Advisors on Science and Technology (PCAST), these very</w:t>
      </w:r>
      <w:r w:rsidRPr="00B33636">
        <w:rPr>
          <w:szCs w:val="20"/>
        </w:rPr>
        <w:t xml:space="preserve"> disadvantages </w:t>
      </w:r>
      <w:r w:rsidR="00F81A06">
        <w:rPr>
          <w:szCs w:val="20"/>
        </w:rPr>
        <w:t>could</w:t>
      </w:r>
      <w:r w:rsidRPr="00B33636">
        <w:rPr>
          <w:szCs w:val="20"/>
        </w:rPr>
        <w:t xml:space="preserve"> be turned into advantages </w:t>
      </w:r>
      <w:r w:rsidR="00F81A06">
        <w:rPr>
          <w:szCs w:val="20"/>
        </w:rPr>
        <w:t>if the band were used to</w:t>
      </w:r>
      <w:r w:rsidRPr="00B33636">
        <w:rPr>
          <w:szCs w:val="20"/>
        </w:rPr>
        <w:t xml:space="preserve"> </w:t>
      </w:r>
      <w:r w:rsidR="00F81A06">
        <w:rPr>
          <w:szCs w:val="20"/>
        </w:rPr>
        <w:t xml:space="preserve">explore </w:t>
      </w:r>
      <w:r w:rsidRPr="00B33636">
        <w:rPr>
          <w:szCs w:val="20"/>
        </w:rPr>
        <w:t>spectrum sharing and small cell innovation.</w:t>
      </w:r>
      <w:r w:rsidR="00F81A06">
        <w:rPr>
          <w:rStyle w:val="FootnoteReference"/>
          <w:szCs w:val="20"/>
        </w:rPr>
        <w:footnoteReference w:id="10"/>
      </w:r>
      <w:r w:rsidRPr="00B33636">
        <w:rPr>
          <w:szCs w:val="20"/>
        </w:rPr>
        <w:t xml:space="preserve">  Such a paradigm could vastly increase the usability of the </w:t>
      </w:r>
      <w:r w:rsidR="00311E8F">
        <w:rPr>
          <w:szCs w:val="20"/>
        </w:rPr>
        <w:t>3.5 GHz B</w:t>
      </w:r>
      <w:r w:rsidRPr="00B33636">
        <w:rPr>
          <w:szCs w:val="20"/>
        </w:rPr>
        <w:t>and for wireless broadband</w:t>
      </w:r>
      <w:r w:rsidR="00311E8F">
        <w:rPr>
          <w:szCs w:val="20"/>
        </w:rPr>
        <w:t xml:space="preserve"> and serve as a model for future coexistence in other encumbered spectrum bands</w:t>
      </w:r>
      <w:r w:rsidRPr="00B33636">
        <w:rPr>
          <w:szCs w:val="20"/>
        </w:rPr>
        <w:t>.</w:t>
      </w:r>
    </w:p>
    <w:p w:rsidR="00B10C71" w:rsidRPr="00B6445F" w:rsidRDefault="00293835" w:rsidP="00257EBC">
      <w:pPr>
        <w:pStyle w:val="ParaNum"/>
        <w:widowControl/>
        <w:rPr>
          <w:szCs w:val="22"/>
        </w:rPr>
      </w:pPr>
      <w:r w:rsidRPr="00B6445F">
        <w:rPr>
          <w:szCs w:val="22"/>
        </w:rPr>
        <w:t xml:space="preserve">The </w:t>
      </w:r>
      <w:r w:rsidR="00B10C71" w:rsidRPr="00B6445F">
        <w:rPr>
          <w:szCs w:val="22"/>
        </w:rPr>
        <w:t xml:space="preserve">3.5 GHz </w:t>
      </w:r>
      <w:r w:rsidRPr="00B6445F">
        <w:rPr>
          <w:szCs w:val="22"/>
        </w:rPr>
        <w:t xml:space="preserve">NPRM </w:t>
      </w:r>
      <w:r w:rsidR="00311E8F">
        <w:rPr>
          <w:szCs w:val="22"/>
        </w:rPr>
        <w:t xml:space="preserve">expands upon the ideas set forth in the PCAST Report in an effort to </w:t>
      </w:r>
      <w:r w:rsidRPr="00B6445F">
        <w:rPr>
          <w:szCs w:val="22"/>
        </w:rPr>
        <w:t>further the Commission’s ongoing</w:t>
      </w:r>
      <w:r w:rsidR="000E674F">
        <w:rPr>
          <w:szCs w:val="22"/>
        </w:rPr>
        <w:t xml:space="preserve"> efforts to address the growing </w:t>
      </w:r>
      <w:r w:rsidRPr="00B6445F">
        <w:rPr>
          <w:szCs w:val="22"/>
        </w:rPr>
        <w:t>demand for fixed and mobile broadband capacity</w:t>
      </w:r>
      <w:r w:rsidR="00311E8F">
        <w:rPr>
          <w:szCs w:val="22"/>
        </w:rPr>
        <w:t xml:space="preserve"> </w:t>
      </w:r>
      <w:r w:rsidRPr="00B6445F">
        <w:rPr>
          <w:szCs w:val="22"/>
        </w:rPr>
        <w:t>by proposi</w:t>
      </w:r>
      <w:r w:rsidR="005A5426">
        <w:rPr>
          <w:szCs w:val="22"/>
        </w:rPr>
        <w:t>ng to make an additional 100 megahertz</w:t>
      </w:r>
      <w:r w:rsidRPr="00B6445F">
        <w:rPr>
          <w:szCs w:val="22"/>
        </w:rPr>
        <w:t xml:space="preserve"> </w:t>
      </w:r>
      <w:r w:rsidR="00CE2EE4">
        <w:rPr>
          <w:szCs w:val="22"/>
        </w:rPr>
        <w:t xml:space="preserve">(or up to 150 megahertz under a supplemental proposal) </w:t>
      </w:r>
      <w:r w:rsidRPr="00B6445F">
        <w:rPr>
          <w:szCs w:val="22"/>
        </w:rPr>
        <w:t>of spectrum available for shared wireless broadband use.  Specifically, the NPRM proposes to create a new Citizens Broadband Radio Service under Part 95 of the Commission’s rules.</w:t>
      </w:r>
      <w:r w:rsidR="00D5798E" w:rsidRPr="00B6445F">
        <w:rPr>
          <w:rStyle w:val="FootnoteReference"/>
          <w:szCs w:val="22"/>
        </w:rPr>
        <w:footnoteReference w:id="11"/>
      </w:r>
      <w:r w:rsidRPr="00B6445F">
        <w:rPr>
          <w:szCs w:val="22"/>
        </w:rPr>
        <w:t xml:space="preserve">  </w:t>
      </w:r>
      <w:r w:rsidR="000F34C3" w:rsidRPr="00B6445F">
        <w:rPr>
          <w:szCs w:val="22"/>
        </w:rPr>
        <w:t>The proposed service has two main characteristics</w:t>
      </w:r>
      <w:r w:rsidR="007F192D" w:rsidRPr="00B6445F">
        <w:rPr>
          <w:szCs w:val="22"/>
        </w:rPr>
        <w:t>, broadly reflecting the recommendations of PCAST.</w:t>
      </w:r>
      <w:r w:rsidR="007F192D" w:rsidRPr="00B6445F">
        <w:rPr>
          <w:rStyle w:val="FootnoteReference"/>
          <w:szCs w:val="22"/>
        </w:rPr>
        <w:footnoteReference w:id="12"/>
      </w:r>
      <w:r w:rsidR="000F34C3" w:rsidRPr="00B6445F">
        <w:rPr>
          <w:szCs w:val="22"/>
        </w:rPr>
        <w:t xml:space="preserve"> </w:t>
      </w:r>
      <w:r w:rsidR="007C20BE">
        <w:rPr>
          <w:szCs w:val="22"/>
        </w:rPr>
        <w:t xml:space="preserve"> </w:t>
      </w:r>
      <w:r w:rsidR="000F34C3" w:rsidRPr="00B6445F">
        <w:rPr>
          <w:szCs w:val="22"/>
        </w:rPr>
        <w:t xml:space="preserve">First, technical rules would focus on the use of low-powered small cells to drive increases in broadband capacity and spectrum reuse. </w:t>
      </w:r>
      <w:r w:rsidR="007E73CA">
        <w:rPr>
          <w:szCs w:val="22"/>
        </w:rPr>
        <w:t xml:space="preserve"> </w:t>
      </w:r>
      <w:r w:rsidR="000F34C3" w:rsidRPr="00B6445F">
        <w:rPr>
          <w:szCs w:val="22"/>
        </w:rPr>
        <w:t xml:space="preserve">Second, </w:t>
      </w:r>
      <w:r w:rsidR="007F192D" w:rsidRPr="00B6445F">
        <w:rPr>
          <w:szCs w:val="22"/>
        </w:rPr>
        <w:t>use of the band</w:t>
      </w:r>
      <w:r w:rsidR="000F34C3" w:rsidRPr="00B6445F">
        <w:rPr>
          <w:szCs w:val="22"/>
        </w:rPr>
        <w:t xml:space="preserve"> would </w:t>
      </w:r>
      <w:r w:rsidR="00447F8A" w:rsidRPr="00B6445F">
        <w:rPr>
          <w:szCs w:val="22"/>
        </w:rPr>
        <w:t xml:space="preserve">be governed by </w:t>
      </w:r>
      <w:r w:rsidR="00E92C05">
        <w:rPr>
          <w:szCs w:val="22"/>
        </w:rPr>
        <w:t xml:space="preserve">a dynamic </w:t>
      </w:r>
      <w:r w:rsidR="007F192D" w:rsidRPr="00B6445F">
        <w:rPr>
          <w:szCs w:val="22"/>
        </w:rPr>
        <w:t xml:space="preserve">SAS, </w:t>
      </w:r>
      <w:r w:rsidR="00947939">
        <w:rPr>
          <w:szCs w:val="22"/>
        </w:rPr>
        <w:t>building</w:t>
      </w:r>
      <w:r w:rsidR="00947939" w:rsidRPr="00B6445F">
        <w:rPr>
          <w:szCs w:val="22"/>
        </w:rPr>
        <w:t xml:space="preserve"> </w:t>
      </w:r>
      <w:r w:rsidR="007F192D" w:rsidRPr="00B6445F">
        <w:rPr>
          <w:szCs w:val="22"/>
        </w:rPr>
        <w:t>on</w:t>
      </w:r>
      <w:r w:rsidR="00727298">
        <w:rPr>
          <w:szCs w:val="22"/>
        </w:rPr>
        <w:t xml:space="preserve"> </w:t>
      </w:r>
      <w:r w:rsidR="007F192D" w:rsidRPr="00B6445F">
        <w:rPr>
          <w:szCs w:val="22"/>
        </w:rPr>
        <w:t>the TV White Spaces database</w:t>
      </w:r>
      <w:r w:rsidR="00947939">
        <w:rPr>
          <w:szCs w:val="22"/>
        </w:rPr>
        <w:t xml:space="preserve"> concept</w:t>
      </w:r>
      <w:r w:rsidR="007F192D" w:rsidRPr="00B6445F">
        <w:rPr>
          <w:szCs w:val="22"/>
        </w:rPr>
        <w:t>.</w:t>
      </w:r>
      <w:r w:rsidR="007F192D" w:rsidRPr="00B6445F">
        <w:rPr>
          <w:rStyle w:val="FootnoteReference"/>
          <w:szCs w:val="22"/>
        </w:rPr>
        <w:footnoteReference w:id="13"/>
      </w:r>
      <w:r w:rsidR="007F192D" w:rsidRPr="00B6445F">
        <w:rPr>
          <w:szCs w:val="22"/>
        </w:rPr>
        <w:t xml:space="preserve"> </w:t>
      </w:r>
    </w:p>
    <w:p w:rsidR="00461113" w:rsidRPr="00B6445F" w:rsidRDefault="00B10C71" w:rsidP="00257EBC">
      <w:pPr>
        <w:pStyle w:val="ParaNum"/>
        <w:widowControl/>
        <w:rPr>
          <w:szCs w:val="22"/>
        </w:rPr>
      </w:pPr>
      <w:r w:rsidRPr="00B6445F">
        <w:rPr>
          <w:szCs w:val="22"/>
        </w:rPr>
        <w:t>The NPRM proposes</w:t>
      </w:r>
      <w:r w:rsidR="007F192D" w:rsidRPr="00B6445F">
        <w:rPr>
          <w:szCs w:val="22"/>
        </w:rPr>
        <w:t xml:space="preserve"> that the SAS would accommodate three service tiers</w:t>
      </w:r>
      <w:r w:rsidR="00447F8A" w:rsidRPr="00B6445F">
        <w:rPr>
          <w:szCs w:val="22"/>
        </w:rPr>
        <w:t xml:space="preserve">: </w:t>
      </w:r>
      <w:r w:rsidR="007C20BE">
        <w:rPr>
          <w:szCs w:val="22"/>
        </w:rPr>
        <w:t xml:space="preserve">(1) </w:t>
      </w:r>
      <w:r w:rsidR="00447F8A" w:rsidRPr="00B6445F">
        <w:rPr>
          <w:szCs w:val="22"/>
        </w:rPr>
        <w:t>Incumbent Access</w:t>
      </w:r>
      <w:r w:rsidR="0064777A">
        <w:rPr>
          <w:szCs w:val="22"/>
        </w:rPr>
        <w:t>;</w:t>
      </w:r>
      <w:r w:rsidR="00447F8A" w:rsidRPr="00B6445F">
        <w:rPr>
          <w:szCs w:val="22"/>
        </w:rPr>
        <w:t xml:space="preserve"> </w:t>
      </w:r>
      <w:r w:rsidR="007C20BE">
        <w:rPr>
          <w:szCs w:val="22"/>
        </w:rPr>
        <w:t xml:space="preserve">(2) </w:t>
      </w:r>
      <w:r w:rsidR="00447F8A" w:rsidRPr="00B6445F">
        <w:rPr>
          <w:szCs w:val="22"/>
        </w:rPr>
        <w:t>Priority Access</w:t>
      </w:r>
      <w:proofErr w:type="gramStart"/>
      <w:r w:rsidR="0064777A">
        <w:rPr>
          <w:szCs w:val="22"/>
        </w:rPr>
        <w:t>;</w:t>
      </w:r>
      <w:proofErr w:type="gramEnd"/>
      <w:r w:rsidR="00447F8A" w:rsidRPr="00B6445F">
        <w:rPr>
          <w:szCs w:val="22"/>
        </w:rPr>
        <w:t xml:space="preserve"> and </w:t>
      </w:r>
      <w:r w:rsidR="007C20BE">
        <w:rPr>
          <w:szCs w:val="22"/>
        </w:rPr>
        <w:t xml:space="preserve">(3) </w:t>
      </w:r>
      <w:r w:rsidR="00ED4C36">
        <w:rPr>
          <w:szCs w:val="22"/>
        </w:rPr>
        <w:t>General Authorized Access</w:t>
      </w:r>
      <w:r w:rsidR="00447F8A" w:rsidRPr="00B6445F">
        <w:rPr>
          <w:szCs w:val="22"/>
        </w:rPr>
        <w:t>.  Incumbent Access users would include authorized federal and grandfathered FSS users currently operating in the 3.5 GHz Band.</w:t>
      </w:r>
      <w:r w:rsidR="00D5798E" w:rsidRPr="00B6445F">
        <w:rPr>
          <w:rStyle w:val="FootnoteReference"/>
          <w:szCs w:val="22"/>
        </w:rPr>
        <w:footnoteReference w:id="14"/>
      </w:r>
      <w:r w:rsidR="00447F8A" w:rsidRPr="00B6445F">
        <w:rPr>
          <w:szCs w:val="22"/>
        </w:rPr>
        <w:t xml:space="preserve">  These users would have protection from harmful interference from all other users in the 3.5 GHz Band.</w:t>
      </w:r>
      <w:r w:rsidR="00D5798E" w:rsidRPr="00B6445F">
        <w:rPr>
          <w:rStyle w:val="FootnoteReference"/>
          <w:szCs w:val="22"/>
        </w:rPr>
        <w:footnoteReference w:id="15"/>
      </w:r>
      <w:r w:rsidR="001A539F">
        <w:rPr>
          <w:szCs w:val="22"/>
        </w:rPr>
        <w:t xml:space="preserve">  In the Priority Access </w:t>
      </w:r>
      <w:r w:rsidR="00030698">
        <w:rPr>
          <w:szCs w:val="22"/>
        </w:rPr>
        <w:t>tier</w:t>
      </w:r>
      <w:r w:rsidR="00447F8A" w:rsidRPr="00B6445F">
        <w:rPr>
          <w:szCs w:val="22"/>
        </w:rPr>
        <w:t>, the</w:t>
      </w:r>
      <w:r w:rsidR="00947939">
        <w:rPr>
          <w:szCs w:val="22"/>
        </w:rPr>
        <w:t xml:space="preserve"> NPRM proposes that the</w:t>
      </w:r>
      <w:r w:rsidR="00447F8A" w:rsidRPr="00B6445F">
        <w:rPr>
          <w:szCs w:val="22"/>
        </w:rPr>
        <w:t xml:space="preserve"> Commission authorize certain users with critical quality-of-service needs </w:t>
      </w:r>
      <w:r w:rsidR="00831C90">
        <w:rPr>
          <w:szCs w:val="22"/>
        </w:rPr>
        <w:t xml:space="preserve">(such as </w:t>
      </w:r>
      <w:r w:rsidR="00447F8A" w:rsidRPr="00B6445F">
        <w:rPr>
          <w:szCs w:val="22"/>
        </w:rPr>
        <w:t>hospitals, utilities, and public safety entities</w:t>
      </w:r>
      <w:r w:rsidR="00831C90">
        <w:rPr>
          <w:szCs w:val="22"/>
        </w:rPr>
        <w:t>)</w:t>
      </w:r>
      <w:r w:rsidR="00447F8A" w:rsidRPr="00B6445F">
        <w:rPr>
          <w:szCs w:val="22"/>
        </w:rPr>
        <w:t xml:space="preserve"> to operate with </w:t>
      </w:r>
      <w:r w:rsidR="00727298">
        <w:rPr>
          <w:szCs w:val="22"/>
        </w:rPr>
        <w:t>some</w:t>
      </w:r>
      <w:r w:rsidR="00447F8A" w:rsidRPr="00B6445F">
        <w:rPr>
          <w:szCs w:val="22"/>
        </w:rPr>
        <w:t xml:space="preserve"> interference protection in portions of the 3.5 GHz Band at specific locations.</w:t>
      </w:r>
      <w:r w:rsidR="00D5798E" w:rsidRPr="00B6445F">
        <w:rPr>
          <w:rStyle w:val="FootnoteReference"/>
          <w:szCs w:val="22"/>
        </w:rPr>
        <w:footnoteReference w:id="16"/>
      </w:r>
      <w:r w:rsidR="00447F8A" w:rsidRPr="00B6445F">
        <w:rPr>
          <w:szCs w:val="22"/>
        </w:rPr>
        <w:t xml:space="preserve">  Finally, in the </w:t>
      </w:r>
      <w:r w:rsidR="001A539F">
        <w:rPr>
          <w:szCs w:val="22"/>
        </w:rPr>
        <w:t xml:space="preserve">GAA </w:t>
      </w:r>
      <w:r w:rsidR="00030698">
        <w:rPr>
          <w:szCs w:val="22"/>
        </w:rPr>
        <w:t>tier</w:t>
      </w:r>
      <w:r w:rsidR="00447F8A" w:rsidRPr="00B6445F">
        <w:rPr>
          <w:szCs w:val="22"/>
        </w:rPr>
        <w:t xml:space="preserve">, </w:t>
      </w:r>
      <w:r w:rsidR="0028787A">
        <w:rPr>
          <w:szCs w:val="22"/>
        </w:rPr>
        <w:t xml:space="preserve">users </w:t>
      </w:r>
      <w:r w:rsidR="00447F8A" w:rsidRPr="00B6445F">
        <w:rPr>
          <w:szCs w:val="22"/>
        </w:rPr>
        <w:t xml:space="preserve">would </w:t>
      </w:r>
      <w:r w:rsidR="00447F8A" w:rsidRPr="00B6445F">
        <w:rPr>
          <w:szCs w:val="22"/>
        </w:rPr>
        <w:lastRenderedPageBreak/>
        <w:t>be authorized to use the 3.5 GHz Band opportunistic</w:t>
      </w:r>
      <w:r w:rsidR="0028787A">
        <w:rPr>
          <w:szCs w:val="22"/>
        </w:rPr>
        <w:t xml:space="preserve">ally </w:t>
      </w:r>
      <w:r w:rsidR="00447F8A" w:rsidRPr="00B6445F">
        <w:rPr>
          <w:szCs w:val="22"/>
        </w:rPr>
        <w:t xml:space="preserve">within designated geographic areas.  </w:t>
      </w:r>
      <w:r w:rsidR="001A539F">
        <w:rPr>
          <w:szCs w:val="22"/>
        </w:rPr>
        <w:t>GAA</w:t>
      </w:r>
      <w:r w:rsidR="00447F8A" w:rsidRPr="00B6445F">
        <w:rPr>
          <w:szCs w:val="22"/>
        </w:rPr>
        <w:t xml:space="preserve"> users would be required to accept interference from</w:t>
      </w:r>
      <w:r w:rsidR="001A539F">
        <w:rPr>
          <w:szCs w:val="22"/>
        </w:rPr>
        <w:t xml:space="preserve"> Incumbent and Priority Access </w:t>
      </w:r>
      <w:r w:rsidR="00030698">
        <w:rPr>
          <w:szCs w:val="22"/>
        </w:rPr>
        <w:t>tier</w:t>
      </w:r>
      <w:r w:rsidR="00447F8A" w:rsidRPr="00B6445F">
        <w:rPr>
          <w:szCs w:val="22"/>
        </w:rPr>
        <w:t xml:space="preserve"> users.</w:t>
      </w:r>
      <w:r w:rsidR="00D5798E" w:rsidRPr="00B6445F">
        <w:rPr>
          <w:rStyle w:val="FootnoteReference"/>
          <w:szCs w:val="22"/>
        </w:rPr>
        <w:footnoteReference w:id="17"/>
      </w:r>
      <w:r w:rsidR="002F7729" w:rsidRPr="00B6445F">
        <w:rPr>
          <w:szCs w:val="22"/>
        </w:rPr>
        <w:t xml:space="preserve">  </w:t>
      </w:r>
      <w:r w:rsidR="00447F8A" w:rsidRPr="00B6445F">
        <w:rPr>
          <w:szCs w:val="22"/>
        </w:rPr>
        <w:t xml:space="preserve">The NPRM also includes a supplemental proposal to expand the proposed licensing and authorization model to </w:t>
      </w:r>
      <w:r w:rsidR="00E26A44">
        <w:rPr>
          <w:szCs w:val="22"/>
        </w:rPr>
        <w:t xml:space="preserve">an additional </w:t>
      </w:r>
      <w:r w:rsidR="001A539F">
        <w:rPr>
          <w:szCs w:val="22"/>
        </w:rPr>
        <w:t xml:space="preserve">adjacent </w:t>
      </w:r>
      <w:proofErr w:type="gramStart"/>
      <w:r w:rsidR="001A539F">
        <w:rPr>
          <w:szCs w:val="22"/>
        </w:rPr>
        <w:t>50 megahertz</w:t>
      </w:r>
      <w:proofErr w:type="gramEnd"/>
      <w:r w:rsidR="00E26A44">
        <w:rPr>
          <w:szCs w:val="22"/>
        </w:rPr>
        <w:t xml:space="preserve"> of spectrum in </w:t>
      </w:r>
      <w:r w:rsidR="00447F8A" w:rsidRPr="00B6445F">
        <w:rPr>
          <w:szCs w:val="22"/>
        </w:rPr>
        <w:t>the 3650-3700 MHz band</w:t>
      </w:r>
      <w:r w:rsidR="006D7839">
        <w:rPr>
          <w:szCs w:val="22"/>
        </w:rPr>
        <w:t xml:space="preserve">, making up to 150 </w:t>
      </w:r>
      <w:r w:rsidR="00CE2EE4">
        <w:rPr>
          <w:szCs w:val="22"/>
        </w:rPr>
        <w:t>megahertz available for shared wireless broadband access</w:t>
      </w:r>
      <w:r w:rsidR="00447F8A" w:rsidRPr="00B6445F">
        <w:rPr>
          <w:szCs w:val="22"/>
        </w:rPr>
        <w:t>.</w:t>
      </w:r>
      <w:r w:rsidR="00293835" w:rsidRPr="00B6445F">
        <w:rPr>
          <w:rStyle w:val="FootnoteReference"/>
          <w:szCs w:val="22"/>
        </w:rPr>
        <w:footnoteReference w:id="18"/>
      </w:r>
      <w:r w:rsidR="00447F8A" w:rsidRPr="00B6445F">
        <w:rPr>
          <w:szCs w:val="22"/>
        </w:rPr>
        <w:t xml:space="preserve">  </w:t>
      </w:r>
    </w:p>
    <w:p w:rsidR="000C44A2" w:rsidRPr="00B6445F" w:rsidRDefault="00D5798E" w:rsidP="00257EBC">
      <w:pPr>
        <w:pStyle w:val="ParaNum"/>
        <w:widowControl/>
        <w:rPr>
          <w:szCs w:val="22"/>
        </w:rPr>
      </w:pPr>
      <w:r w:rsidRPr="00B6445F">
        <w:rPr>
          <w:szCs w:val="22"/>
        </w:rPr>
        <w:t xml:space="preserve">Commenters broadly supported the Commission’s </w:t>
      </w:r>
      <w:r w:rsidR="00E26A44">
        <w:rPr>
          <w:szCs w:val="22"/>
        </w:rPr>
        <w:t xml:space="preserve">goal </w:t>
      </w:r>
      <w:r w:rsidRPr="00B6445F">
        <w:rPr>
          <w:szCs w:val="22"/>
        </w:rPr>
        <w:t xml:space="preserve">to make the 3.5 GHz Band available for shared commercial broadband use.  However, opinions diverged on the appropriate methodology </w:t>
      </w:r>
      <w:r w:rsidR="00DD6387" w:rsidRPr="00B6445F">
        <w:rPr>
          <w:szCs w:val="22"/>
        </w:rPr>
        <w:t>for authorizing access to the 3.5 GHz Band</w:t>
      </w:r>
      <w:r w:rsidR="00947939">
        <w:rPr>
          <w:szCs w:val="22"/>
        </w:rPr>
        <w:t>, especially with</w:t>
      </w:r>
      <w:r w:rsidR="001A539F">
        <w:rPr>
          <w:szCs w:val="22"/>
        </w:rPr>
        <w:t xml:space="preserve"> regard to the Priority Access </w:t>
      </w:r>
      <w:r w:rsidR="00030698">
        <w:rPr>
          <w:szCs w:val="22"/>
        </w:rPr>
        <w:t>tier</w:t>
      </w:r>
      <w:r w:rsidR="00DD6387" w:rsidRPr="00B6445F">
        <w:rPr>
          <w:szCs w:val="22"/>
        </w:rPr>
        <w:t>.</w:t>
      </w:r>
      <w:r w:rsidR="00D870BA" w:rsidRPr="00B6445F">
        <w:rPr>
          <w:szCs w:val="22"/>
        </w:rPr>
        <w:t xml:space="preserve">  </w:t>
      </w:r>
      <w:r w:rsidR="009A032C">
        <w:rPr>
          <w:szCs w:val="22"/>
        </w:rPr>
        <w:t>M</w:t>
      </w:r>
      <w:r w:rsidR="00D870BA" w:rsidRPr="00B6445F">
        <w:rPr>
          <w:szCs w:val="22"/>
        </w:rPr>
        <w:t xml:space="preserve">any commenters argued that the Priority Access </w:t>
      </w:r>
      <w:r w:rsidR="00030698">
        <w:rPr>
          <w:szCs w:val="22"/>
        </w:rPr>
        <w:t>tier</w:t>
      </w:r>
      <w:r w:rsidR="00D870BA" w:rsidRPr="00B6445F">
        <w:rPr>
          <w:szCs w:val="22"/>
        </w:rPr>
        <w:t xml:space="preserve"> should not be limited to critical access facilities as proposed in the NPRM.</w:t>
      </w:r>
      <w:r w:rsidR="002F0991" w:rsidRPr="00B6445F">
        <w:rPr>
          <w:rStyle w:val="FootnoteReference"/>
          <w:szCs w:val="22"/>
        </w:rPr>
        <w:footnoteReference w:id="19"/>
      </w:r>
      <w:r w:rsidR="00D870BA" w:rsidRPr="00B6445F">
        <w:rPr>
          <w:szCs w:val="22"/>
        </w:rPr>
        <w:t xml:space="preserve">  </w:t>
      </w:r>
      <w:r w:rsidR="00C925FA" w:rsidRPr="00B6445F">
        <w:rPr>
          <w:szCs w:val="22"/>
        </w:rPr>
        <w:t>Commenters such as Alcatel</w:t>
      </w:r>
      <w:r w:rsidR="00442B24">
        <w:rPr>
          <w:szCs w:val="22"/>
        </w:rPr>
        <w:t>-</w:t>
      </w:r>
      <w:r w:rsidR="00C925FA" w:rsidRPr="00B6445F">
        <w:rPr>
          <w:szCs w:val="22"/>
        </w:rPr>
        <w:t>Lucent, the Consumer Electronics Association (CEA), Google Inc.</w:t>
      </w:r>
      <w:r w:rsidR="00442B24">
        <w:rPr>
          <w:szCs w:val="22"/>
        </w:rPr>
        <w:t xml:space="preserve"> (Google), </w:t>
      </w:r>
      <w:r w:rsidR="00C925FA" w:rsidRPr="00B6445F">
        <w:rPr>
          <w:szCs w:val="22"/>
        </w:rPr>
        <w:t>and PCIA</w:t>
      </w:r>
      <w:r w:rsidR="00442B24">
        <w:rPr>
          <w:szCs w:val="22"/>
        </w:rPr>
        <w:t xml:space="preserve"> – The Wireless Infrastructure Association (PCIA)</w:t>
      </w:r>
      <w:r w:rsidR="00C925FA" w:rsidRPr="00B6445F">
        <w:rPr>
          <w:szCs w:val="22"/>
        </w:rPr>
        <w:t xml:space="preserve"> argued that priority access should be made available to a </w:t>
      </w:r>
      <w:r w:rsidR="00AE7C7C">
        <w:rPr>
          <w:szCs w:val="22"/>
        </w:rPr>
        <w:t xml:space="preserve">broader </w:t>
      </w:r>
      <w:r w:rsidR="00C925FA" w:rsidRPr="00B6445F">
        <w:rPr>
          <w:szCs w:val="22"/>
        </w:rPr>
        <w:t>class of users and should not be limited to critical access users as proposed in the NPRM.</w:t>
      </w:r>
      <w:r w:rsidR="00C925FA" w:rsidRPr="00B6445F">
        <w:rPr>
          <w:rStyle w:val="FootnoteReference"/>
          <w:szCs w:val="22"/>
        </w:rPr>
        <w:footnoteReference w:id="20"/>
      </w:r>
      <w:r w:rsidR="00211CBC" w:rsidRPr="00B6445F">
        <w:rPr>
          <w:szCs w:val="22"/>
        </w:rPr>
        <w:t xml:space="preserve">  </w:t>
      </w:r>
      <w:r w:rsidR="002F7729" w:rsidRPr="00B6445F">
        <w:rPr>
          <w:szCs w:val="22"/>
        </w:rPr>
        <w:t>Wireless providers, such as AT&amp;T</w:t>
      </w:r>
      <w:r w:rsidR="00604A1E">
        <w:rPr>
          <w:szCs w:val="22"/>
        </w:rPr>
        <w:t xml:space="preserve"> Services, Inc. (AT&amp;T)</w:t>
      </w:r>
      <w:r w:rsidR="002F7729" w:rsidRPr="00B6445F">
        <w:rPr>
          <w:szCs w:val="22"/>
        </w:rPr>
        <w:t>, Verizo</w:t>
      </w:r>
      <w:r w:rsidR="0081630C">
        <w:rPr>
          <w:szCs w:val="22"/>
        </w:rPr>
        <w:t xml:space="preserve">n </w:t>
      </w:r>
      <w:r w:rsidR="00ED4C36">
        <w:rPr>
          <w:szCs w:val="22"/>
        </w:rPr>
        <w:t xml:space="preserve">Communications, Inc. </w:t>
      </w:r>
      <w:r w:rsidR="0081630C">
        <w:rPr>
          <w:szCs w:val="22"/>
        </w:rPr>
        <w:t>and Verizon Wireless, Inc. (Verizon)</w:t>
      </w:r>
      <w:r w:rsidR="002F7729" w:rsidRPr="00B6445F">
        <w:rPr>
          <w:szCs w:val="22"/>
        </w:rPr>
        <w:t>, and T-Mobile USA</w:t>
      </w:r>
      <w:r w:rsidR="00604A1E">
        <w:rPr>
          <w:szCs w:val="22"/>
        </w:rPr>
        <w:t>, Inc. (T-Mobile)</w:t>
      </w:r>
      <w:r w:rsidR="002F7729" w:rsidRPr="00B6445F">
        <w:rPr>
          <w:szCs w:val="22"/>
        </w:rPr>
        <w:t>, encouraged the Commission to adopt rules that would allow commercial wireless providers to use the band on a quality assured basis to supplement their existing spectrum holdings.</w:t>
      </w:r>
      <w:r w:rsidR="002F7729" w:rsidRPr="00B6445F">
        <w:rPr>
          <w:rStyle w:val="FootnoteReference"/>
          <w:szCs w:val="22"/>
        </w:rPr>
        <w:footnoteReference w:id="21"/>
      </w:r>
      <w:r w:rsidR="002F7729" w:rsidRPr="00B6445F">
        <w:rPr>
          <w:szCs w:val="22"/>
        </w:rPr>
        <w:t xml:space="preserve">  </w:t>
      </w:r>
      <w:r w:rsidR="00211CBC" w:rsidRPr="00B6445F">
        <w:rPr>
          <w:szCs w:val="22"/>
        </w:rPr>
        <w:t>Others, like Microsoft</w:t>
      </w:r>
      <w:r w:rsidR="004362F7">
        <w:rPr>
          <w:szCs w:val="22"/>
        </w:rPr>
        <w:t xml:space="preserve"> and</w:t>
      </w:r>
      <w:r w:rsidR="00727298">
        <w:rPr>
          <w:szCs w:val="22"/>
        </w:rPr>
        <w:t xml:space="preserve"> the Public Interest Spectrum Coalition (PISC) have</w:t>
      </w:r>
      <w:r w:rsidR="00211CBC" w:rsidRPr="00B6445F">
        <w:rPr>
          <w:szCs w:val="22"/>
        </w:rPr>
        <w:t xml:space="preserve"> encouraged the Commission to </w:t>
      </w:r>
      <w:r w:rsidR="00ED4C36">
        <w:rPr>
          <w:szCs w:val="22"/>
        </w:rPr>
        <w:t xml:space="preserve">foster </w:t>
      </w:r>
      <w:r w:rsidR="004362F7">
        <w:rPr>
          <w:szCs w:val="22"/>
        </w:rPr>
        <w:t>significant</w:t>
      </w:r>
      <w:r w:rsidR="00727298">
        <w:rPr>
          <w:szCs w:val="22"/>
        </w:rPr>
        <w:t xml:space="preserve"> GAA use of the band and to </w:t>
      </w:r>
      <w:r w:rsidR="00211CBC" w:rsidRPr="00B6445F">
        <w:rPr>
          <w:szCs w:val="22"/>
        </w:rPr>
        <w:t xml:space="preserve">limit Priority Access to </w:t>
      </w:r>
      <w:r w:rsidR="00F701F7" w:rsidRPr="00B6445F">
        <w:rPr>
          <w:szCs w:val="22"/>
        </w:rPr>
        <w:t>mission critical services and to indoor or private campus uses</w:t>
      </w:r>
      <w:r w:rsidR="00EE1365">
        <w:rPr>
          <w:szCs w:val="22"/>
        </w:rPr>
        <w:t>.</w:t>
      </w:r>
      <w:r w:rsidR="00F701F7" w:rsidRPr="00B6445F">
        <w:rPr>
          <w:rStyle w:val="FootnoteReference"/>
          <w:szCs w:val="22"/>
        </w:rPr>
        <w:footnoteReference w:id="22"/>
      </w:r>
      <w:r w:rsidR="00F701F7" w:rsidRPr="00B6445F">
        <w:rPr>
          <w:szCs w:val="22"/>
        </w:rPr>
        <w:t xml:space="preserve"> </w:t>
      </w:r>
      <w:r w:rsidR="00AE7C7C">
        <w:rPr>
          <w:szCs w:val="22"/>
        </w:rPr>
        <w:t xml:space="preserve"> </w:t>
      </w:r>
      <w:r w:rsidR="008D6F1E">
        <w:rPr>
          <w:szCs w:val="22"/>
        </w:rPr>
        <w:t>S</w:t>
      </w:r>
      <w:r w:rsidR="00AE7C7C">
        <w:rPr>
          <w:szCs w:val="22"/>
        </w:rPr>
        <w:t>till o</w:t>
      </w:r>
      <w:r w:rsidR="00EE1365">
        <w:rPr>
          <w:szCs w:val="22"/>
        </w:rPr>
        <w:t xml:space="preserve">thers, including </w:t>
      </w:r>
      <w:r w:rsidR="00F701F7" w:rsidRPr="00B6445F">
        <w:rPr>
          <w:szCs w:val="22"/>
        </w:rPr>
        <w:t>Motorola Solutions</w:t>
      </w:r>
      <w:r w:rsidR="00EE1365">
        <w:rPr>
          <w:szCs w:val="22"/>
        </w:rPr>
        <w:t xml:space="preserve"> </w:t>
      </w:r>
      <w:r w:rsidR="00255FCD">
        <w:rPr>
          <w:szCs w:val="22"/>
        </w:rPr>
        <w:t>the Edison Electric Institute</w:t>
      </w:r>
      <w:r w:rsidR="004471E6">
        <w:rPr>
          <w:szCs w:val="22"/>
        </w:rPr>
        <w:t xml:space="preserve"> (EEI)</w:t>
      </w:r>
      <w:r w:rsidR="00255FCD">
        <w:rPr>
          <w:szCs w:val="22"/>
        </w:rPr>
        <w:t>, the Utilities Telecom Council</w:t>
      </w:r>
      <w:r w:rsidR="004471E6">
        <w:rPr>
          <w:szCs w:val="22"/>
        </w:rPr>
        <w:t xml:space="preserve"> (UTC)</w:t>
      </w:r>
      <w:r w:rsidR="00255FCD">
        <w:rPr>
          <w:szCs w:val="22"/>
        </w:rPr>
        <w:t xml:space="preserve">, and the National Rural Electric Cooperative </w:t>
      </w:r>
      <w:r w:rsidR="004471E6">
        <w:rPr>
          <w:szCs w:val="22"/>
        </w:rPr>
        <w:t xml:space="preserve">(NRECA) </w:t>
      </w:r>
      <w:r w:rsidR="009A032C">
        <w:rPr>
          <w:szCs w:val="22"/>
        </w:rPr>
        <w:t>argued that we should</w:t>
      </w:r>
      <w:r w:rsidR="00F701F7" w:rsidRPr="00B6445F">
        <w:rPr>
          <w:szCs w:val="22"/>
        </w:rPr>
        <w:t xml:space="preserve"> ensur</w:t>
      </w:r>
      <w:r w:rsidR="009A032C">
        <w:rPr>
          <w:szCs w:val="22"/>
        </w:rPr>
        <w:t>e</w:t>
      </w:r>
      <w:r w:rsidR="00F701F7" w:rsidRPr="00B6445F">
        <w:rPr>
          <w:szCs w:val="22"/>
        </w:rPr>
        <w:t xml:space="preserve"> </w:t>
      </w:r>
      <w:proofErr w:type="gramStart"/>
      <w:r w:rsidR="00F701F7" w:rsidRPr="00B6445F">
        <w:rPr>
          <w:szCs w:val="22"/>
        </w:rPr>
        <w:t>that utilities</w:t>
      </w:r>
      <w:proofErr w:type="gramEnd"/>
      <w:r w:rsidR="00F701F7" w:rsidRPr="00B6445F">
        <w:rPr>
          <w:szCs w:val="22"/>
        </w:rPr>
        <w:t>, public safety, and othe</w:t>
      </w:r>
      <w:r w:rsidR="002F0991" w:rsidRPr="00B6445F">
        <w:rPr>
          <w:szCs w:val="22"/>
        </w:rPr>
        <w:t>r</w:t>
      </w:r>
      <w:r w:rsidR="00F701F7" w:rsidRPr="00B6445F">
        <w:rPr>
          <w:szCs w:val="22"/>
        </w:rPr>
        <w:t xml:space="preserve"> critical service</w:t>
      </w:r>
      <w:r w:rsidR="008D6F1E">
        <w:rPr>
          <w:szCs w:val="22"/>
        </w:rPr>
        <w:t xml:space="preserve"> providers</w:t>
      </w:r>
      <w:r w:rsidR="00F701F7" w:rsidRPr="00B6445F">
        <w:rPr>
          <w:szCs w:val="22"/>
        </w:rPr>
        <w:t xml:space="preserve"> have access to the band.</w:t>
      </w:r>
      <w:r w:rsidR="004471E6">
        <w:rPr>
          <w:rStyle w:val="FootnoteReference"/>
          <w:szCs w:val="22"/>
        </w:rPr>
        <w:footnoteReference w:id="23"/>
      </w:r>
    </w:p>
    <w:p w:rsidR="00C52EA3" w:rsidRDefault="0068357B" w:rsidP="00257EBC">
      <w:pPr>
        <w:pStyle w:val="ParaNum"/>
        <w:widowControl/>
        <w:rPr>
          <w:szCs w:val="22"/>
        </w:rPr>
      </w:pPr>
      <w:r w:rsidRPr="00B6445F">
        <w:rPr>
          <w:szCs w:val="22"/>
        </w:rPr>
        <w:t xml:space="preserve">Commenters </w:t>
      </w:r>
      <w:r w:rsidR="00AE7C7C">
        <w:rPr>
          <w:szCs w:val="22"/>
        </w:rPr>
        <w:t xml:space="preserve">also </w:t>
      </w:r>
      <w:r w:rsidRPr="00B6445F">
        <w:rPr>
          <w:szCs w:val="22"/>
        </w:rPr>
        <w:t>diverge</w:t>
      </w:r>
      <w:r w:rsidR="00553590" w:rsidRPr="00B6445F">
        <w:rPr>
          <w:szCs w:val="22"/>
        </w:rPr>
        <w:t>d</w:t>
      </w:r>
      <w:r w:rsidRPr="00B6445F">
        <w:rPr>
          <w:szCs w:val="22"/>
        </w:rPr>
        <w:t xml:space="preserve"> on how rights should be </w:t>
      </w:r>
      <w:r w:rsidR="009C7020">
        <w:rPr>
          <w:szCs w:val="22"/>
        </w:rPr>
        <w:t>assigned among Priority Access and GAA users</w:t>
      </w:r>
      <w:r w:rsidRPr="00B6445F">
        <w:rPr>
          <w:szCs w:val="22"/>
        </w:rPr>
        <w:t xml:space="preserve">. </w:t>
      </w:r>
      <w:r w:rsidR="00AE7C7C">
        <w:rPr>
          <w:szCs w:val="22"/>
        </w:rPr>
        <w:t xml:space="preserve"> </w:t>
      </w:r>
      <w:r w:rsidRPr="00B6445F">
        <w:rPr>
          <w:szCs w:val="22"/>
        </w:rPr>
        <w:t>Some commenters like Microsoft</w:t>
      </w:r>
      <w:r w:rsidR="00604A1E">
        <w:rPr>
          <w:szCs w:val="22"/>
        </w:rPr>
        <w:t xml:space="preserve">, </w:t>
      </w:r>
      <w:r w:rsidR="00220208">
        <w:rPr>
          <w:szCs w:val="22"/>
        </w:rPr>
        <w:t xml:space="preserve">PISC, </w:t>
      </w:r>
      <w:r w:rsidR="008A3B96">
        <w:rPr>
          <w:szCs w:val="22"/>
        </w:rPr>
        <w:t xml:space="preserve">the Wireless Internet Service Providers Association (WISPA), </w:t>
      </w:r>
      <w:r w:rsidR="00604A1E">
        <w:rPr>
          <w:szCs w:val="22"/>
        </w:rPr>
        <w:t>and Cantor Fitzgerald Telecom Services, Inc.</w:t>
      </w:r>
      <w:r w:rsidR="0081630C">
        <w:rPr>
          <w:szCs w:val="22"/>
        </w:rPr>
        <w:t xml:space="preserve"> (Cantor)</w:t>
      </w:r>
      <w:r w:rsidRPr="00B6445F">
        <w:rPr>
          <w:szCs w:val="22"/>
        </w:rPr>
        <w:t xml:space="preserve"> generally support the Commission’s</w:t>
      </w:r>
      <w:r w:rsidR="00604A1E">
        <w:rPr>
          <w:szCs w:val="22"/>
        </w:rPr>
        <w:t xml:space="preserve"> three-tiered mode</w:t>
      </w:r>
      <w:r w:rsidR="009C7020">
        <w:rPr>
          <w:szCs w:val="22"/>
        </w:rPr>
        <w:t>l</w:t>
      </w:r>
      <w:r w:rsidRPr="00B6445F">
        <w:rPr>
          <w:szCs w:val="22"/>
        </w:rPr>
        <w:t>.</w:t>
      </w:r>
      <w:r w:rsidR="001B5144">
        <w:rPr>
          <w:rStyle w:val="FootnoteReference"/>
          <w:szCs w:val="22"/>
        </w:rPr>
        <w:footnoteReference w:id="24"/>
      </w:r>
      <w:r w:rsidRPr="00B6445F">
        <w:rPr>
          <w:szCs w:val="22"/>
        </w:rPr>
        <w:t xml:space="preserve"> </w:t>
      </w:r>
      <w:r w:rsidR="0018727E">
        <w:rPr>
          <w:szCs w:val="22"/>
        </w:rPr>
        <w:t>Others</w:t>
      </w:r>
      <w:r w:rsidR="00BF4739">
        <w:rPr>
          <w:szCs w:val="22"/>
        </w:rPr>
        <w:t>, including Nokia Siemens Networks (NSN)</w:t>
      </w:r>
      <w:r w:rsidR="0018727E">
        <w:rPr>
          <w:szCs w:val="22"/>
        </w:rPr>
        <w:t>, T-Mobile,</w:t>
      </w:r>
      <w:r w:rsidR="00BF4739">
        <w:rPr>
          <w:szCs w:val="22"/>
        </w:rPr>
        <w:t xml:space="preserve"> and Qualcomm argue </w:t>
      </w:r>
      <w:r w:rsidR="005100CE">
        <w:rPr>
          <w:szCs w:val="22"/>
        </w:rPr>
        <w:lastRenderedPageBreak/>
        <w:t>that the Commission should adopt a two-tier licensing model, which would eliminate the GAA tier.</w:t>
      </w:r>
      <w:r w:rsidR="005100CE">
        <w:rPr>
          <w:rStyle w:val="FootnoteReference"/>
          <w:szCs w:val="22"/>
        </w:rPr>
        <w:footnoteReference w:id="25"/>
      </w:r>
      <w:r w:rsidR="005100CE">
        <w:rPr>
          <w:szCs w:val="22"/>
        </w:rPr>
        <w:t xml:space="preserve">  </w:t>
      </w:r>
      <w:r w:rsidR="0018727E">
        <w:rPr>
          <w:szCs w:val="22"/>
        </w:rPr>
        <w:t>In addition, commenters such as</w:t>
      </w:r>
      <w:r w:rsidRPr="00B6445F">
        <w:rPr>
          <w:szCs w:val="22"/>
        </w:rPr>
        <w:t xml:space="preserve"> Verizon, CTIA</w:t>
      </w:r>
      <w:r w:rsidR="00AF6491">
        <w:rPr>
          <w:szCs w:val="22"/>
        </w:rPr>
        <w:t xml:space="preserve"> – The Wireless Association (CTIA)</w:t>
      </w:r>
      <w:r w:rsidRPr="00B6445F">
        <w:rPr>
          <w:szCs w:val="22"/>
        </w:rPr>
        <w:t xml:space="preserve">, </w:t>
      </w:r>
      <w:r w:rsidR="00BF4739">
        <w:rPr>
          <w:szCs w:val="22"/>
        </w:rPr>
        <w:t xml:space="preserve">and </w:t>
      </w:r>
      <w:r w:rsidRPr="00B6445F">
        <w:rPr>
          <w:szCs w:val="22"/>
        </w:rPr>
        <w:t>T-Mobile argue</w:t>
      </w:r>
      <w:r w:rsidR="00442B24">
        <w:rPr>
          <w:szCs w:val="22"/>
        </w:rPr>
        <w:t xml:space="preserve"> </w:t>
      </w:r>
      <w:r w:rsidR="00AE7C7C">
        <w:rPr>
          <w:szCs w:val="22"/>
        </w:rPr>
        <w:t xml:space="preserve">for a </w:t>
      </w:r>
      <w:r w:rsidRPr="00B6445F">
        <w:rPr>
          <w:szCs w:val="22"/>
        </w:rPr>
        <w:t xml:space="preserve">more traditional licensing approach whereby </w:t>
      </w:r>
      <w:r w:rsidR="00442B24">
        <w:rPr>
          <w:szCs w:val="22"/>
        </w:rPr>
        <w:t>exclusive access</w:t>
      </w:r>
      <w:r w:rsidRPr="00B6445F">
        <w:rPr>
          <w:szCs w:val="22"/>
        </w:rPr>
        <w:t xml:space="preserve"> to spectrum</w:t>
      </w:r>
      <w:r w:rsidR="00EE1365">
        <w:rPr>
          <w:szCs w:val="22"/>
        </w:rPr>
        <w:t>, subject to sharing with incumbent users,</w:t>
      </w:r>
      <w:r w:rsidRPr="00B6445F">
        <w:rPr>
          <w:szCs w:val="22"/>
        </w:rPr>
        <w:t xml:space="preserve"> </w:t>
      </w:r>
      <w:r w:rsidR="0028787A">
        <w:rPr>
          <w:szCs w:val="22"/>
        </w:rPr>
        <w:t>w</w:t>
      </w:r>
      <w:r w:rsidRPr="00B6445F">
        <w:rPr>
          <w:szCs w:val="22"/>
        </w:rPr>
        <w:t>ould be assi</w:t>
      </w:r>
      <w:r w:rsidR="009F5D95" w:rsidRPr="00B6445F">
        <w:rPr>
          <w:szCs w:val="22"/>
        </w:rPr>
        <w:t>gned geographically.</w:t>
      </w:r>
      <w:r w:rsidR="00377418">
        <w:rPr>
          <w:rStyle w:val="FootnoteReference"/>
          <w:szCs w:val="22"/>
        </w:rPr>
        <w:footnoteReference w:id="26"/>
      </w:r>
      <w:r w:rsidR="004362F7">
        <w:rPr>
          <w:szCs w:val="22"/>
        </w:rPr>
        <w:t xml:space="preserve">  </w:t>
      </w:r>
      <w:r w:rsidR="009C7020">
        <w:rPr>
          <w:szCs w:val="22"/>
        </w:rPr>
        <w:t>Recently</w:t>
      </w:r>
      <w:r w:rsidR="004362F7">
        <w:rPr>
          <w:szCs w:val="22"/>
        </w:rPr>
        <w:t xml:space="preserve">, AT&amp;T and Google filed </w:t>
      </w:r>
      <w:r w:rsidR="0039094F">
        <w:rPr>
          <w:szCs w:val="22"/>
        </w:rPr>
        <w:t>a letter broadly supporting: (1) the Commission’s proposed three-tier licensing approach; (2) broad access to the Priority Access tier; and (3) the use of flexible</w:t>
      </w:r>
      <w:r w:rsidR="0028787A">
        <w:rPr>
          <w:szCs w:val="22"/>
        </w:rPr>
        <w:t>,</w:t>
      </w:r>
      <w:r w:rsidR="008D6F1E">
        <w:rPr>
          <w:szCs w:val="22"/>
        </w:rPr>
        <w:t xml:space="preserve"> </w:t>
      </w:r>
      <w:r w:rsidR="00AE7C7C">
        <w:rPr>
          <w:szCs w:val="22"/>
        </w:rPr>
        <w:t xml:space="preserve">streamlined </w:t>
      </w:r>
      <w:r w:rsidR="0039094F">
        <w:rPr>
          <w:szCs w:val="22"/>
        </w:rPr>
        <w:t xml:space="preserve">auction mechanisms to resolve mutually exclusive applications </w:t>
      </w:r>
      <w:proofErr w:type="gramStart"/>
      <w:r w:rsidR="00AE7C7C">
        <w:rPr>
          <w:szCs w:val="22"/>
        </w:rPr>
        <w:t xml:space="preserve">should </w:t>
      </w:r>
      <w:r w:rsidR="0039094F">
        <w:rPr>
          <w:szCs w:val="22"/>
        </w:rPr>
        <w:t xml:space="preserve"> auctions</w:t>
      </w:r>
      <w:proofErr w:type="gramEnd"/>
      <w:r w:rsidR="0039094F">
        <w:rPr>
          <w:szCs w:val="22"/>
        </w:rPr>
        <w:t xml:space="preserve"> </w:t>
      </w:r>
      <w:r w:rsidR="00AE7C7C">
        <w:rPr>
          <w:szCs w:val="22"/>
        </w:rPr>
        <w:t xml:space="preserve">be </w:t>
      </w:r>
      <w:r w:rsidR="0039094F">
        <w:rPr>
          <w:szCs w:val="22"/>
        </w:rPr>
        <w:t>necessary in the band.</w:t>
      </w:r>
      <w:r w:rsidR="0039094F">
        <w:rPr>
          <w:rStyle w:val="FootnoteReference"/>
          <w:szCs w:val="22"/>
        </w:rPr>
        <w:footnoteReference w:id="27"/>
      </w:r>
      <w:r w:rsidR="0039094F">
        <w:rPr>
          <w:szCs w:val="22"/>
        </w:rPr>
        <w:t xml:space="preserve"> </w:t>
      </w:r>
    </w:p>
    <w:p w:rsidR="00461113" w:rsidRPr="00B6445F" w:rsidRDefault="00461113" w:rsidP="00257EBC">
      <w:pPr>
        <w:pStyle w:val="Heading1"/>
        <w:widowControl/>
        <w:rPr>
          <w:rFonts w:ascii="Times New Roman" w:hAnsi="Times New Roman"/>
          <w:szCs w:val="22"/>
        </w:rPr>
      </w:pPr>
      <w:bookmarkStart w:id="19" w:name="_Toc364956229"/>
      <w:bookmarkStart w:id="20" w:name="_Toc365040862"/>
      <w:bookmarkStart w:id="21" w:name="_Toc365381558"/>
      <w:bookmarkStart w:id="22" w:name="_Toc365539314"/>
      <w:bookmarkStart w:id="23" w:name="_Toc366145026"/>
      <w:bookmarkStart w:id="24" w:name="_Toc366157651"/>
      <w:bookmarkStart w:id="25" w:name="_Toc366159763"/>
      <w:bookmarkStart w:id="26" w:name="_Toc367261112"/>
      <w:r w:rsidRPr="00B6445F">
        <w:rPr>
          <w:rFonts w:ascii="Times New Roman" w:hAnsi="Times New Roman"/>
          <w:szCs w:val="22"/>
        </w:rPr>
        <w:t>discussion</w:t>
      </w:r>
      <w:bookmarkEnd w:id="19"/>
      <w:bookmarkEnd w:id="20"/>
      <w:bookmarkEnd w:id="21"/>
      <w:bookmarkEnd w:id="22"/>
      <w:bookmarkEnd w:id="23"/>
      <w:bookmarkEnd w:id="24"/>
      <w:bookmarkEnd w:id="25"/>
      <w:bookmarkEnd w:id="26"/>
    </w:p>
    <w:p w:rsidR="00B55558" w:rsidRPr="00B6445F" w:rsidRDefault="004D191C" w:rsidP="00257EBC">
      <w:pPr>
        <w:pStyle w:val="ParaNum"/>
        <w:widowControl/>
        <w:rPr>
          <w:szCs w:val="22"/>
        </w:rPr>
      </w:pPr>
      <w:r w:rsidRPr="00B6445F">
        <w:rPr>
          <w:szCs w:val="22"/>
        </w:rPr>
        <w:t>With this Public Notice, we</w:t>
      </w:r>
      <w:r w:rsidR="002D7446" w:rsidRPr="00B6445F">
        <w:rPr>
          <w:szCs w:val="22"/>
        </w:rPr>
        <w:t xml:space="preserve"> seek comment on </w:t>
      </w:r>
      <w:r w:rsidR="00B159EC">
        <w:rPr>
          <w:szCs w:val="22"/>
        </w:rPr>
        <w:t xml:space="preserve">some specific </w:t>
      </w:r>
      <w:r w:rsidR="00DF1C04" w:rsidRPr="00B6445F">
        <w:rPr>
          <w:szCs w:val="22"/>
        </w:rPr>
        <w:t>variation</w:t>
      </w:r>
      <w:r w:rsidR="009A032C">
        <w:rPr>
          <w:szCs w:val="22"/>
        </w:rPr>
        <w:t>s</w:t>
      </w:r>
      <w:r w:rsidR="00DF1C04" w:rsidRPr="00B6445F">
        <w:rPr>
          <w:szCs w:val="22"/>
        </w:rPr>
        <w:t xml:space="preserve"> of the </w:t>
      </w:r>
      <w:r w:rsidR="009A032C">
        <w:rPr>
          <w:szCs w:val="22"/>
        </w:rPr>
        <w:t xml:space="preserve">licensing and technical proposals set forth in the NPRM.  The Revised Framework </w:t>
      </w:r>
      <w:r w:rsidR="00AE7C7C">
        <w:rPr>
          <w:szCs w:val="22"/>
        </w:rPr>
        <w:t xml:space="preserve">discussed below </w:t>
      </w:r>
      <w:r w:rsidR="00CF2576">
        <w:rPr>
          <w:szCs w:val="22"/>
        </w:rPr>
        <w:t>synthesizes</w:t>
      </w:r>
      <w:r w:rsidR="00CF2576" w:rsidRPr="00B6445F">
        <w:rPr>
          <w:szCs w:val="22"/>
        </w:rPr>
        <w:t xml:space="preserve"> </w:t>
      </w:r>
      <w:r w:rsidR="00DF1C04" w:rsidRPr="00B6445F">
        <w:rPr>
          <w:szCs w:val="22"/>
        </w:rPr>
        <w:t xml:space="preserve">elements from </w:t>
      </w:r>
      <w:r w:rsidR="009A032C">
        <w:rPr>
          <w:szCs w:val="22"/>
        </w:rPr>
        <w:t xml:space="preserve">the NPRM and </w:t>
      </w:r>
      <w:r w:rsidR="00DF1C04" w:rsidRPr="00B6445F">
        <w:rPr>
          <w:szCs w:val="22"/>
        </w:rPr>
        <w:t xml:space="preserve">various commenter proposals into an integrated </w:t>
      </w:r>
      <w:r w:rsidR="00CF2576">
        <w:rPr>
          <w:szCs w:val="22"/>
        </w:rPr>
        <w:t>authorization scheme for the 3.5 GHz Band</w:t>
      </w:r>
      <w:r w:rsidR="000F34C3" w:rsidRPr="00B6445F">
        <w:rPr>
          <w:szCs w:val="22"/>
        </w:rPr>
        <w:t xml:space="preserve">. </w:t>
      </w:r>
      <w:r w:rsidR="00AE7C7C">
        <w:rPr>
          <w:szCs w:val="22"/>
        </w:rPr>
        <w:t xml:space="preserve"> </w:t>
      </w:r>
      <w:r w:rsidR="000F34C3" w:rsidRPr="00B6445F">
        <w:rPr>
          <w:szCs w:val="22"/>
        </w:rPr>
        <w:t xml:space="preserve">In doing so, we </w:t>
      </w:r>
      <w:r w:rsidR="00AE7C7C">
        <w:rPr>
          <w:szCs w:val="22"/>
        </w:rPr>
        <w:t xml:space="preserve">seek </w:t>
      </w:r>
      <w:r w:rsidR="000F34C3" w:rsidRPr="00B6445F">
        <w:rPr>
          <w:szCs w:val="22"/>
        </w:rPr>
        <w:t xml:space="preserve">to advance the discussion about how new technologies can </w:t>
      </w:r>
      <w:r w:rsidR="00AE7C7C">
        <w:rPr>
          <w:szCs w:val="22"/>
        </w:rPr>
        <w:t xml:space="preserve">facilitate </w:t>
      </w:r>
      <w:r w:rsidR="001A539F">
        <w:rPr>
          <w:szCs w:val="22"/>
        </w:rPr>
        <w:t>coexistence between different kinds of users</w:t>
      </w:r>
      <w:r w:rsidR="00CF2576">
        <w:rPr>
          <w:szCs w:val="22"/>
        </w:rPr>
        <w:t xml:space="preserve"> with different </w:t>
      </w:r>
      <w:r w:rsidR="001A539F">
        <w:rPr>
          <w:szCs w:val="22"/>
        </w:rPr>
        <w:t>rights</w:t>
      </w:r>
      <w:r w:rsidR="00CF2576">
        <w:rPr>
          <w:szCs w:val="22"/>
        </w:rPr>
        <w:t xml:space="preserve"> in the</w:t>
      </w:r>
      <w:r w:rsidR="00732785">
        <w:rPr>
          <w:szCs w:val="22"/>
        </w:rPr>
        <w:t xml:space="preserve"> </w:t>
      </w:r>
      <w:r w:rsidR="000F34C3" w:rsidRPr="00B6445F">
        <w:rPr>
          <w:szCs w:val="22"/>
        </w:rPr>
        <w:t>band.</w:t>
      </w:r>
      <w:r w:rsidR="002D7446" w:rsidRPr="00B6445F">
        <w:rPr>
          <w:szCs w:val="22"/>
        </w:rPr>
        <w:t xml:space="preserve">  </w:t>
      </w:r>
      <w:r w:rsidR="00964FA0" w:rsidRPr="00B6445F">
        <w:rPr>
          <w:szCs w:val="22"/>
        </w:rPr>
        <w:t>The</w:t>
      </w:r>
      <w:r w:rsidR="00E65ACF" w:rsidRPr="00B6445F">
        <w:rPr>
          <w:szCs w:val="22"/>
        </w:rPr>
        <w:t xml:space="preserve"> </w:t>
      </w:r>
      <w:r w:rsidR="0037434C">
        <w:rPr>
          <w:szCs w:val="22"/>
        </w:rPr>
        <w:t>Revised Framework</w:t>
      </w:r>
      <w:r w:rsidR="003D4BF9" w:rsidRPr="00B6445F">
        <w:rPr>
          <w:szCs w:val="22"/>
        </w:rPr>
        <w:t xml:space="preserve"> </w:t>
      </w:r>
      <w:r w:rsidR="00742234" w:rsidRPr="00B6445F">
        <w:rPr>
          <w:szCs w:val="22"/>
        </w:rPr>
        <w:t>retains the three-tier model proposed in the NPRM</w:t>
      </w:r>
      <w:r w:rsidR="008D0460">
        <w:rPr>
          <w:szCs w:val="22"/>
        </w:rPr>
        <w:t xml:space="preserve"> but</w:t>
      </w:r>
      <w:r w:rsidR="00A66730">
        <w:rPr>
          <w:szCs w:val="22"/>
        </w:rPr>
        <w:t>, consistent with alternative authorization methods raised in the NPRM,</w:t>
      </w:r>
      <w:r w:rsidR="00A66730">
        <w:rPr>
          <w:rStyle w:val="FootnoteReference"/>
          <w:szCs w:val="22"/>
        </w:rPr>
        <w:footnoteReference w:id="28"/>
      </w:r>
      <w:r w:rsidR="008D0460">
        <w:rPr>
          <w:szCs w:val="22"/>
        </w:rPr>
        <w:t xml:space="preserve"> expands the eligibility criteria for the Priority Access </w:t>
      </w:r>
      <w:r w:rsidR="00030698">
        <w:rPr>
          <w:szCs w:val="22"/>
        </w:rPr>
        <w:t>tier</w:t>
      </w:r>
      <w:r w:rsidR="008D0460">
        <w:rPr>
          <w:szCs w:val="22"/>
        </w:rPr>
        <w:t xml:space="preserve"> and explores innovative means of assigning</w:t>
      </w:r>
      <w:r w:rsidR="00B159EC">
        <w:rPr>
          <w:szCs w:val="22"/>
        </w:rPr>
        <w:t xml:space="preserve"> exclusive</w:t>
      </w:r>
      <w:r w:rsidR="008D0460">
        <w:rPr>
          <w:szCs w:val="22"/>
        </w:rPr>
        <w:t xml:space="preserve"> authorizations within th</w:t>
      </w:r>
      <w:r w:rsidR="00732785">
        <w:rPr>
          <w:szCs w:val="22"/>
        </w:rPr>
        <w:t xml:space="preserve">e </w:t>
      </w:r>
      <w:r w:rsidR="00C52EA3">
        <w:rPr>
          <w:szCs w:val="22"/>
        </w:rPr>
        <w:t>t</w:t>
      </w:r>
      <w:r w:rsidR="008D0460">
        <w:rPr>
          <w:szCs w:val="22"/>
        </w:rPr>
        <w:t>ier.</w:t>
      </w:r>
      <w:r w:rsidR="00BB5D95" w:rsidRPr="00B6445F">
        <w:rPr>
          <w:szCs w:val="22"/>
        </w:rPr>
        <w:t xml:space="preserve"> </w:t>
      </w:r>
      <w:r w:rsidR="00FF21F7">
        <w:rPr>
          <w:szCs w:val="22"/>
        </w:rPr>
        <w:t xml:space="preserve"> </w:t>
      </w:r>
      <w:r w:rsidR="003D4BF9" w:rsidRPr="00B6445F">
        <w:rPr>
          <w:szCs w:val="22"/>
        </w:rPr>
        <w:t xml:space="preserve">Like the </w:t>
      </w:r>
      <w:r w:rsidR="0028787A">
        <w:rPr>
          <w:szCs w:val="22"/>
        </w:rPr>
        <w:t xml:space="preserve">NPRM’s </w:t>
      </w:r>
      <w:r w:rsidR="003D4BF9" w:rsidRPr="00B6445F">
        <w:rPr>
          <w:szCs w:val="22"/>
        </w:rPr>
        <w:t>main proposal, t</w:t>
      </w:r>
      <w:r w:rsidR="0026502F" w:rsidRPr="00B6445F">
        <w:rPr>
          <w:szCs w:val="22"/>
        </w:rPr>
        <w:t xml:space="preserve">he </w:t>
      </w:r>
      <w:r w:rsidR="0037434C">
        <w:rPr>
          <w:szCs w:val="22"/>
        </w:rPr>
        <w:t>Revised Framework</w:t>
      </w:r>
      <w:r w:rsidR="0026502F" w:rsidRPr="00B6445F">
        <w:rPr>
          <w:szCs w:val="22"/>
        </w:rPr>
        <w:t xml:space="preserve"> would leverage</w:t>
      </w:r>
      <w:r w:rsidR="00BB5D95" w:rsidRPr="00B6445F">
        <w:rPr>
          <w:szCs w:val="22"/>
        </w:rPr>
        <w:t xml:space="preserve"> the </w:t>
      </w:r>
      <w:r w:rsidR="003D4BF9" w:rsidRPr="00B6445F">
        <w:rPr>
          <w:szCs w:val="22"/>
        </w:rPr>
        <w:t xml:space="preserve">unique </w:t>
      </w:r>
      <w:r w:rsidR="00B83BD3" w:rsidRPr="00B6445F">
        <w:rPr>
          <w:szCs w:val="22"/>
        </w:rPr>
        <w:t>capabilities</w:t>
      </w:r>
      <w:r w:rsidR="00BB5D95" w:rsidRPr="00B6445F">
        <w:rPr>
          <w:szCs w:val="22"/>
        </w:rPr>
        <w:t xml:space="preserve"> of small cell </w:t>
      </w:r>
      <w:r w:rsidR="00B83BD3" w:rsidRPr="00B6445F">
        <w:rPr>
          <w:szCs w:val="22"/>
        </w:rPr>
        <w:t xml:space="preserve">and SAS </w:t>
      </w:r>
      <w:r w:rsidR="00BB5D95" w:rsidRPr="00B6445F">
        <w:rPr>
          <w:szCs w:val="22"/>
        </w:rPr>
        <w:t>technologies</w:t>
      </w:r>
      <w:r w:rsidR="0026502F" w:rsidRPr="00B6445F">
        <w:rPr>
          <w:szCs w:val="22"/>
        </w:rPr>
        <w:t xml:space="preserve"> to enable </w:t>
      </w:r>
      <w:r w:rsidR="00CF2576">
        <w:rPr>
          <w:szCs w:val="22"/>
        </w:rPr>
        <w:t>sharing between</w:t>
      </w:r>
      <w:r w:rsidR="008D0460">
        <w:rPr>
          <w:szCs w:val="22"/>
        </w:rPr>
        <w:t xml:space="preserve"> </w:t>
      </w:r>
      <w:r w:rsidR="00030698">
        <w:rPr>
          <w:szCs w:val="22"/>
        </w:rPr>
        <w:t xml:space="preserve">users in the </w:t>
      </w:r>
      <w:r w:rsidR="008D0460">
        <w:rPr>
          <w:szCs w:val="22"/>
        </w:rPr>
        <w:t>Priority Acce</w:t>
      </w:r>
      <w:r w:rsidR="00030698">
        <w:rPr>
          <w:szCs w:val="22"/>
        </w:rPr>
        <w:t>ss and GAA tier</w:t>
      </w:r>
      <w:r w:rsidR="008D0460">
        <w:rPr>
          <w:szCs w:val="22"/>
        </w:rPr>
        <w:t>s</w:t>
      </w:r>
      <w:r w:rsidR="0026502F" w:rsidRPr="00B6445F">
        <w:rPr>
          <w:szCs w:val="22"/>
        </w:rPr>
        <w:t>.</w:t>
      </w:r>
      <w:r w:rsidR="004335E1" w:rsidRPr="00B6445F">
        <w:rPr>
          <w:szCs w:val="22"/>
        </w:rPr>
        <w:t xml:space="preserve"> </w:t>
      </w:r>
      <w:r w:rsidR="003D4BF9" w:rsidRPr="00B6445F">
        <w:rPr>
          <w:szCs w:val="22"/>
        </w:rPr>
        <w:t xml:space="preserve"> </w:t>
      </w:r>
      <w:r w:rsidR="00732785">
        <w:rPr>
          <w:szCs w:val="22"/>
        </w:rPr>
        <w:t>Specifically</w:t>
      </w:r>
      <w:r w:rsidR="0026502F" w:rsidRPr="00B6445F">
        <w:rPr>
          <w:szCs w:val="22"/>
        </w:rPr>
        <w:t xml:space="preserve">, </w:t>
      </w:r>
      <w:r w:rsidR="003D4BF9" w:rsidRPr="00B6445F">
        <w:rPr>
          <w:szCs w:val="22"/>
        </w:rPr>
        <w:t xml:space="preserve">the </w:t>
      </w:r>
      <w:r w:rsidR="0037434C">
        <w:rPr>
          <w:szCs w:val="22"/>
        </w:rPr>
        <w:t>Revised Framework</w:t>
      </w:r>
      <w:r w:rsidR="0026502F" w:rsidRPr="00B6445F">
        <w:rPr>
          <w:szCs w:val="22"/>
        </w:rPr>
        <w:t xml:space="preserve"> </w:t>
      </w:r>
      <w:r w:rsidR="00CF2576">
        <w:rPr>
          <w:szCs w:val="22"/>
        </w:rPr>
        <w:t xml:space="preserve">contains </w:t>
      </w:r>
      <w:r w:rsidR="0026502F" w:rsidRPr="00B6445F">
        <w:rPr>
          <w:szCs w:val="22"/>
        </w:rPr>
        <w:t>the following core concepts:</w:t>
      </w:r>
    </w:p>
    <w:p w:rsidR="00BC01B6" w:rsidRPr="00B6445F" w:rsidRDefault="00BC01B6" w:rsidP="00257EBC">
      <w:pPr>
        <w:pStyle w:val="ParaNum"/>
        <w:widowControl/>
        <w:numPr>
          <w:ilvl w:val="0"/>
          <w:numId w:val="9"/>
        </w:numPr>
        <w:rPr>
          <w:szCs w:val="22"/>
        </w:rPr>
      </w:pPr>
      <w:r w:rsidRPr="00B6445F">
        <w:rPr>
          <w:szCs w:val="22"/>
        </w:rPr>
        <w:t>A</w:t>
      </w:r>
      <w:r>
        <w:rPr>
          <w:szCs w:val="22"/>
        </w:rPr>
        <w:t>n</w:t>
      </w:r>
      <w:r w:rsidRPr="00B6445F">
        <w:rPr>
          <w:szCs w:val="22"/>
        </w:rPr>
        <w:t xml:space="preserve"> SAS </w:t>
      </w:r>
      <w:r>
        <w:rPr>
          <w:szCs w:val="22"/>
        </w:rPr>
        <w:t xml:space="preserve">to </w:t>
      </w:r>
      <w:r w:rsidRPr="00B6445F">
        <w:rPr>
          <w:szCs w:val="22"/>
        </w:rPr>
        <w:t>dynamically manage frequency assignments and automatic</w:t>
      </w:r>
      <w:r>
        <w:rPr>
          <w:szCs w:val="22"/>
        </w:rPr>
        <w:t xml:space="preserve">ally </w:t>
      </w:r>
      <w:r w:rsidRPr="00B6445F">
        <w:rPr>
          <w:szCs w:val="22"/>
        </w:rPr>
        <w:t xml:space="preserve">enforce </w:t>
      </w:r>
      <w:r>
        <w:rPr>
          <w:szCs w:val="22"/>
        </w:rPr>
        <w:t xml:space="preserve">access </w:t>
      </w:r>
      <w:proofErr w:type="gramStart"/>
      <w:r>
        <w:rPr>
          <w:szCs w:val="22"/>
        </w:rPr>
        <w:t>to</w:t>
      </w:r>
      <w:r w:rsidRPr="00B6445F">
        <w:rPr>
          <w:szCs w:val="22"/>
        </w:rPr>
        <w:t xml:space="preserve"> </w:t>
      </w:r>
      <w:r>
        <w:rPr>
          <w:szCs w:val="22"/>
        </w:rPr>
        <w:t xml:space="preserve"> the</w:t>
      </w:r>
      <w:proofErr w:type="gramEnd"/>
      <w:r>
        <w:rPr>
          <w:szCs w:val="22"/>
        </w:rPr>
        <w:t xml:space="preserve"> </w:t>
      </w:r>
      <w:r w:rsidRPr="00B6445F">
        <w:rPr>
          <w:szCs w:val="22"/>
        </w:rPr>
        <w:t xml:space="preserve">Priority Access </w:t>
      </w:r>
      <w:r w:rsidR="00030698">
        <w:rPr>
          <w:szCs w:val="22"/>
        </w:rPr>
        <w:t>and GAA tier</w:t>
      </w:r>
      <w:r>
        <w:rPr>
          <w:szCs w:val="22"/>
        </w:rPr>
        <w:t>s</w:t>
      </w:r>
      <w:r w:rsidR="007E73CA">
        <w:rPr>
          <w:szCs w:val="22"/>
        </w:rPr>
        <w:t>;</w:t>
      </w:r>
    </w:p>
    <w:p w:rsidR="00732785" w:rsidRDefault="00294587" w:rsidP="00257EBC">
      <w:pPr>
        <w:pStyle w:val="ParaNum"/>
        <w:widowControl/>
        <w:numPr>
          <w:ilvl w:val="0"/>
          <w:numId w:val="9"/>
        </w:numPr>
        <w:rPr>
          <w:szCs w:val="22"/>
        </w:rPr>
      </w:pPr>
      <w:r w:rsidRPr="00B6445F">
        <w:rPr>
          <w:szCs w:val="22"/>
        </w:rPr>
        <w:t>Open e</w:t>
      </w:r>
      <w:r w:rsidR="00030698">
        <w:rPr>
          <w:szCs w:val="22"/>
        </w:rPr>
        <w:t>ligibility for Priority Access tier</w:t>
      </w:r>
      <w:r w:rsidRPr="00B6445F">
        <w:rPr>
          <w:szCs w:val="22"/>
        </w:rPr>
        <w:t xml:space="preserve"> use;</w:t>
      </w:r>
    </w:p>
    <w:p w:rsidR="00732785" w:rsidRPr="00B6445F" w:rsidRDefault="00CA178D" w:rsidP="00257EBC">
      <w:pPr>
        <w:pStyle w:val="ParaNum"/>
        <w:widowControl/>
        <w:numPr>
          <w:ilvl w:val="0"/>
          <w:numId w:val="9"/>
        </w:numPr>
        <w:rPr>
          <w:szCs w:val="22"/>
        </w:rPr>
      </w:pPr>
      <w:r>
        <w:rPr>
          <w:szCs w:val="22"/>
        </w:rPr>
        <w:t>G</w:t>
      </w:r>
      <w:r w:rsidR="00732785" w:rsidRPr="00B6445F">
        <w:rPr>
          <w:szCs w:val="22"/>
        </w:rPr>
        <w:t xml:space="preserve">ranular </w:t>
      </w:r>
      <w:r w:rsidR="00B159EC">
        <w:rPr>
          <w:szCs w:val="22"/>
        </w:rPr>
        <w:t xml:space="preserve">but </w:t>
      </w:r>
      <w:r w:rsidR="00732785" w:rsidRPr="00B6445F">
        <w:rPr>
          <w:szCs w:val="22"/>
        </w:rPr>
        <w:t xml:space="preserve">administratively-streamlined licensing </w:t>
      </w:r>
      <w:r>
        <w:rPr>
          <w:szCs w:val="22"/>
        </w:rPr>
        <w:t xml:space="preserve">of </w:t>
      </w:r>
      <w:r w:rsidR="00030698">
        <w:rPr>
          <w:szCs w:val="22"/>
        </w:rPr>
        <w:t>the Priority Access tier</w:t>
      </w:r>
      <w:r w:rsidR="00732785" w:rsidRPr="00B6445F">
        <w:rPr>
          <w:szCs w:val="22"/>
        </w:rPr>
        <w:t>;</w:t>
      </w:r>
    </w:p>
    <w:p w:rsidR="00294587" w:rsidRPr="006231F1" w:rsidRDefault="00B159EC" w:rsidP="00257EBC">
      <w:pPr>
        <w:pStyle w:val="ParaNum"/>
        <w:widowControl/>
        <w:numPr>
          <w:ilvl w:val="0"/>
          <w:numId w:val="9"/>
        </w:numPr>
        <w:rPr>
          <w:szCs w:val="22"/>
        </w:rPr>
      </w:pPr>
      <w:r>
        <w:rPr>
          <w:szCs w:val="22"/>
        </w:rPr>
        <w:t>M</w:t>
      </w:r>
      <w:r w:rsidR="008F7541">
        <w:rPr>
          <w:szCs w:val="22"/>
        </w:rPr>
        <w:t xml:space="preserve">utually exclusive </w:t>
      </w:r>
      <w:r>
        <w:rPr>
          <w:szCs w:val="22"/>
        </w:rPr>
        <w:t>spectrum rights for Priority Access subject to licensing by auction, coupled with</w:t>
      </w:r>
      <w:r w:rsidR="00732785" w:rsidRPr="00B6445F">
        <w:rPr>
          <w:szCs w:val="22"/>
        </w:rPr>
        <w:t>;</w:t>
      </w:r>
    </w:p>
    <w:p w:rsidR="0026502F" w:rsidRPr="00B6445F" w:rsidRDefault="0026502F" w:rsidP="00257EBC">
      <w:pPr>
        <w:pStyle w:val="ParaNum"/>
        <w:widowControl/>
        <w:numPr>
          <w:ilvl w:val="0"/>
          <w:numId w:val="9"/>
        </w:numPr>
        <w:rPr>
          <w:szCs w:val="22"/>
        </w:rPr>
      </w:pPr>
      <w:r w:rsidRPr="00B6445F">
        <w:rPr>
          <w:szCs w:val="22"/>
        </w:rPr>
        <w:t xml:space="preserve">A </w:t>
      </w:r>
      <w:r w:rsidR="00A64EC9" w:rsidRPr="00B6445F">
        <w:rPr>
          <w:szCs w:val="22"/>
        </w:rPr>
        <w:t xml:space="preserve">defined “floor” of GAA spectrum availability, </w:t>
      </w:r>
      <w:r w:rsidR="003D4BF9" w:rsidRPr="00B6445F">
        <w:rPr>
          <w:szCs w:val="22"/>
        </w:rPr>
        <w:t xml:space="preserve">to </w:t>
      </w:r>
      <w:r w:rsidR="00A64EC9" w:rsidRPr="00B6445F">
        <w:rPr>
          <w:szCs w:val="22"/>
        </w:rPr>
        <w:t>ensur</w:t>
      </w:r>
      <w:r w:rsidR="003D4BF9" w:rsidRPr="00B6445F">
        <w:rPr>
          <w:szCs w:val="22"/>
        </w:rPr>
        <w:t>e that</w:t>
      </w:r>
      <w:r w:rsidR="00A64EC9" w:rsidRPr="00B6445F">
        <w:rPr>
          <w:szCs w:val="22"/>
        </w:rPr>
        <w:t xml:space="preserve"> GAA access is available nationwide (</w:t>
      </w:r>
      <w:r w:rsidR="009A032C">
        <w:rPr>
          <w:szCs w:val="22"/>
        </w:rPr>
        <w:t xml:space="preserve">subject to </w:t>
      </w:r>
      <w:r w:rsidR="003D4BF9" w:rsidRPr="00B6445F">
        <w:rPr>
          <w:szCs w:val="22"/>
        </w:rPr>
        <w:t>Incumbent Access tier use</w:t>
      </w:r>
      <w:r w:rsidR="00A64EC9" w:rsidRPr="00B6445F">
        <w:rPr>
          <w:szCs w:val="22"/>
        </w:rPr>
        <w:t>);</w:t>
      </w:r>
    </w:p>
    <w:p w:rsidR="00E65ACF" w:rsidRPr="00B6445F" w:rsidRDefault="0051322F" w:rsidP="00257EBC">
      <w:pPr>
        <w:pStyle w:val="ParaNum"/>
        <w:widowControl/>
        <w:numPr>
          <w:ilvl w:val="0"/>
          <w:numId w:val="9"/>
        </w:numPr>
        <w:rPr>
          <w:szCs w:val="22"/>
        </w:rPr>
      </w:pPr>
      <w:r>
        <w:rPr>
          <w:szCs w:val="22"/>
        </w:rPr>
        <w:t xml:space="preserve">Additional </w:t>
      </w:r>
      <w:r w:rsidR="00A64EC9" w:rsidRPr="00B6445F">
        <w:rPr>
          <w:szCs w:val="22"/>
        </w:rPr>
        <w:t xml:space="preserve">GAA access to unused Priority Access bandwidth, </w:t>
      </w:r>
      <w:r w:rsidR="00B110B0">
        <w:rPr>
          <w:szCs w:val="22"/>
        </w:rPr>
        <w:t xml:space="preserve">as identified </w:t>
      </w:r>
      <w:r w:rsidR="009E2BD4">
        <w:rPr>
          <w:szCs w:val="22"/>
        </w:rPr>
        <w:t xml:space="preserve">and managed </w:t>
      </w:r>
      <w:r w:rsidR="00B110B0">
        <w:rPr>
          <w:szCs w:val="22"/>
        </w:rPr>
        <w:t xml:space="preserve">by the SAS, </w:t>
      </w:r>
      <w:r w:rsidR="00A64EC9" w:rsidRPr="00B6445F">
        <w:rPr>
          <w:szCs w:val="22"/>
        </w:rPr>
        <w:t xml:space="preserve">to maximize </w:t>
      </w:r>
      <w:r w:rsidR="005E154A">
        <w:rPr>
          <w:szCs w:val="22"/>
        </w:rPr>
        <w:t xml:space="preserve">dynamic </w:t>
      </w:r>
      <w:r w:rsidR="00A64EC9" w:rsidRPr="00B6445F">
        <w:rPr>
          <w:szCs w:val="22"/>
        </w:rPr>
        <w:t xml:space="preserve">use of the </w:t>
      </w:r>
      <w:r w:rsidR="006231F1">
        <w:rPr>
          <w:szCs w:val="22"/>
        </w:rPr>
        <w:t xml:space="preserve">unutilized portion of the </w:t>
      </w:r>
      <w:r w:rsidR="00A64EC9" w:rsidRPr="00B6445F">
        <w:rPr>
          <w:szCs w:val="22"/>
        </w:rPr>
        <w:t>band</w:t>
      </w:r>
      <w:r w:rsidR="0072426F">
        <w:rPr>
          <w:szCs w:val="22"/>
        </w:rPr>
        <w:t xml:space="preserve"> and ensure productive use of the spectrum</w:t>
      </w:r>
      <w:r w:rsidR="00A64EC9" w:rsidRPr="00B6445F">
        <w:rPr>
          <w:szCs w:val="22"/>
        </w:rPr>
        <w:t>;</w:t>
      </w:r>
      <w:r w:rsidR="006231F1">
        <w:rPr>
          <w:szCs w:val="22"/>
        </w:rPr>
        <w:t xml:space="preserve"> </w:t>
      </w:r>
    </w:p>
    <w:p w:rsidR="00A64EC9" w:rsidRDefault="007122B6" w:rsidP="00257EBC">
      <w:pPr>
        <w:pStyle w:val="ParaNum"/>
        <w:widowControl/>
        <w:numPr>
          <w:ilvl w:val="0"/>
          <w:numId w:val="9"/>
        </w:numPr>
        <w:rPr>
          <w:szCs w:val="22"/>
        </w:rPr>
      </w:pPr>
      <w:r w:rsidRPr="00B6445F">
        <w:rPr>
          <w:szCs w:val="22"/>
        </w:rPr>
        <w:t>Opportunities</w:t>
      </w:r>
      <w:r w:rsidR="00A64EC9" w:rsidRPr="00B6445F">
        <w:rPr>
          <w:szCs w:val="22"/>
        </w:rPr>
        <w:t xml:space="preserve"> for critical infrastructure facilities</w:t>
      </w:r>
      <w:r w:rsidRPr="00B6445F">
        <w:rPr>
          <w:szCs w:val="22"/>
        </w:rPr>
        <w:t xml:space="preserve"> to obtain targeted </w:t>
      </w:r>
      <w:r w:rsidR="00C0435A" w:rsidRPr="00B6445F">
        <w:rPr>
          <w:szCs w:val="22"/>
        </w:rPr>
        <w:t xml:space="preserve">priority spectrum </w:t>
      </w:r>
      <w:r w:rsidR="00732785">
        <w:rPr>
          <w:szCs w:val="22"/>
        </w:rPr>
        <w:t>use</w:t>
      </w:r>
      <w:r w:rsidRPr="00B6445F">
        <w:rPr>
          <w:szCs w:val="22"/>
        </w:rPr>
        <w:t xml:space="preserve"> within specific facilities</w:t>
      </w:r>
      <w:r w:rsidR="00CA178D">
        <w:rPr>
          <w:szCs w:val="22"/>
        </w:rPr>
        <w:t xml:space="preserve"> (such as a building)</w:t>
      </w:r>
      <w:r w:rsidRPr="00B6445F">
        <w:rPr>
          <w:szCs w:val="22"/>
        </w:rPr>
        <w:t xml:space="preserve"> that </w:t>
      </w:r>
      <w:r w:rsidR="00C52EA3">
        <w:rPr>
          <w:szCs w:val="22"/>
        </w:rPr>
        <w:t xml:space="preserve">meet certain requirements to mitigate </w:t>
      </w:r>
      <w:r w:rsidR="00732785">
        <w:rPr>
          <w:szCs w:val="22"/>
        </w:rPr>
        <w:t xml:space="preserve">the </w:t>
      </w:r>
      <w:r w:rsidR="00C52EA3">
        <w:rPr>
          <w:szCs w:val="22"/>
        </w:rPr>
        <w:t xml:space="preserve">potential for interference </w:t>
      </w:r>
      <w:r w:rsidR="00732785">
        <w:rPr>
          <w:szCs w:val="22"/>
        </w:rPr>
        <w:t>to</w:t>
      </w:r>
      <w:r w:rsidR="006231F1">
        <w:rPr>
          <w:szCs w:val="22"/>
        </w:rPr>
        <w:t xml:space="preserve"> and from</w:t>
      </w:r>
      <w:r w:rsidR="00732785">
        <w:rPr>
          <w:szCs w:val="22"/>
        </w:rPr>
        <w:t xml:space="preserve"> </w:t>
      </w:r>
      <w:r w:rsidR="00C52EA3">
        <w:rPr>
          <w:szCs w:val="22"/>
        </w:rPr>
        <w:t xml:space="preserve">other </w:t>
      </w:r>
      <w:r w:rsidR="00CA178D">
        <w:rPr>
          <w:szCs w:val="22"/>
        </w:rPr>
        <w:t xml:space="preserve">band </w:t>
      </w:r>
      <w:r w:rsidR="00C52EA3">
        <w:rPr>
          <w:szCs w:val="22"/>
        </w:rPr>
        <w:t>users</w:t>
      </w:r>
      <w:r w:rsidR="0072426F">
        <w:rPr>
          <w:szCs w:val="22"/>
        </w:rPr>
        <w:t>; and</w:t>
      </w:r>
    </w:p>
    <w:p w:rsidR="0072426F" w:rsidRPr="00B6445F" w:rsidRDefault="0072426F" w:rsidP="00257EBC">
      <w:pPr>
        <w:pStyle w:val="ParaNum"/>
        <w:widowControl/>
        <w:numPr>
          <w:ilvl w:val="0"/>
          <w:numId w:val="9"/>
        </w:numPr>
        <w:rPr>
          <w:szCs w:val="22"/>
        </w:rPr>
      </w:pPr>
      <w:r>
        <w:rPr>
          <w:szCs w:val="22"/>
        </w:rPr>
        <w:t>A set of baseline technical standards to prevent harmful interference and ensure productive use of the spectrum.</w:t>
      </w:r>
    </w:p>
    <w:p w:rsidR="00E01CF7" w:rsidRPr="00B6445F" w:rsidRDefault="00750967" w:rsidP="00257EBC">
      <w:pPr>
        <w:pStyle w:val="ParaNum"/>
        <w:widowControl/>
        <w:numPr>
          <w:ilvl w:val="0"/>
          <w:numId w:val="0"/>
        </w:numPr>
        <w:rPr>
          <w:szCs w:val="22"/>
        </w:rPr>
      </w:pPr>
      <w:r w:rsidRPr="00B6445F">
        <w:rPr>
          <w:szCs w:val="22"/>
        </w:rPr>
        <w:t xml:space="preserve">We recognize </w:t>
      </w:r>
      <w:r w:rsidR="00BC01B6">
        <w:rPr>
          <w:szCs w:val="22"/>
        </w:rPr>
        <w:t>the Revised Framework</w:t>
      </w:r>
      <w:r w:rsidRPr="00B6445F">
        <w:rPr>
          <w:szCs w:val="22"/>
        </w:rPr>
        <w:t xml:space="preserve"> </w:t>
      </w:r>
      <w:r w:rsidR="00151839" w:rsidRPr="00B6445F">
        <w:rPr>
          <w:szCs w:val="22"/>
        </w:rPr>
        <w:t>represent</w:t>
      </w:r>
      <w:r w:rsidR="00BC01B6">
        <w:rPr>
          <w:szCs w:val="22"/>
        </w:rPr>
        <w:t>s</w:t>
      </w:r>
      <w:r w:rsidRPr="00B6445F">
        <w:rPr>
          <w:szCs w:val="22"/>
        </w:rPr>
        <w:t xml:space="preserve"> one, but not the only, means of achieving the</w:t>
      </w:r>
      <w:r w:rsidR="00CA178D">
        <w:rPr>
          <w:szCs w:val="22"/>
        </w:rPr>
        <w:t xml:space="preserve"> Commission’s </w:t>
      </w:r>
      <w:r w:rsidRPr="00B6445F">
        <w:rPr>
          <w:szCs w:val="22"/>
        </w:rPr>
        <w:t xml:space="preserve">goals.  We therefore seek </w:t>
      </w:r>
      <w:r w:rsidR="00CA178D">
        <w:rPr>
          <w:szCs w:val="22"/>
        </w:rPr>
        <w:t xml:space="preserve">detailed </w:t>
      </w:r>
      <w:r w:rsidRPr="00B6445F">
        <w:rPr>
          <w:szCs w:val="22"/>
        </w:rPr>
        <w:t xml:space="preserve">comment on </w:t>
      </w:r>
      <w:r w:rsidR="001769FA" w:rsidRPr="00B6445F">
        <w:rPr>
          <w:szCs w:val="22"/>
        </w:rPr>
        <w:t>these</w:t>
      </w:r>
      <w:r w:rsidRPr="00B6445F">
        <w:rPr>
          <w:szCs w:val="22"/>
        </w:rPr>
        <w:t xml:space="preserve"> concepts as well as </w:t>
      </w:r>
      <w:r w:rsidR="008D6F1E">
        <w:rPr>
          <w:szCs w:val="22"/>
        </w:rPr>
        <w:t>technically</w:t>
      </w:r>
      <w:r w:rsidR="00CA178D">
        <w:rPr>
          <w:szCs w:val="22"/>
        </w:rPr>
        <w:t xml:space="preserve"> </w:t>
      </w:r>
      <w:r w:rsidRPr="00B6445F">
        <w:rPr>
          <w:szCs w:val="22"/>
        </w:rPr>
        <w:t xml:space="preserve">viable </w:t>
      </w:r>
      <w:r w:rsidRPr="00B6445F">
        <w:rPr>
          <w:szCs w:val="22"/>
        </w:rPr>
        <w:lastRenderedPageBreak/>
        <w:t>alternative</w:t>
      </w:r>
      <w:r w:rsidR="00CA178D">
        <w:rPr>
          <w:szCs w:val="22"/>
        </w:rPr>
        <w:t>s</w:t>
      </w:r>
      <w:r w:rsidR="00B110B0">
        <w:rPr>
          <w:szCs w:val="22"/>
        </w:rPr>
        <w:t xml:space="preserve"> to meet our stated objectives</w:t>
      </w:r>
      <w:r w:rsidRPr="00B6445F">
        <w:rPr>
          <w:szCs w:val="22"/>
        </w:rPr>
        <w:t xml:space="preserve">.  </w:t>
      </w:r>
      <w:r w:rsidR="005A5426">
        <w:t>Commenters should identify the various costs and benefits associated with a particular proposal.  Further, to the extent possible, commenters should provide specific data and information, such as actual or estimated dollar figures for each specific cost or benefit addressed, including a description of how the data or information was calculated or obtained, and any supporting documentation or other evidentiary support</w:t>
      </w:r>
      <w:r w:rsidR="005A5426">
        <w:rPr>
          <w:szCs w:val="22"/>
        </w:rPr>
        <w:t>.</w:t>
      </w:r>
    </w:p>
    <w:p w:rsidR="00B55558" w:rsidRPr="00B6445F" w:rsidRDefault="00045412" w:rsidP="00257EBC">
      <w:pPr>
        <w:pStyle w:val="Heading2"/>
        <w:widowControl/>
        <w:rPr>
          <w:szCs w:val="22"/>
        </w:rPr>
      </w:pPr>
      <w:bookmarkStart w:id="27" w:name="_Toc364956230"/>
      <w:bookmarkStart w:id="28" w:name="_Toc365040863"/>
      <w:bookmarkStart w:id="29" w:name="_Toc365381559"/>
      <w:bookmarkStart w:id="30" w:name="_Toc365539315"/>
      <w:bookmarkStart w:id="31" w:name="_Toc366145027"/>
      <w:bookmarkStart w:id="32" w:name="_Toc366157652"/>
      <w:bookmarkStart w:id="33" w:name="_Toc366159764"/>
      <w:bookmarkStart w:id="34" w:name="_Toc367261113"/>
      <w:r w:rsidRPr="00B6445F">
        <w:rPr>
          <w:szCs w:val="22"/>
        </w:rPr>
        <w:t xml:space="preserve">Priority Access </w:t>
      </w:r>
      <w:r w:rsidR="00030698">
        <w:rPr>
          <w:szCs w:val="22"/>
        </w:rPr>
        <w:t>Tier</w:t>
      </w:r>
      <w:bookmarkEnd w:id="27"/>
      <w:bookmarkEnd w:id="28"/>
      <w:bookmarkEnd w:id="29"/>
      <w:bookmarkEnd w:id="30"/>
      <w:bookmarkEnd w:id="31"/>
      <w:bookmarkEnd w:id="32"/>
      <w:bookmarkEnd w:id="33"/>
      <w:bookmarkEnd w:id="34"/>
    </w:p>
    <w:p w:rsidR="00B55558" w:rsidRPr="00B6445F" w:rsidRDefault="00E6555B" w:rsidP="00257EBC">
      <w:pPr>
        <w:pStyle w:val="ParaNum"/>
        <w:widowControl/>
        <w:rPr>
          <w:szCs w:val="22"/>
        </w:rPr>
      </w:pPr>
      <w:r w:rsidRPr="00FD6DB7">
        <w:rPr>
          <w:szCs w:val="22"/>
        </w:rPr>
        <w:t xml:space="preserve">The </w:t>
      </w:r>
      <w:r w:rsidR="00294587" w:rsidRPr="00FD6DB7">
        <w:rPr>
          <w:szCs w:val="22"/>
        </w:rPr>
        <w:t>Revised F</w:t>
      </w:r>
      <w:r w:rsidRPr="00FD6DB7">
        <w:rPr>
          <w:szCs w:val="22"/>
        </w:rPr>
        <w:t xml:space="preserve">ramework </w:t>
      </w:r>
      <w:r w:rsidR="00BC01B6">
        <w:rPr>
          <w:szCs w:val="22"/>
        </w:rPr>
        <w:t>further develops</w:t>
      </w:r>
      <w:r w:rsidRPr="00FD6DB7">
        <w:rPr>
          <w:szCs w:val="22"/>
        </w:rPr>
        <w:t xml:space="preserve"> some alternative proposals contained in the NPRM with respect to the Priority Access tier. </w:t>
      </w:r>
      <w:r w:rsidR="00691611" w:rsidRPr="00FD6DB7">
        <w:rPr>
          <w:szCs w:val="22"/>
        </w:rPr>
        <w:t xml:space="preserve"> </w:t>
      </w:r>
      <w:r w:rsidR="000B00BC" w:rsidRPr="00FD6DB7">
        <w:rPr>
          <w:szCs w:val="22"/>
        </w:rPr>
        <w:t>T</w:t>
      </w:r>
      <w:r w:rsidRPr="00FD6DB7">
        <w:rPr>
          <w:szCs w:val="22"/>
        </w:rPr>
        <w:t>h</w:t>
      </w:r>
      <w:r w:rsidR="000B00BC" w:rsidRPr="00FD6DB7">
        <w:rPr>
          <w:szCs w:val="22"/>
        </w:rPr>
        <w:t>e</w:t>
      </w:r>
      <w:r w:rsidRPr="00FD6DB7">
        <w:rPr>
          <w:szCs w:val="22"/>
        </w:rPr>
        <w:t xml:space="preserve"> </w:t>
      </w:r>
      <w:r w:rsidR="00030698">
        <w:rPr>
          <w:szCs w:val="22"/>
        </w:rPr>
        <w:t xml:space="preserve">approach to the </w:t>
      </w:r>
      <w:r w:rsidRPr="00FD6DB7">
        <w:rPr>
          <w:szCs w:val="22"/>
        </w:rPr>
        <w:t>Priority Access</w:t>
      </w:r>
      <w:r w:rsidR="00030698">
        <w:rPr>
          <w:szCs w:val="22"/>
        </w:rPr>
        <w:t xml:space="preserve"> tier described in the Revised Framework </w:t>
      </w:r>
      <w:r w:rsidRPr="00FD6DB7">
        <w:rPr>
          <w:szCs w:val="22"/>
        </w:rPr>
        <w:t xml:space="preserve">reflects many commenters’ desire to </w:t>
      </w:r>
      <w:r w:rsidR="003C1457">
        <w:rPr>
          <w:szCs w:val="22"/>
        </w:rPr>
        <w:t xml:space="preserve">open the Priority Access </w:t>
      </w:r>
      <w:r w:rsidR="00030698">
        <w:rPr>
          <w:szCs w:val="22"/>
        </w:rPr>
        <w:t>tier</w:t>
      </w:r>
      <w:r w:rsidR="003C1457">
        <w:rPr>
          <w:szCs w:val="22"/>
        </w:rPr>
        <w:t xml:space="preserve"> to a broader class of potential users</w:t>
      </w:r>
      <w:r w:rsidRPr="00FD6DB7">
        <w:rPr>
          <w:szCs w:val="22"/>
        </w:rPr>
        <w:t>.</w:t>
      </w:r>
      <w:r w:rsidRPr="00FD6DB7">
        <w:rPr>
          <w:rStyle w:val="FootnoteReference"/>
          <w:szCs w:val="22"/>
        </w:rPr>
        <w:footnoteReference w:id="29"/>
      </w:r>
      <w:r w:rsidRPr="00FD6DB7">
        <w:rPr>
          <w:szCs w:val="22"/>
        </w:rPr>
        <w:t xml:space="preserve"> </w:t>
      </w:r>
      <w:r w:rsidR="003C1457">
        <w:rPr>
          <w:szCs w:val="22"/>
        </w:rPr>
        <w:t xml:space="preserve"> </w:t>
      </w:r>
      <w:r w:rsidRPr="00FD6DB7">
        <w:rPr>
          <w:szCs w:val="22"/>
        </w:rPr>
        <w:t xml:space="preserve">At the same time, the </w:t>
      </w:r>
      <w:r w:rsidR="00A66730" w:rsidRPr="00FD6DB7">
        <w:rPr>
          <w:szCs w:val="22"/>
        </w:rPr>
        <w:t xml:space="preserve">Revised Framework retains a significant amount of spectrum for GAA uses and </w:t>
      </w:r>
      <w:r w:rsidRPr="00FD6DB7">
        <w:rPr>
          <w:szCs w:val="22"/>
        </w:rPr>
        <w:t xml:space="preserve">incorporates innovative features designed to integrate with the unique aspects of the Citizens Broadband Service and the 3.5 GHz Band. </w:t>
      </w:r>
      <w:r w:rsidR="00A66730" w:rsidRPr="00FD6DB7">
        <w:rPr>
          <w:szCs w:val="22"/>
        </w:rPr>
        <w:t xml:space="preserve"> </w:t>
      </w:r>
      <w:r w:rsidR="000B00BC" w:rsidRPr="00FD6DB7">
        <w:rPr>
          <w:szCs w:val="22"/>
        </w:rPr>
        <w:t>The</w:t>
      </w:r>
      <w:r w:rsidRPr="00FD6DB7">
        <w:rPr>
          <w:szCs w:val="22"/>
        </w:rPr>
        <w:t xml:space="preserve"> </w:t>
      </w:r>
      <w:r w:rsidR="00997712" w:rsidRPr="00FD6DB7">
        <w:rPr>
          <w:szCs w:val="22"/>
        </w:rPr>
        <w:t>R</w:t>
      </w:r>
      <w:r w:rsidRPr="00FD6DB7">
        <w:rPr>
          <w:szCs w:val="22"/>
        </w:rPr>
        <w:t xml:space="preserve">evised </w:t>
      </w:r>
      <w:r w:rsidR="00997712" w:rsidRPr="00FD6DB7">
        <w:rPr>
          <w:szCs w:val="22"/>
        </w:rPr>
        <w:t>F</w:t>
      </w:r>
      <w:r w:rsidRPr="00FD6DB7">
        <w:rPr>
          <w:szCs w:val="22"/>
        </w:rPr>
        <w:t xml:space="preserve">ramework balances </w:t>
      </w:r>
      <w:r w:rsidR="00607174" w:rsidRPr="00FD6DB7">
        <w:rPr>
          <w:szCs w:val="22"/>
        </w:rPr>
        <w:t xml:space="preserve">the </w:t>
      </w:r>
      <w:r w:rsidR="000B00BC" w:rsidRPr="00FD6DB7">
        <w:rPr>
          <w:szCs w:val="22"/>
        </w:rPr>
        <w:t xml:space="preserve">benefits </w:t>
      </w:r>
      <w:r w:rsidR="00C8546F" w:rsidRPr="00FD6DB7">
        <w:rPr>
          <w:szCs w:val="22"/>
        </w:rPr>
        <w:t>of exclusive</w:t>
      </w:r>
      <w:r w:rsidR="000B00BC" w:rsidRPr="00FD6DB7">
        <w:rPr>
          <w:szCs w:val="22"/>
        </w:rPr>
        <w:t xml:space="preserve"> licensing </w:t>
      </w:r>
      <w:r w:rsidR="003C1457">
        <w:rPr>
          <w:szCs w:val="22"/>
        </w:rPr>
        <w:t xml:space="preserve">and open eligibility </w:t>
      </w:r>
      <w:r w:rsidR="000B00BC" w:rsidRPr="00FD6DB7">
        <w:rPr>
          <w:szCs w:val="22"/>
        </w:rPr>
        <w:t>with the</w:t>
      </w:r>
      <w:r w:rsidR="00607174" w:rsidRPr="00FD6DB7">
        <w:rPr>
          <w:szCs w:val="22"/>
        </w:rPr>
        <w:t xml:space="preserve"> need to preserve </w:t>
      </w:r>
      <w:r w:rsidR="00F44993" w:rsidRPr="00FD6DB7">
        <w:rPr>
          <w:szCs w:val="22"/>
        </w:rPr>
        <w:t>GAA</w:t>
      </w:r>
      <w:r w:rsidR="00A66730" w:rsidRPr="00FD6DB7">
        <w:rPr>
          <w:szCs w:val="22"/>
        </w:rPr>
        <w:t xml:space="preserve"> </w:t>
      </w:r>
      <w:r w:rsidR="00607174" w:rsidRPr="00FD6DB7">
        <w:rPr>
          <w:szCs w:val="22"/>
        </w:rPr>
        <w:t>spectrum access and promote productive small cell</w:t>
      </w:r>
      <w:r w:rsidR="00F44993" w:rsidRPr="00FD6DB7">
        <w:rPr>
          <w:szCs w:val="22"/>
        </w:rPr>
        <w:t xml:space="preserve"> use of the band</w:t>
      </w:r>
      <w:r w:rsidR="00607174" w:rsidRPr="00FD6DB7">
        <w:rPr>
          <w:szCs w:val="22"/>
        </w:rPr>
        <w:t>.</w:t>
      </w:r>
      <w:r w:rsidR="00163209">
        <w:rPr>
          <w:szCs w:val="22"/>
        </w:rPr>
        <w:t xml:space="preserve">  In this section, we describe</w:t>
      </w:r>
      <w:r w:rsidR="00030698">
        <w:rPr>
          <w:szCs w:val="22"/>
        </w:rPr>
        <w:t xml:space="preserve"> concepts related to</w:t>
      </w:r>
      <w:r w:rsidR="00163209">
        <w:rPr>
          <w:szCs w:val="22"/>
        </w:rPr>
        <w:t xml:space="preserve">: (1) </w:t>
      </w:r>
      <w:r w:rsidR="00030698">
        <w:rPr>
          <w:szCs w:val="22"/>
        </w:rPr>
        <w:t xml:space="preserve">licensee qualifications for access to the </w:t>
      </w:r>
      <w:r w:rsidR="00163209">
        <w:rPr>
          <w:szCs w:val="22"/>
        </w:rPr>
        <w:t xml:space="preserve">Priority Access </w:t>
      </w:r>
      <w:r w:rsidR="00030698">
        <w:rPr>
          <w:szCs w:val="22"/>
        </w:rPr>
        <w:t>tier</w:t>
      </w:r>
      <w:r w:rsidR="00163209">
        <w:rPr>
          <w:szCs w:val="22"/>
        </w:rPr>
        <w:t xml:space="preserve">; </w:t>
      </w:r>
      <w:r w:rsidR="001B284C">
        <w:rPr>
          <w:szCs w:val="22"/>
        </w:rPr>
        <w:t xml:space="preserve">(2) the elements of the </w:t>
      </w:r>
      <w:r w:rsidR="00865E83">
        <w:rPr>
          <w:szCs w:val="22"/>
        </w:rPr>
        <w:t>Priority Access Licenses</w:t>
      </w:r>
      <w:r w:rsidR="001B284C">
        <w:rPr>
          <w:szCs w:val="22"/>
        </w:rPr>
        <w:t xml:space="preserve"> (</w:t>
      </w:r>
      <w:r w:rsidR="00865E83">
        <w:rPr>
          <w:szCs w:val="22"/>
        </w:rPr>
        <w:t>PAL</w:t>
      </w:r>
      <w:r w:rsidR="00163209">
        <w:rPr>
          <w:szCs w:val="22"/>
        </w:rPr>
        <w:t xml:space="preserve">s) which could be used to authorize access to the Priority Access </w:t>
      </w:r>
      <w:r w:rsidR="00030698">
        <w:rPr>
          <w:szCs w:val="22"/>
        </w:rPr>
        <w:t>tier</w:t>
      </w:r>
      <w:r w:rsidR="00163209">
        <w:rPr>
          <w:szCs w:val="22"/>
        </w:rPr>
        <w:t xml:space="preserve">; and (3) potential methods for assigning access </w:t>
      </w:r>
      <w:r w:rsidR="00030698">
        <w:rPr>
          <w:szCs w:val="22"/>
        </w:rPr>
        <w:t xml:space="preserve">to </w:t>
      </w:r>
      <w:r w:rsidR="00163209">
        <w:rPr>
          <w:szCs w:val="22"/>
        </w:rPr>
        <w:t xml:space="preserve">the Priority Access </w:t>
      </w:r>
      <w:r w:rsidR="00030698">
        <w:rPr>
          <w:szCs w:val="22"/>
        </w:rPr>
        <w:t xml:space="preserve">tier when </w:t>
      </w:r>
      <w:r w:rsidR="00163209">
        <w:rPr>
          <w:szCs w:val="22"/>
        </w:rPr>
        <w:t xml:space="preserve">mutually exclusive applications are received.  </w:t>
      </w:r>
      <w:r w:rsidR="00C574AF" w:rsidRPr="00FD6DB7">
        <w:rPr>
          <w:szCs w:val="22"/>
        </w:rPr>
        <w:t>We seek comment</w:t>
      </w:r>
      <w:r w:rsidR="005A5426">
        <w:rPr>
          <w:szCs w:val="22"/>
        </w:rPr>
        <w:t>, including costs and benefits,</w:t>
      </w:r>
      <w:r w:rsidR="00C574AF" w:rsidRPr="00FD6DB7">
        <w:rPr>
          <w:szCs w:val="22"/>
        </w:rPr>
        <w:t xml:space="preserve"> on the revised </w:t>
      </w:r>
      <w:r w:rsidR="00843C82">
        <w:rPr>
          <w:szCs w:val="22"/>
        </w:rPr>
        <w:t xml:space="preserve">approach to the </w:t>
      </w:r>
      <w:r w:rsidR="00C574AF" w:rsidRPr="00FD6DB7">
        <w:rPr>
          <w:szCs w:val="22"/>
        </w:rPr>
        <w:t xml:space="preserve">Priority Access </w:t>
      </w:r>
      <w:r w:rsidR="00843C82">
        <w:rPr>
          <w:szCs w:val="22"/>
        </w:rPr>
        <w:t xml:space="preserve">tier </w:t>
      </w:r>
      <w:r w:rsidR="00C574AF" w:rsidRPr="00FD6DB7">
        <w:rPr>
          <w:szCs w:val="22"/>
        </w:rPr>
        <w:t>described below</w:t>
      </w:r>
      <w:r w:rsidR="00C574AF" w:rsidRPr="00B6445F">
        <w:rPr>
          <w:szCs w:val="22"/>
        </w:rPr>
        <w:t>.</w:t>
      </w:r>
    </w:p>
    <w:p w:rsidR="00B55558" w:rsidRPr="00B6445F" w:rsidRDefault="0006048B" w:rsidP="00257EBC">
      <w:pPr>
        <w:pStyle w:val="Heading3"/>
        <w:widowControl/>
        <w:rPr>
          <w:szCs w:val="22"/>
        </w:rPr>
      </w:pPr>
      <w:bookmarkStart w:id="35" w:name="_Toc364956231"/>
      <w:bookmarkStart w:id="36" w:name="_Toc365040864"/>
      <w:bookmarkStart w:id="37" w:name="_Toc365381560"/>
      <w:bookmarkStart w:id="38" w:name="_Toc365539316"/>
      <w:bookmarkStart w:id="39" w:name="_Toc366145028"/>
      <w:bookmarkStart w:id="40" w:name="_Toc366157653"/>
      <w:bookmarkStart w:id="41" w:name="_Toc366159765"/>
      <w:bookmarkStart w:id="42" w:name="_Toc367261114"/>
      <w:r w:rsidRPr="00B6445F">
        <w:rPr>
          <w:szCs w:val="22"/>
        </w:rPr>
        <w:t>Open Eligibility for Priority Access</w:t>
      </w:r>
      <w:r w:rsidR="000D4817" w:rsidRPr="00B6445F">
        <w:rPr>
          <w:szCs w:val="22"/>
        </w:rPr>
        <w:t xml:space="preserve"> Licenses</w:t>
      </w:r>
      <w:bookmarkEnd w:id="35"/>
      <w:bookmarkEnd w:id="36"/>
      <w:bookmarkEnd w:id="37"/>
      <w:bookmarkEnd w:id="38"/>
      <w:bookmarkEnd w:id="39"/>
      <w:bookmarkEnd w:id="40"/>
      <w:bookmarkEnd w:id="41"/>
      <w:bookmarkEnd w:id="42"/>
    </w:p>
    <w:p w:rsidR="00C03496" w:rsidRPr="00B6445F" w:rsidRDefault="002B6DB2" w:rsidP="00257EBC">
      <w:pPr>
        <w:pStyle w:val="ParaNum"/>
        <w:widowControl/>
        <w:rPr>
          <w:szCs w:val="22"/>
        </w:rPr>
      </w:pPr>
      <w:r w:rsidRPr="00B6445F">
        <w:rPr>
          <w:szCs w:val="22"/>
        </w:rPr>
        <w:t xml:space="preserve">The </w:t>
      </w:r>
      <w:r w:rsidR="0037434C">
        <w:rPr>
          <w:szCs w:val="22"/>
        </w:rPr>
        <w:t>Revised Framework</w:t>
      </w:r>
      <w:r w:rsidRPr="00B6445F">
        <w:rPr>
          <w:szCs w:val="22"/>
        </w:rPr>
        <w:t xml:space="preserve"> would </w:t>
      </w:r>
      <w:r w:rsidR="00C52EA3">
        <w:rPr>
          <w:szCs w:val="22"/>
        </w:rPr>
        <w:t>expand access to</w:t>
      </w:r>
      <w:r w:rsidR="004B5E0A" w:rsidRPr="00B6445F">
        <w:rPr>
          <w:szCs w:val="22"/>
        </w:rPr>
        <w:t xml:space="preserve"> the Priority Access tier</w:t>
      </w:r>
      <w:r w:rsidR="003C1457">
        <w:rPr>
          <w:szCs w:val="22"/>
        </w:rPr>
        <w:t xml:space="preserve"> to a broad class of potential users</w:t>
      </w:r>
      <w:r w:rsidR="004B5E0A" w:rsidRPr="00B6445F">
        <w:rPr>
          <w:szCs w:val="22"/>
        </w:rPr>
        <w:t xml:space="preserve">. The </w:t>
      </w:r>
      <w:r w:rsidR="004B5E0A" w:rsidRPr="00585D5F">
        <w:rPr>
          <w:szCs w:val="22"/>
        </w:rPr>
        <w:t>NPRM</w:t>
      </w:r>
      <w:r w:rsidR="004B5E0A" w:rsidRPr="00B6445F">
        <w:rPr>
          <w:szCs w:val="22"/>
        </w:rPr>
        <w:t xml:space="preserve"> proposed limiting Priority Access eligibility to certain “mission critical” users.</w:t>
      </w:r>
      <w:r w:rsidR="004B5E0A" w:rsidRPr="00B6445F">
        <w:rPr>
          <w:rStyle w:val="FootnoteReference"/>
          <w:szCs w:val="22"/>
        </w:rPr>
        <w:footnoteReference w:id="30"/>
      </w:r>
      <w:r w:rsidR="004B5E0A" w:rsidRPr="00B6445F">
        <w:rPr>
          <w:szCs w:val="22"/>
        </w:rPr>
        <w:t xml:space="preserve"> </w:t>
      </w:r>
      <w:r w:rsidR="001718E9">
        <w:rPr>
          <w:szCs w:val="22"/>
        </w:rPr>
        <w:t xml:space="preserve"> </w:t>
      </w:r>
      <w:r w:rsidR="00E67C44" w:rsidRPr="00B6445F">
        <w:rPr>
          <w:szCs w:val="22"/>
        </w:rPr>
        <w:t>In the alternative, we also proposed a more</w:t>
      </w:r>
      <w:r w:rsidR="000B00BC">
        <w:rPr>
          <w:szCs w:val="22"/>
        </w:rPr>
        <w:t xml:space="preserve"> open</w:t>
      </w:r>
      <w:r w:rsidR="00E67C44" w:rsidRPr="00B6445F">
        <w:rPr>
          <w:szCs w:val="22"/>
        </w:rPr>
        <w:t xml:space="preserve"> eligibility model.</w:t>
      </w:r>
      <w:r w:rsidR="00E67C44" w:rsidRPr="00B6445F">
        <w:rPr>
          <w:rStyle w:val="FootnoteReference"/>
          <w:szCs w:val="22"/>
        </w:rPr>
        <w:footnoteReference w:id="31"/>
      </w:r>
      <w:r w:rsidR="00B55558" w:rsidRPr="00B6445F">
        <w:rPr>
          <w:szCs w:val="22"/>
        </w:rPr>
        <w:t xml:space="preserve"> </w:t>
      </w:r>
      <w:r w:rsidR="00FD6DB7">
        <w:rPr>
          <w:szCs w:val="22"/>
        </w:rPr>
        <w:t xml:space="preserve"> </w:t>
      </w:r>
      <w:r w:rsidR="00B55558" w:rsidRPr="00B6445F">
        <w:rPr>
          <w:szCs w:val="22"/>
        </w:rPr>
        <w:t xml:space="preserve">In response to the </w:t>
      </w:r>
      <w:r w:rsidR="00B55558" w:rsidRPr="00585D5F">
        <w:rPr>
          <w:szCs w:val="22"/>
        </w:rPr>
        <w:t>NPRM</w:t>
      </w:r>
      <w:r w:rsidR="00B55558" w:rsidRPr="00B6445F">
        <w:rPr>
          <w:szCs w:val="22"/>
        </w:rPr>
        <w:t xml:space="preserve">, many commenters </w:t>
      </w:r>
      <w:r w:rsidR="00C22353">
        <w:rPr>
          <w:szCs w:val="22"/>
        </w:rPr>
        <w:t xml:space="preserve">supported </w:t>
      </w:r>
      <w:r w:rsidR="003C1457">
        <w:rPr>
          <w:szCs w:val="22"/>
        </w:rPr>
        <w:t xml:space="preserve">the </w:t>
      </w:r>
      <w:r w:rsidR="00B55558" w:rsidRPr="00B6445F">
        <w:rPr>
          <w:szCs w:val="22"/>
        </w:rPr>
        <w:t>“open” eligibility</w:t>
      </w:r>
      <w:r w:rsidR="003C1457">
        <w:rPr>
          <w:szCs w:val="22"/>
        </w:rPr>
        <w:t xml:space="preserve"> alternative</w:t>
      </w:r>
      <w:r w:rsidR="00B55558" w:rsidRPr="00B6445F">
        <w:rPr>
          <w:szCs w:val="22"/>
        </w:rPr>
        <w:t>.</w:t>
      </w:r>
      <w:r w:rsidR="00382D01" w:rsidRPr="00B6445F">
        <w:rPr>
          <w:rStyle w:val="FootnoteReference"/>
          <w:szCs w:val="22"/>
        </w:rPr>
        <w:footnoteReference w:id="32"/>
      </w:r>
      <w:r w:rsidR="00B55558" w:rsidRPr="00B6445F">
        <w:rPr>
          <w:szCs w:val="22"/>
        </w:rPr>
        <w:t xml:space="preserve"> </w:t>
      </w:r>
      <w:r w:rsidR="000B00BC">
        <w:rPr>
          <w:szCs w:val="22"/>
        </w:rPr>
        <w:t xml:space="preserve"> </w:t>
      </w:r>
      <w:r w:rsidR="00382D01" w:rsidRPr="00B6445F">
        <w:rPr>
          <w:szCs w:val="22"/>
        </w:rPr>
        <w:t>Several others endorsed</w:t>
      </w:r>
      <w:r w:rsidR="002A1FB5" w:rsidRPr="00B6445F">
        <w:rPr>
          <w:szCs w:val="22"/>
        </w:rPr>
        <w:t xml:space="preserve"> restricted eligibility</w:t>
      </w:r>
      <w:r w:rsidR="000B00BC">
        <w:rPr>
          <w:szCs w:val="22"/>
        </w:rPr>
        <w:t>, tailored to specific users or industries.</w:t>
      </w:r>
      <w:r w:rsidR="000B00BC">
        <w:rPr>
          <w:rStyle w:val="FootnoteReference"/>
          <w:szCs w:val="22"/>
        </w:rPr>
        <w:footnoteReference w:id="33"/>
      </w:r>
      <w:r w:rsidR="00F60B06" w:rsidRPr="00B6445F">
        <w:rPr>
          <w:szCs w:val="22"/>
        </w:rPr>
        <w:t xml:space="preserve"> </w:t>
      </w:r>
      <w:r w:rsidR="00FF21F7">
        <w:rPr>
          <w:szCs w:val="22"/>
        </w:rPr>
        <w:t xml:space="preserve"> </w:t>
      </w:r>
      <w:r w:rsidR="003C1457">
        <w:rPr>
          <w:szCs w:val="22"/>
        </w:rPr>
        <w:t>Under</w:t>
      </w:r>
      <w:r w:rsidR="00F60B06" w:rsidRPr="00B6445F">
        <w:rPr>
          <w:szCs w:val="22"/>
        </w:rPr>
        <w:t xml:space="preserve"> the </w:t>
      </w:r>
      <w:r w:rsidR="0037434C">
        <w:rPr>
          <w:szCs w:val="22"/>
        </w:rPr>
        <w:t>Revised Framework</w:t>
      </w:r>
      <w:r w:rsidR="00F60B06" w:rsidRPr="00B6445F">
        <w:rPr>
          <w:szCs w:val="22"/>
        </w:rPr>
        <w:t>, any prospective licensee who meets basic FCC qualifications would be eligible to apply for Priority Access licenses.</w:t>
      </w:r>
      <w:r w:rsidR="008942DF">
        <w:rPr>
          <w:szCs w:val="22"/>
        </w:rPr>
        <w:t xml:space="preserve">  </w:t>
      </w:r>
      <w:r w:rsidR="00F60B06" w:rsidRPr="00B6445F">
        <w:rPr>
          <w:szCs w:val="22"/>
        </w:rPr>
        <w:t xml:space="preserve">We seek </w:t>
      </w:r>
      <w:r w:rsidR="000B00BC">
        <w:rPr>
          <w:szCs w:val="22"/>
        </w:rPr>
        <w:t xml:space="preserve">detailed </w:t>
      </w:r>
      <w:r w:rsidR="00F60B06" w:rsidRPr="00B6445F">
        <w:rPr>
          <w:szCs w:val="22"/>
        </w:rPr>
        <w:t>comment on this approach</w:t>
      </w:r>
      <w:r w:rsidR="008942DF">
        <w:rPr>
          <w:szCs w:val="22"/>
        </w:rPr>
        <w:t>, including the potential range of eligible users</w:t>
      </w:r>
      <w:r w:rsidR="008942DF" w:rsidRPr="008942DF">
        <w:rPr>
          <w:szCs w:val="22"/>
        </w:rPr>
        <w:t xml:space="preserve"> </w:t>
      </w:r>
      <w:r w:rsidR="008942DF">
        <w:rPr>
          <w:szCs w:val="22"/>
        </w:rPr>
        <w:t>and any associated costs and benefits</w:t>
      </w:r>
      <w:r w:rsidR="008942DF" w:rsidRPr="00B6445F">
        <w:rPr>
          <w:szCs w:val="22"/>
        </w:rPr>
        <w:t>.</w:t>
      </w:r>
      <w:r w:rsidR="008942DF">
        <w:rPr>
          <w:szCs w:val="22"/>
        </w:rPr>
        <w:t xml:space="preserve"> </w:t>
      </w:r>
    </w:p>
    <w:p w:rsidR="00461113" w:rsidRPr="00B6445F" w:rsidRDefault="00865E83" w:rsidP="00257EBC">
      <w:pPr>
        <w:pStyle w:val="Heading3"/>
        <w:widowControl/>
        <w:rPr>
          <w:szCs w:val="22"/>
        </w:rPr>
      </w:pPr>
      <w:bookmarkStart w:id="43" w:name="_Toc366145029"/>
      <w:bookmarkStart w:id="44" w:name="_Toc366157654"/>
      <w:bookmarkStart w:id="45" w:name="_Toc366159766"/>
      <w:bookmarkStart w:id="46" w:name="_Toc367261115"/>
      <w:r>
        <w:rPr>
          <w:szCs w:val="22"/>
        </w:rPr>
        <w:t>Priority Access Licenses</w:t>
      </w:r>
      <w:bookmarkEnd w:id="43"/>
      <w:bookmarkEnd w:id="44"/>
      <w:bookmarkEnd w:id="45"/>
      <w:bookmarkEnd w:id="46"/>
    </w:p>
    <w:p w:rsidR="00B55558" w:rsidRPr="00B6445F" w:rsidRDefault="0051322F" w:rsidP="00257EBC">
      <w:pPr>
        <w:pStyle w:val="ParaNum"/>
        <w:widowControl/>
        <w:rPr>
          <w:szCs w:val="22"/>
        </w:rPr>
      </w:pPr>
      <w:r>
        <w:rPr>
          <w:szCs w:val="22"/>
        </w:rPr>
        <w:t>In the NPRM, we asked for comment on the technical licensing and regulatory ramifications of our proposal for Priority Access users.</w:t>
      </w:r>
      <w:r>
        <w:rPr>
          <w:rStyle w:val="FootnoteReference"/>
          <w:szCs w:val="22"/>
        </w:rPr>
        <w:footnoteReference w:id="34"/>
      </w:r>
      <w:r>
        <w:rPr>
          <w:szCs w:val="22"/>
        </w:rPr>
        <w:t xml:space="preserve">  </w:t>
      </w:r>
      <w:r w:rsidR="00686D0F" w:rsidRPr="00B6445F">
        <w:rPr>
          <w:szCs w:val="22"/>
        </w:rPr>
        <w:t xml:space="preserve">Under the </w:t>
      </w:r>
      <w:r w:rsidR="0037434C">
        <w:rPr>
          <w:szCs w:val="22"/>
        </w:rPr>
        <w:t>Revised Framework</w:t>
      </w:r>
      <w:r w:rsidR="00686D0F" w:rsidRPr="00B6445F">
        <w:rPr>
          <w:szCs w:val="22"/>
        </w:rPr>
        <w:t>, a</w:t>
      </w:r>
      <w:r w:rsidR="00F941B3" w:rsidRPr="00B6445F">
        <w:rPr>
          <w:szCs w:val="22"/>
        </w:rPr>
        <w:t xml:space="preserve"> set of </w:t>
      </w:r>
      <w:r w:rsidR="00865E83">
        <w:rPr>
          <w:szCs w:val="22"/>
        </w:rPr>
        <w:t>PAL</w:t>
      </w:r>
      <w:r w:rsidR="008F537D" w:rsidRPr="00B6445F">
        <w:rPr>
          <w:szCs w:val="22"/>
        </w:rPr>
        <w:t>s</w:t>
      </w:r>
      <w:r w:rsidR="001B284C">
        <w:rPr>
          <w:szCs w:val="22"/>
        </w:rPr>
        <w:t xml:space="preserve"> </w:t>
      </w:r>
      <w:r w:rsidR="007E4D65" w:rsidRPr="00B6445F">
        <w:rPr>
          <w:szCs w:val="22"/>
        </w:rPr>
        <w:t xml:space="preserve">would </w:t>
      </w:r>
      <w:r w:rsidR="00AC4958" w:rsidRPr="00B6445F">
        <w:rPr>
          <w:szCs w:val="22"/>
        </w:rPr>
        <w:t xml:space="preserve">define and control spectrum use </w:t>
      </w:r>
      <w:r w:rsidR="007E4D65" w:rsidRPr="00B6445F">
        <w:rPr>
          <w:szCs w:val="22"/>
        </w:rPr>
        <w:t>in the Priority Access tier</w:t>
      </w:r>
      <w:r w:rsidR="000B6E27" w:rsidRPr="00B6445F">
        <w:rPr>
          <w:szCs w:val="22"/>
        </w:rPr>
        <w:t xml:space="preserve">. </w:t>
      </w:r>
      <w:r w:rsidR="006231F1">
        <w:rPr>
          <w:szCs w:val="22"/>
        </w:rPr>
        <w:t xml:space="preserve"> </w:t>
      </w:r>
      <w:r w:rsidR="00865E83">
        <w:rPr>
          <w:szCs w:val="22"/>
        </w:rPr>
        <w:t>PAL</w:t>
      </w:r>
      <w:r w:rsidR="007D78C8" w:rsidRPr="00B6445F">
        <w:rPr>
          <w:szCs w:val="22"/>
        </w:rPr>
        <w:t xml:space="preserve">s </w:t>
      </w:r>
      <w:r w:rsidR="007918DF">
        <w:rPr>
          <w:szCs w:val="22"/>
        </w:rPr>
        <w:t>are intended to ensure</w:t>
      </w:r>
      <w:r w:rsidR="000B6E27" w:rsidRPr="00B6445F">
        <w:rPr>
          <w:szCs w:val="22"/>
        </w:rPr>
        <w:t xml:space="preserve"> </w:t>
      </w:r>
      <w:r w:rsidR="00F26748" w:rsidRPr="00B6445F">
        <w:rPr>
          <w:szCs w:val="22"/>
        </w:rPr>
        <w:t xml:space="preserve">flexible and </w:t>
      </w:r>
      <w:r w:rsidR="000B6E27" w:rsidRPr="00B6445F">
        <w:rPr>
          <w:szCs w:val="22"/>
        </w:rPr>
        <w:t xml:space="preserve">efficient use of the </w:t>
      </w:r>
      <w:r w:rsidR="005270FB" w:rsidRPr="00B6445F">
        <w:rPr>
          <w:szCs w:val="22"/>
        </w:rPr>
        <w:t>Priority Access tier</w:t>
      </w:r>
      <w:r w:rsidR="000B6E27" w:rsidRPr="00B6445F">
        <w:rPr>
          <w:szCs w:val="22"/>
        </w:rPr>
        <w:t xml:space="preserve">, </w:t>
      </w:r>
      <w:r w:rsidR="007918DF">
        <w:rPr>
          <w:szCs w:val="22"/>
        </w:rPr>
        <w:t>given</w:t>
      </w:r>
      <w:r w:rsidR="000B6E27" w:rsidRPr="00B6445F">
        <w:rPr>
          <w:szCs w:val="22"/>
        </w:rPr>
        <w:t xml:space="preserve"> the characteristics of small cell networks</w:t>
      </w:r>
      <w:r w:rsidR="001C1F96" w:rsidRPr="00B6445F">
        <w:rPr>
          <w:szCs w:val="22"/>
        </w:rPr>
        <w:t xml:space="preserve"> </w:t>
      </w:r>
      <w:r w:rsidR="00044D84" w:rsidRPr="00B6445F">
        <w:rPr>
          <w:szCs w:val="22"/>
        </w:rPr>
        <w:t xml:space="preserve">and advanced capabilities </w:t>
      </w:r>
      <w:r w:rsidR="007918DF">
        <w:rPr>
          <w:szCs w:val="22"/>
        </w:rPr>
        <w:t>of</w:t>
      </w:r>
      <w:r w:rsidR="00044D84" w:rsidRPr="00B6445F">
        <w:rPr>
          <w:szCs w:val="22"/>
        </w:rPr>
        <w:t xml:space="preserve"> a</w:t>
      </w:r>
      <w:r w:rsidR="007918DF">
        <w:rPr>
          <w:szCs w:val="22"/>
        </w:rPr>
        <w:t>n SAS</w:t>
      </w:r>
      <w:r w:rsidR="000B6E27" w:rsidRPr="00B6445F">
        <w:rPr>
          <w:szCs w:val="22"/>
        </w:rPr>
        <w:t xml:space="preserve">. </w:t>
      </w:r>
      <w:r w:rsidR="006231F1">
        <w:rPr>
          <w:szCs w:val="22"/>
        </w:rPr>
        <w:t xml:space="preserve"> </w:t>
      </w:r>
      <w:r w:rsidR="003F7A6E" w:rsidRPr="00B6445F">
        <w:rPr>
          <w:szCs w:val="22"/>
        </w:rPr>
        <w:t xml:space="preserve">We </w:t>
      </w:r>
      <w:r w:rsidR="00C45713" w:rsidRPr="00B6445F">
        <w:rPr>
          <w:szCs w:val="22"/>
        </w:rPr>
        <w:t xml:space="preserve">envision a </w:t>
      </w:r>
      <w:r w:rsidR="009C5A77" w:rsidRPr="00B6445F">
        <w:rPr>
          <w:szCs w:val="22"/>
        </w:rPr>
        <w:t>“building block</w:t>
      </w:r>
      <w:r w:rsidR="00FE2246" w:rsidRPr="00B6445F">
        <w:rPr>
          <w:szCs w:val="22"/>
        </w:rPr>
        <w:t>” approach in which relatively granular</w:t>
      </w:r>
      <w:r w:rsidR="001818FF">
        <w:rPr>
          <w:szCs w:val="22"/>
        </w:rPr>
        <w:t xml:space="preserve"> </w:t>
      </w:r>
      <w:r w:rsidR="00865E83">
        <w:rPr>
          <w:szCs w:val="22"/>
        </w:rPr>
        <w:t>PAL</w:t>
      </w:r>
      <w:r w:rsidR="009C5A77" w:rsidRPr="00B6445F">
        <w:rPr>
          <w:szCs w:val="22"/>
        </w:rPr>
        <w:t>s could be aggregated – in space, time, and frequency – to meet</w:t>
      </w:r>
      <w:r w:rsidR="00761391">
        <w:rPr>
          <w:szCs w:val="22"/>
        </w:rPr>
        <w:t xml:space="preserve"> divers</w:t>
      </w:r>
      <w:r w:rsidR="00F73F53">
        <w:rPr>
          <w:szCs w:val="22"/>
        </w:rPr>
        <w:t>e</w:t>
      </w:r>
      <w:r w:rsidR="001F3820">
        <w:rPr>
          <w:szCs w:val="22"/>
        </w:rPr>
        <w:t xml:space="preserve"> </w:t>
      </w:r>
      <w:r w:rsidR="009C5A77" w:rsidRPr="00B6445F">
        <w:rPr>
          <w:szCs w:val="22"/>
        </w:rPr>
        <w:t xml:space="preserve">spectrum needs. </w:t>
      </w:r>
      <w:r w:rsidR="001718E9">
        <w:rPr>
          <w:szCs w:val="22"/>
        </w:rPr>
        <w:t xml:space="preserve"> </w:t>
      </w:r>
      <w:r w:rsidR="009C5A77" w:rsidRPr="00B6445F">
        <w:rPr>
          <w:szCs w:val="22"/>
        </w:rPr>
        <w:t xml:space="preserve">We </w:t>
      </w:r>
      <w:r w:rsidR="003F7A6E" w:rsidRPr="00B6445F">
        <w:rPr>
          <w:szCs w:val="22"/>
        </w:rPr>
        <w:t>seek specific comment</w:t>
      </w:r>
      <w:r w:rsidR="007D78C8" w:rsidRPr="00B6445F">
        <w:rPr>
          <w:szCs w:val="22"/>
        </w:rPr>
        <w:t xml:space="preserve"> </w:t>
      </w:r>
      <w:r w:rsidR="003F7A6E" w:rsidRPr="00B6445F">
        <w:rPr>
          <w:szCs w:val="22"/>
        </w:rPr>
        <w:t xml:space="preserve">below on </w:t>
      </w:r>
      <w:r w:rsidR="00422FE9" w:rsidRPr="00B6445F">
        <w:rPr>
          <w:szCs w:val="22"/>
        </w:rPr>
        <w:t>the geographical, temporal, and frequency</w:t>
      </w:r>
      <w:r w:rsidR="003F7A6E" w:rsidRPr="00B6445F">
        <w:rPr>
          <w:szCs w:val="22"/>
        </w:rPr>
        <w:t xml:space="preserve"> dimensions </w:t>
      </w:r>
      <w:r w:rsidR="007A3917" w:rsidRPr="00B6445F">
        <w:rPr>
          <w:szCs w:val="22"/>
        </w:rPr>
        <w:t xml:space="preserve">of </w:t>
      </w:r>
      <w:r w:rsidR="005C2371">
        <w:rPr>
          <w:szCs w:val="22"/>
        </w:rPr>
        <w:t xml:space="preserve">potential </w:t>
      </w:r>
      <w:r w:rsidR="00865E83">
        <w:rPr>
          <w:szCs w:val="22"/>
        </w:rPr>
        <w:t>PAL</w:t>
      </w:r>
      <w:r w:rsidR="007A3917" w:rsidRPr="00B6445F">
        <w:rPr>
          <w:szCs w:val="22"/>
        </w:rPr>
        <w:t>s</w:t>
      </w:r>
      <w:r w:rsidR="005C2371">
        <w:rPr>
          <w:szCs w:val="22"/>
        </w:rPr>
        <w:t xml:space="preserve"> and</w:t>
      </w:r>
      <w:r w:rsidR="00D9052A" w:rsidRPr="00B6445F">
        <w:rPr>
          <w:szCs w:val="22"/>
        </w:rPr>
        <w:t xml:space="preserve"> on the </w:t>
      </w:r>
      <w:proofErr w:type="spellStart"/>
      <w:r w:rsidR="00D9052A" w:rsidRPr="00B6445F">
        <w:rPr>
          <w:szCs w:val="22"/>
        </w:rPr>
        <w:t>administrability</w:t>
      </w:r>
      <w:proofErr w:type="spellEnd"/>
      <w:r w:rsidR="00D9052A" w:rsidRPr="00B6445F">
        <w:rPr>
          <w:szCs w:val="22"/>
        </w:rPr>
        <w:t xml:space="preserve"> of </w:t>
      </w:r>
      <w:r w:rsidR="00865E83">
        <w:rPr>
          <w:szCs w:val="22"/>
        </w:rPr>
        <w:t>PAL</w:t>
      </w:r>
      <w:r w:rsidR="00F73F53">
        <w:rPr>
          <w:szCs w:val="22"/>
        </w:rPr>
        <w:t xml:space="preserve">s </w:t>
      </w:r>
      <w:r w:rsidR="00D9052A" w:rsidRPr="00B6445F">
        <w:rPr>
          <w:szCs w:val="22"/>
        </w:rPr>
        <w:t xml:space="preserve">in the context of the broader </w:t>
      </w:r>
      <w:r w:rsidR="005C2371">
        <w:rPr>
          <w:szCs w:val="22"/>
        </w:rPr>
        <w:t>Revised Framework</w:t>
      </w:r>
      <w:r w:rsidR="00D9052A" w:rsidRPr="00B6445F">
        <w:rPr>
          <w:szCs w:val="22"/>
        </w:rPr>
        <w:t>.</w:t>
      </w:r>
    </w:p>
    <w:p w:rsidR="00B23A32" w:rsidRPr="00221864" w:rsidRDefault="00B23A32" w:rsidP="00257EBC">
      <w:pPr>
        <w:pStyle w:val="ParaNum"/>
        <w:widowControl/>
        <w:rPr>
          <w:szCs w:val="22"/>
        </w:rPr>
      </w:pPr>
      <w:r w:rsidRPr="006B2FAE">
        <w:rPr>
          <w:i/>
        </w:rPr>
        <w:lastRenderedPageBreak/>
        <w:t>Time</w:t>
      </w:r>
      <w:r w:rsidRPr="00B6445F">
        <w:t xml:space="preserve">. </w:t>
      </w:r>
      <w:r w:rsidR="002918C8">
        <w:rPr>
          <w:szCs w:val="22"/>
        </w:rPr>
        <w:t xml:space="preserve">Under the Revised Framework, </w:t>
      </w:r>
      <w:r w:rsidR="005100CE">
        <w:rPr>
          <w:szCs w:val="22"/>
        </w:rPr>
        <w:t>PALs</w:t>
      </w:r>
      <w:r w:rsidR="001E379A" w:rsidRPr="00B6445F">
        <w:rPr>
          <w:szCs w:val="22"/>
        </w:rPr>
        <w:t xml:space="preserve"> </w:t>
      </w:r>
      <w:r w:rsidR="002918C8">
        <w:rPr>
          <w:szCs w:val="22"/>
        </w:rPr>
        <w:t>would have a one year</w:t>
      </w:r>
      <w:r w:rsidR="00FE3ACE">
        <w:rPr>
          <w:szCs w:val="22"/>
        </w:rPr>
        <w:t>, non-renewable,</w:t>
      </w:r>
      <w:r w:rsidR="002918C8">
        <w:rPr>
          <w:szCs w:val="22"/>
        </w:rPr>
        <w:t xml:space="preserve"> term but licensees would be able to aggregate multiple consecutive </w:t>
      </w:r>
      <w:r w:rsidR="00865E83">
        <w:rPr>
          <w:szCs w:val="22"/>
        </w:rPr>
        <w:t>PAL</w:t>
      </w:r>
      <w:r w:rsidR="002918C8">
        <w:rPr>
          <w:szCs w:val="22"/>
        </w:rPr>
        <w:t>s to obtain multi-year rights to spectrum within a given geographic area</w:t>
      </w:r>
      <w:r w:rsidR="002918C8" w:rsidRPr="00B6445F">
        <w:rPr>
          <w:szCs w:val="22"/>
        </w:rPr>
        <w:t>.</w:t>
      </w:r>
      <w:r w:rsidR="00E046DC">
        <w:rPr>
          <w:rStyle w:val="FootnoteReference"/>
          <w:szCs w:val="22"/>
        </w:rPr>
        <w:footnoteReference w:id="35"/>
      </w:r>
      <w:r w:rsidR="00FE3ACE">
        <w:rPr>
          <w:szCs w:val="22"/>
        </w:rPr>
        <w:t xml:space="preserve">  </w:t>
      </w:r>
      <w:r w:rsidR="00865E83">
        <w:rPr>
          <w:szCs w:val="22"/>
        </w:rPr>
        <w:t>PAL</w:t>
      </w:r>
      <w:r w:rsidR="00B3433A">
        <w:rPr>
          <w:szCs w:val="22"/>
        </w:rPr>
        <w:t xml:space="preserve">s </w:t>
      </w:r>
      <w:r w:rsidR="00FE3ACE">
        <w:rPr>
          <w:szCs w:val="22"/>
        </w:rPr>
        <w:t xml:space="preserve">would automatically terminate after one year and would </w:t>
      </w:r>
      <w:r w:rsidR="00221864">
        <w:rPr>
          <w:szCs w:val="22"/>
        </w:rPr>
        <w:t>not be renewed</w:t>
      </w:r>
      <w:r w:rsidR="00FE3ACE">
        <w:rPr>
          <w:szCs w:val="22"/>
        </w:rPr>
        <w:t xml:space="preserve">.  </w:t>
      </w:r>
      <w:r w:rsidR="00ED4C36">
        <w:rPr>
          <w:szCs w:val="22"/>
        </w:rPr>
        <w:t xml:space="preserve">While shorter than the </w:t>
      </w:r>
      <w:r w:rsidR="002918C8" w:rsidRPr="00B6445F">
        <w:rPr>
          <w:szCs w:val="22"/>
        </w:rPr>
        <w:t xml:space="preserve">10- or 15-year terms </w:t>
      </w:r>
      <w:r w:rsidR="002918C8">
        <w:rPr>
          <w:szCs w:val="22"/>
        </w:rPr>
        <w:t xml:space="preserve">typically </w:t>
      </w:r>
      <w:r w:rsidR="002918C8" w:rsidRPr="00B6445F">
        <w:rPr>
          <w:szCs w:val="22"/>
        </w:rPr>
        <w:t>associated with area-licensed wireless services, a 1-year term may be more appropriate in this case</w:t>
      </w:r>
      <w:r w:rsidR="002918C8">
        <w:rPr>
          <w:szCs w:val="22"/>
        </w:rPr>
        <w:t>.  First</w:t>
      </w:r>
      <w:r w:rsidR="002918C8" w:rsidRPr="00B6445F">
        <w:rPr>
          <w:szCs w:val="22"/>
        </w:rPr>
        <w:t xml:space="preserve">, </w:t>
      </w:r>
      <w:r w:rsidR="00221864" w:rsidRPr="00B6445F">
        <w:rPr>
          <w:szCs w:val="22"/>
        </w:rPr>
        <w:t>multiple 1-year terms could be aggregated together</w:t>
      </w:r>
      <w:r w:rsidR="00221864">
        <w:rPr>
          <w:szCs w:val="22"/>
        </w:rPr>
        <w:t xml:space="preserve"> </w:t>
      </w:r>
      <w:r w:rsidR="00493852">
        <w:rPr>
          <w:szCs w:val="22"/>
        </w:rPr>
        <w:t>to replicate</w:t>
      </w:r>
      <w:r w:rsidR="00221864" w:rsidRPr="00B6445F">
        <w:rPr>
          <w:szCs w:val="22"/>
        </w:rPr>
        <w:t xml:space="preserve"> the </w:t>
      </w:r>
      <w:r w:rsidR="00493852">
        <w:rPr>
          <w:szCs w:val="22"/>
        </w:rPr>
        <w:t>predictability</w:t>
      </w:r>
      <w:r w:rsidR="00493852" w:rsidRPr="00B6445F">
        <w:rPr>
          <w:szCs w:val="22"/>
        </w:rPr>
        <w:t xml:space="preserve"> </w:t>
      </w:r>
      <w:r w:rsidR="00221864" w:rsidRPr="00B6445F">
        <w:rPr>
          <w:szCs w:val="22"/>
        </w:rPr>
        <w:t xml:space="preserve">of a longer-term </w:t>
      </w:r>
      <w:r w:rsidR="005100CE" w:rsidRPr="00B6445F">
        <w:rPr>
          <w:szCs w:val="22"/>
        </w:rPr>
        <w:t>license</w:t>
      </w:r>
      <w:r w:rsidR="00ED4C36">
        <w:rPr>
          <w:szCs w:val="22"/>
        </w:rPr>
        <w:t xml:space="preserve">. </w:t>
      </w:r>
      <w:proofErr w:type="gramStart"/>
      <w:r w:rsidR="00493852">
        <w:rPr>
          <w:szCs w:val="22"/>
        </w:rPr>
        <w:t>while</w:t>
      </w:r>
      <w:proofErr w:type="gramEnd"/>
      <w:r w:rsidR="00493852">
        <w:rPr>
          <w:szCs w:val="22"/>
        </w:rPr>
        <w:t xml:space="preserve"> providing</w:t>
      </w:r>
      <w:r w:rsidR="0051322F">
        <w:rPr>
          <w:szCs w:val="22"/>
        </w:rPr>
        <w:t xml:space="preserve"> much of the </w:t>
      </w:r>
      <w:r w:rsidR="00221864" w:rsidRPr="00B6445F">
        <w:rPr>
          <w:szCs w:val="22"/>
        </w:rPr>
        <w:t xml:space="preserve">flexibility inherent in </w:t>
      </w:r>
      <w:r w:rsidR="0051322F">
        <w:rPr>
          <w:szCs w:val="22"/>
        </w:rPr>
        <w:t>short</w:t>
      </w:r>
      <w:r w:rsidR="00493852">
        <w:rPr>
          <w:szCs w:val="22"/>
        </w:rPr>
        <w:t>er</w:t>
      </w:r>
      <w:r w:rsidR="0051322F">
        <w:rPr>
          <w:szCs w:val="22"/>
        </w:rPr>
        <w:t xml:space="preserve">-term spectrum </w:t>
      </w:r>
      <w:r w:rsidR="00493852">
        <w:rPr>
          <w:szCs w:val="22"/>
        </w:rPr>
        <w:t>authorizations</w:t>
      </w:r>
      <w:r w:rsidR="00221864" w:rsidRPr="00B6445F">
        <w:rPr>
          <w:szCs w:val="22"/>
        </w:rPr>
        <w:t xml:space="preserve">.  </w:t>
      </w:r>
      <w:r w:rsidR="00221864">
        <w:rPr>
          <w:szCs w:val="22"/>
        </w:rPr>
        <w:t xml:space="preserve">Second, </w:t>
      </w:r>
      <w:r w:rsidR="002918C8" w:rsidRPr="00B6445F">
        <w:rPr>
          <w:szCs w:val="22"/>
        </w:rPr>
        <w:t xml:space="preserve">the use of a shorter, non-renewable license term </w:t>
      </w:r>
      <w:r w:rsidR="00493852">
        <w:rPr>
          <w:szCs w:val="22"/>
        </w:rPr>
        <w:t xml:space="preserve">could </w:t>
      </w:r>
      <w:r w:rsidR="00221864">
        <w:rPr>
          <w:szCs w:val="22"/>
        </w:rPr>
        <w:t>simplify</w:t>
      </w:r>
      <w:r w:rsidR="002918C8" w:rsidRPr="00B6445F">
        <w:rPr>
          <w:szCs w:val="22"/>
        </w:rPr>
        <w:t xml:space="preserve"> the a</w:t>
      </w:r>
      <w:r w:rsidR="00221864">
        <w:rPr>
          <w:szCs w:val="22"/>
        </w:rPr>
        <w:t xml:space="preserve">dministration </w:t>
      </w:r>
      <w:r w:rsidR="002918C8" w:rsidRPr="00B6445F">
        <w:rPr>
          <w:szCs w:val="22"/>
        </w:rPr>
        <w:t xml:space="preserve">of the Priority Access tier </w:t>
      </w:r>
      <w:r w:rsidR="002918C8">
        <w:rPr>
          <w:szCs w:val="22"/>
        </w:rPr>
        <w:t>by obviating</w:t>
      </w:r>
      <w:r w:rsidR="002918C8" w:rsidRPr="00B6445F">
        <w:rPr>
          <w:szCs w:val="22"/>
        </w:rPr>
        <w:t xml:space="preserve"> the need for some </w:t>
      </w:r>
      <w:proofErr w:type="gramStart"/>
      <w:r w:rsidR="002918C8" w:rsidRPr="00B6445F">
        <w:rPr>
          <w:szCs w:val="22"/>
        </w:rPr>
        <w:t>administratively-intensive</w:t>
      </w:r>
      <w:proofErr w:type="gramEnd"/>
      <w:r w:rsidR="002918C8" w:rsidRPr="00B6445F">
        <w:rPr>
          <w:szCs w:val="22"/>
        </w:rPr>
        <w:t xml:space="preserve"> rules that are common t</w:t>
      </w:r>
      <w:r w:rsidR="00ED4C36">
        <w:rPr>
          <w:szCs w:val="22"/>
        </w:rPr>
        <w:t>o longer-</w:t>
      </w:r>
      <w:r w:rsidR="00221864">
        <w:rPr>
          <w:szCs w:val="22"/>
        </w:rPr>
        <w:t xml:space="preserve">term licenses.  </w:t>
      </w:r>
      <w:r w:rsidR="00221864" w:rsidRPr="00B6445F">
        <w:rPr>
          <w:szCs w:val="22"/>
        </w:rPr>
        <w:t xml:space="preserve">These include renewal, discontinuance, and performance requirements </w:t>
      </w:r>
      <w:r w:rsidR="00221864">
        <w:rPr>
          <w:szCs w:val="22"/>
        </w:rPr>
        <w:t>associated with</w:t>
      </w:r>
      <w:r w:rsidR="00221864" w:rsidRPr="00B6445F">
        <w:rPr>
          <w:szCs w:val="22"/>
        </w:rPr>
        <w:t xml:space="preserve"> a traditional spectrum license. </w:t>
      </w:r>
      <w:r w:rsidR="00221864">
        <w:rPr>
          <w:szCs w:val="22"/>
        </w:rPr>
        <w:t xml:space="preserve"> </w:t>
      </w:r>
      <w:r w:rsidR="002918C8">
        <w:rPr>
          <w:szCs w:val="22"/>
        </w:rPr>
        <w:t>Third</w:t>
      </w:r>
      <w:r w:rsidR="002918C8" w:rsidRPr="00B6445F">
        <w:rPr>
          <w:szCs w:val="22"/>
        </w:rPr>
        <w:t xml:space="preserve">, </w:t>
      </w:r>
      <w:r w:rsidR="002918C8">
        <w:rPr>
          <w:szCs w:val="22"/>
        </w:rPr>
        <w:t xml:space="preserve">shorter terms </w:t>
      </w:r>
      <w:r w:rsidR="00221864">
        <w:rPr>
          <w:szCs w:val="22"/>
        </w:rPr>
        <w:t>would allow</w:t>
      </w:r>
      <w:r w:rsidR="002918C8" w:rsidRPr="00B6445F">
        <w:rPr>
          <w:szCs w:val="22"/>
        </w:rPr>
        <w:t xml:space="preserve"> for a wider variety </w:t>
      </w:r>
      <w:r w:rsidR="00221864">
        <w:rPr>
          <w:szCs w:val="22"/>
        </w:rPr>
        <w:t>of innovative uses and encourage</w:t>
      </w:r>
      <w:r w:rsidR="002918C8" w:rsidRPr="00B6445F">
        <w:rPr>
          <w:szCs w:val="22"/>
        </w:rPr>
        <w:t xml:space="preserve"> consistent and efficient use of spectrum resources.</w:t>
      </w:r>
      <w:r w:rsidR="00221864">
        <w:rPr>
          <w:rStyle w:val="FootnoteReference"/>
          <w:szCs w:val="22"/>
        </w:rPr>
        <w:footnoteReference w:id="36"/>
      </w:r>
      <w:r w:rsidR="002918C8" w:rsidRPr="00B6445F">
        <w:rPr>
          <w:szCs w:val="22"/>
        </w:rPr>
        <w:t xml:space="preserve"> </w:t>
      </w:r>
      <w:r w:rsidR="00221864">
        <w:rPr>
          <w:szCs w:val="22"/>
        </w:rPr>
        <w:t xml:space="preserve"> Finally, </w:t>
      </w:r>
      <w:proofErr w:type="gramStart"/>
      <w:r w:rsidR="00221864">
        <w:rPr>
          <w:szCs w:val="22"/>
        </w:rPr>
        <w:t>short term</w:t>
      </w:r>
      <w:proofErr w:type="gramEnd"/>
      <w:r w:rsidR="00221864">
        <w:rPr>
          <w:szCs w:val="22"/>
        </w:rPr>
        <w:t xml:space="preserve"> licenses </w:t>
      </w:r>
      <w:r w:rsidR="00493852">
        <w:rPr>
          <w:szCs w:val="22"/>
        </w:rPr>
        <w:t xml:space="preserve">could </w:t>
      </w:r>
      <w:r w:rsidR="00221864">
        <w:rPr>
          <w:szCs w:val="22"/>
        </w:rPr>
        <w:t>promote</w:t>
      </w:r>
      <w:r w:rsidR="002918C8" w:rsidRPr="00B6445F">
        <w:rPr>
          <w:szCs w:val="22"/>
        </w:rPr>
        <w:t xml:space="preserve"> greater </w:t>
      </w:r>
      <w:proofErr w:type="spellStart"/>
      <w:r w:rsidR="002918C8" w:rsidRPr="00B6445F">
        <w:rPr>
          <w:szCs w:val="22"/>
        </w:rPr>
        <w:t>fungibility</w:t>
      </w:r>
      <w:proofErr w:type="spellEnd"/>
      <w:r w:rsidR="002918C8" w:rsidRPr="00B6445F">
        <w:rPr>
          <w:szCs w:val="22"/>
        </w:rPr>
        <w:t xml:space="preserve"> and liquidity in the secondary market.</w:t>
      </w:r>
      <w:r w:rsidR="00221864">
        <w:rPr>
          <w:szCs w:val="22"/>
        </w:rPr>
        <w:t xml:space="preserve">  </w:t>
      </w:r>
      <w:r w:rsidR="00653631">
        <w:t>In light of these factors, w</w:t>
      </w:r>
      <w:r w:rsidRPr="00AB3106">
        <w:t xml:space="preserve">e seek comment on the appropriate duration of </w:t>
      </w:r>
      <w:r w:rsidR="00865E83">
        <w:t>PAL</w:t>
      </w:r>
      <w:r w:rsidRPr="00AB3106">
        <w:t>s</w:t>
      </w:r>
      <w:r w:rsidR="005A5426" w:rsidRPr="005A5426">
        <w:t xml:space="preserve"> </w:t>
      </w:r>
      <w:r w:rsidR="005A5426">
        <w:t>and any associated costs and benefits of this or other proposals</w:t>
      </w:r>
      <w:r w:rsidRPr="00AB3106">
        <w:t xml:space="preserve">.  </w:t>
      </w:r>
    </w:p>
    <w:p w:rsidR="00B55558" w:rsidRPr="00B6445F" w:rsidRDefault="00D028BD" w:rsidP="00257EBC">
      <w:pPr>
        <w:pStyle w:val="ParaNum"/>
        <w:widowControl/>
        <w:rPr>
          <w:szCs w:val="22"/>
        </w:rPr>
      </w:pPr>
      <w:r w:rsidRPr="00B6445F">
        <w:rPr>
          <w:i/>
          <w:szCs w:val="22"/>
        </w:rPr>
        <w:t>Geography</w:t>
      </w:r>
      <w:r w:rsidR="00D07778" w:rsidRPr="00B6445F">
        <w:rPr>
          <w:szCs w:val="22"/>
        </w:rPr>
        <w:t xml:space="preserve">.  </w:t>
      </w:r>
      <w:r w:rsidR="002D2F14" w:rsidRPr="00B6445F">
        <w:rPr>
          <w:szCs w:val="22"/>
        </w:rPr>
        <w:t xml:space="preserve">Our goal is to </w:t>
      </w:r>
      <w:r w:rsidR="002D2F14">
        <w:rPr>
          <w:szCs w:val="22"/>
        </w:rPr>
        <w:t>establish</w:t>
      </w:r>
      <w:r w:rsidR="002D2F14" w:rsidRPr="00B6445F">
        <w:rPr>
          <w:szCs w:val="22"/>
        </w:rPr>
        <w:t xml:space="preserve"> the geographic component of </w:t>
      </w:r>
      <w:r w:rsidR="00865E83">
        <w:rPr>
          <w:szCs w:val="22"/>
        </w:rPr>
        <w:t>PAL</w:t>
      </w:r>
      <w:r w:rsidR="002D2F14">
        <w:rPr>
          <w:szCs w:val="22"/>
        </w:rPr>
        <w:t>s</w:t>
      </w:r>
      <w:r w:rsidR="002D2F14" w:rsidRPr="00B6445F">
        <w:rPr>
          <w:szCs w:val="22"/>
        </w:rPr>
        <w:t xml:space="preserve"> </w:t>
      </w:r>
      <w:r w:rsidR="002D2F14">
        <w:rPr>
          <w:szCs w:val="22"/>
        </w:rPr>
        <w:t>in a way</w:t>
      </w:r>
      <w:r w:rsidR="002D2F14" w:rsidRPr="00B6445F">
        <w:rPr>
          <w:szCs w:val="22"/>
        </w:rPr>
        <w:t xml:space="preserve"> that allows flexible, micro-targeted network deployments</w:t>
      </w:r>
      <w:r w:rsidR="002D2F14">
        <w:rPr>
          <w:szCs w:val="22"/>
        </w:rPr>
        <w:t>, promoting</w:t>
      </w:r>
      <w:r w:rsidR="002D2F14" w:rsidRPr="00B6445F">
        <w:rPr>
          <w:szCs w:val="22"/>
        </w:rPr>
        <w:t xml:space="preserve"> </w:t>
      </w:r>
      <w:r w:rsidR="002D2F14">
        <w:rPr>
          <w:szCs w:val="22"/>
        </w:rPr>
        <w:t xml:space="preserve">intensive </w:t>
      </w:r>
      <w:r w:rsidR="002D2F14" w:rsidRPr="00B6445F">
        <w:rPr>
          <w:szCs w:val="22"/>
        </w:rPr>
        <w:t>and efficient use of the spectrum</w:t>
      </w:r>
      <w:r w:rsidR="002D2F14">
        <w:rPr>
          <w:szCs w:val="22"/>
        </w:rPr>
        <w:t>, but also allowing easy aggregation to accommodate a larger network footprint</w:t>
      </w:r>
      <w:r w:rsidR="002D2F14" w:rsidRPr="00B6445F">
        <w:rPr>
          <w:szCs w:val="22"/>
        </w:rPr>
        <w:t xml:space="preserve">.  </w:t>
      </w:r>
      <w:r w:rsidR="00D07778" w:rsidRPr="00B6445F">
        <w:rPr>
          <w:szCs w:val="22"/>
        </w:rPr>
        <w:t>Due to their low power and small size, s</w:t>
      </w:r>
      <w:r w:rsidR="00790AA9" w:rsidRPr="00B6445F">
        <w:rPr>
          <w:szCs w:val="22"/>
        </w:rPr>
        <w:t xml:space="preserve">mall cells </w:t>
      </w:r>
      <w:r w:rsidR="00D07778" w:rsidRPr="00B6445F">
        <w:rPr>
          <w:szCs w:val="22"/>
        </w:rPr>
        <w:t xml:space="preserve">can </w:t>
      </w:r>
      <w:r w:rsidR="00761391">
        <w:rPr>
          <w:szCs w:val="22"/>
        </w:rPr>
        <w:t>provide</w:t>
      </w:r>
      <w:r w:rsidR="00790AA9" w:rsidRPr="00B6445F">
        <w:rPr>
          <w:szCs w:val="22"/>
        </w:rPr>
        <w:t xml:space="preserve"> broadband coverage and capacit</w:t>
      </w:r>
      <w:r w:rsidR="00B3433A">
        <w:rPr>
          <w:szCs w:val="22"/>
        </w:rPr>
        <w:t>y in targeted geographic areas</w:t>
      </w:r>
      <w:r w:rsidR="00790AA9" w:rsidRPr="00B6445F">
        <w:rPr>
          <w:szCs w:val="22"/>
        </w:rPr>
        <w:t>.</w:t>
      </w:r>
      <w:r w:rsidRPr="00B6445F">
        <w:rPr>
          <w:rStyle w:val="FootnoteReference"/>
          <w:szCs w:val="22"/>
        </w:rPr>
        <w:footnoteReference w:id="37"/>
      </w:r>
      <w:r w:rsidR="00790AA9" w:rsidRPr="00B6445F">
        <w:rPr>
          <w:szCs w:val="22"/>
        </w:rPr>
        <w:t xml:space="preserve">  </w:t>
      </w:r>
      <w:r w:rsidR="006231F1">
        <w:rPr>
          <w:szCs w:val="22"/>
        </w:rPr>
        <w:t>This</w:t>
      </w:r>
      <w:r w:rsidR="006B2FAE">
        <w:rPr>
          <w:szCs w:val="22"/>
        </w:rPr>
        <w:t xml:space="preserve"> </w:t>
      </w:r>
      <w:r w:rsidR="00790AA9" w:rsidRPr="00B6445F">
        <w:rPr>
          <w:szCs w:val="22"/>
        </w:rPr>
        <w:t xml:space="preserve">applies whether small cells are used </w:t>
      </w:r>
      <w:r w:rsidR="006231F1">
        <w:rPr>
          <w:szCs w:val="22"/>
        </w:rPr>
        <w:t xml:space="preserve">to offer </w:t>
      </w:r>
      <w:r w:rsidR="00790AA9" w:rsidRPr="00B6445F">
        <w:rPr>
          <w:szCs w:val="22"/>
        </w:rPr>
        <w:t xml:space="preserve">independent broadband service, supplemental coverage for a </w:t>
      </w:r>
      <w:proofErr w:type="spellStart"/>
      <w:r w:rsidR="00790AA9" w:rsidRPr="00B6445F">
        <w:rPr>
          <w:szCs w:val="22"/>
        </w:rPr>
        <w:t>macrocell</w:t>
      </w:r>
      <w:proofErr w:type="spellEnd"/>
      <w:r w:rsidR="00790AA9" w:rsidRPr="00B6445F">
        <w:rPr>
          <w:szCs w:val="22"/>
        </w:rPr>
        <w:t xml:space="preserve"> network, or private network functions.</w:t>
      </w:r>
      <w:r w:rsidR="00BA09C9" w:rsidRPr="00B6445F">
        <w:rPr>
          <w:szCs w:val="22"/>
        </w:rPr>
        <w:t xml:space="preserve">  </w:t>
      </w:r>
    </w:p>
    <w:p w:rsidR="00B55558" w:rsidRPr="00B6445F" w:rsidRDefault="00D97792" w:rsidP="00257EBC">
      <w:pPr>
        <w:pStyle w:val="ParaNum"/>
        <w:widowControl/>
        <w:rPr>
          <w:szCs w:val="22"/>
        </w:rPr>
      </w:pPr>
      <w:r w:rsidRPr="00B6445F">
        <w:rPr>
          <w:szCs w:val="22"/>
        </w:rPr>
        <w:t xml:space="preserve">We envision that </w:t>
      </w:r>
      <w:r w:rsidR="00865E83">
        <w:rPr>
          <w:szCs w:val="22"/>
        </w:rPr>
        <w:t>PAL</w:t>
      </w:r>
      <w:r w:rsidRPr="00B6445F">
        <w:rPr>
          <w:szCs w:val="22"/>
        </w:rPr>
        <w:t>s would be authorized in a highly localized</w:t>
      </w:r>
      <w:r>
        <w:rPr>
          <w:szCs w:val="22"/>
        </w:rPr>
        <w:t xml:space="preserve"> </w:t>
      </w:r>
      <w:r w:rsidRPr="00B6445F">
        <w:rPr>
          <w:szCs w:val="22"/>
        </w:rPr>
        <w:t>fashion</w:t>
      </w:r>
      <w:r>
        <w:rPr>
          <w:szCs w:val="22"/>
        </w:rPr>
        <w:t>, such as at the census tract level</w:t>
      </w:r>
      <w:r w:rsidRPr="00B6445F">
        <w:rPr>
          <w:szCs w:val="22"/>
        </w:rPr>
        <w:t xml:space="preserve">. </w:t>
      </w:r>
      <w:r w:rsidR="001718E9">
        <w:rPr>
          <w:szCs w:val="22"/>
        </w:rPr>
        <w:t xml:space="preserve"> </w:t>
      </w:r>
      <w:r w:rsidR="002D260A" w:rsidRPr="00B6445F">
        <w:rPr>
          <w:szCs w:val="22"/>
        </w:rPr>
        <w:t>Census</w:t>
      </w:r>
      <w:r w:rsidR="00D4474A" w:rsidRPr="00B6445F">
        <w:rPr>
          <w:szCs w:val="22"/>
        </w:rPr>
        <w:t xml:space="preserve"> tracts</w:t>
      </w:r>
      <w:r w:rsidR="004733B2" w:rsidRPr="00B6445F">
        <w:rPr>
          <w:szCs w:val="22"/>
        </w:rPr>
        <w:t xml:space="preserve"> </w:t>
      </w:r>
      <w:r w:rsidR="008960F1">
        <w:rPr>
          <w:szCs w:val="22"/>
        </w:rPr>
        <w:t>may</w:t>
      </w:r>
      <w:r w:rsidR="002D260A" w:rsidRPr="00B6445F">
        <w:rPr>
          <w:szCs w:val="22"/>
        </w:rPr>
        <w:t xml:space="preserve"> </w:t>
      </w:r>
      <w:r w:rsidR="00CD4BBD" w:rsidRPr="00B6445F">
        <w:rPr>
          <w:szCs w:val="22"/>
        </w:rPr>
        <w:t>provide an appropriately high level of</w:t>
      </w:r>
      <w:r w:rsidR="00BD1458" w:rsidRPr="00B6445F">
        <w:rPr>
          <w:szCs w:val="22"/>
        </w:rPr>
        <w:t xml:space="preserve"> </w:t>
      </w:r>
      <w:r w:rsidR="002D260A" w:rsidRPr="00B6445F">
        <w:rPr>
          <w:szCs w:val="22"/>
        </w:rPr>
        <w:t xml:space="preserve">geographic </w:t>
      </w:r>
      <w:r w:rsidR="00CD4BBD" w:rsidRPr="00B6445F">
        <w:rPr>
          <w:szCs w:val="22"/>
        </w:rPr>
        <w:t>resolution</w:t>
      </w:r>
      <w:r w:rsidR="004733B2" w:rsidRPr="00B6445F">
        <w:rPr>
          <w:szCs w:val="22"/>
        </w:rPr>
        <w:t xml:space="preserve"> for small cell deployments</w:t>
      </w:r>
      <w:r w:rsidR="002D260A" w:rsidRPr="00B6445F">
        <w:rPr>
          <w:szCs w:val="22"/>
        </w:rPr>
        <w:t xml:space="preserve">, while also </w:t>
      </w:r>
      <w:r w:rsidR="00357068" w:rsidRPr="00B6445F">
        <w:rPr>
          <w:szCs w:val="22"/>
        </w:rPr>
        <w:t>presenting</w:t>
      </w:r>
      <w:r w:rsidR="002D260A" w:rsidRPr="00B6445F">
        <w:rPr>
          <w:szCs w:val="22"/>
        </w:rPr>
        <w:t xml:space="preserve"> a number of other benefits</w:t>
      </w:r>
      <w:r w:rsidR="004733B2" w:rsidRPr="00B6445F">
        <w:rPr>
          <w:szCs w:val="22"/>
        </w:rPr>
        <w:t xml:space="preserve">.  </w:t>
      </w:r>
      <w:r w:rsidR="00A144A0" w:rsidRPr="00B6445F">
        <w:rPr>
          <w:szCs w:val="22"/>
        </w:rPr>
        <w:t>Currently, t</w:t>
      </w:r>
      <w:r w:rsidR="004733B2" w:rsidRPr="00B6445F">
        <w:rPr>
          <w:szCs w:val="22"/>
        </w:rPr>
        <w:t xml:space="preserve">here </w:t>
      </w:r>
      <w:r w:rsidR="00D4474A" w:rsidRPr="00B6445F">
        <w:rPr>
          <w:szCs w:val="22"/>
        </w:rPr>
        <w:t xml:space="preserve">are </w:t>
      </w:r>
      <w:r w:rsidR="00A144A0" w:rsidRPr="00B6445F">
        <w:rPr>
          <w:szCs w:val="22"/>
        </w:rPr>
        <w:t xml:space="preserve">over 74,000 </w:t>
      </w:r>
      <w:r w:rsidR="00D4474A" w:rsidRPr="00B6445F">
        <w:rPr>
          <w:szCs w:val="22"/>
        </w:rPr>
        <w:t>census tracts</w:t>
      </w:r>
      <w:r w:rsidR="004733B2" w:rsidRPr="00B6445F">
        <w:rPr>
          <w:szCs w:val="22"/>
        </w:rPr>
        <w:t xml:space="preserve"> in the United States</w:t>
      </w:r>
      <w:r w:rsidR="00CE242F">
        <w:rPr>
          <w:szCs w:val="22"/>
        </w:rPr>
        <w:t xml:space="preserve"> </w:t>
      </w:r>
      <w:r w:rsidR="00C8546F" w:rsidRPr="00B6445F">
        <w:rPr>
          <w:szCs w:val="22"/>
        </w:rPr>
        <w:t>targeted</w:t>
      </w:r>
      <w:r w:rsidR="00D4474A" w:rsidRPr="00B6445F">
        <w:rPr>
          <w:szCs w:val="22"/>
        </w:rPr>
        <w:t xml:space="preserve"> to an </w:t>
      </w:r>
      <w:r w:rsidR="00CE242F">
        <w:rPr>
          <w:szCs w:val="22"/>
        </w:rPr>
        <w:t>optim</w:t>
      </w:r>
      <w:r w:rsidR="009C69E7">
        <w:rPr>
          <w:szCs w:val="22"/>
        </w:rPr>
        <w:t>um</w:t>
      </w:r>
      <w:r w:rsidR="00D4474A" w:rsidRPr="00B6445F">
        <w:rPr>
          <w:szCs w:val="22"/>
        </w:rPr>
        <w:t xml:space="preserve"> population of 4,000</w:t>
      </w:r>
      <w:r w:rsidR="004733B2" w:rsidRPr="00B6445F">
        <w:rPr>
          <w:szCs w:val="22"/>
        </w:rPr>
        <w:t>.</w:t>
      </w:r>
      <w:r w:rsidR="00CE242F" w:rsidRPr="00CE242F">
        <w:rPr>
          <w:rStyle w:val="FootnoteReference"/>
          <w:szCs w:val="22"/>
        </w:rPr>
        <w:t xml:space="preserve"> </w:t>
      </w:r>
      <w:r w:rsidR="00CE242F" w:rsidRPr="00B6445F">
        <w:rPr>
          <w:rStyle w:val="FootnoteReference"/>
          <w:szCs w:val="22"/>
        </w:rPr>
        <w:footnoteReference w:id="38"/>
      </w:r>
      <w:r w:rsidR="00C8546F">
        <w:rPr>
          <w:szCs w:val="22"/>
        </w:rPr>
        <w:t xml:space="preserve">  </w:t>
      </w:r>
      <w:r w:rsidR="00F635B2" w:rsidRPr="00B6445F">
        <w:rPr>
          <w:szCs w:val="22"/>
        </w:rPr>
        <w:t xml:space="preserve">Census </w:t>
      </w:r>
      <w:r w:rsidR="00D4474A" w:rsidRPr="00B6445F">
        <w:rPr>
          <w:szCs w:val="22"/>
        </w:rPr>
        <w:t>tracts</w:t>
      </w:r>
      <w:r w:rsidR="004733B2" w:rsidRPr="00B6445F">
        <w:rPr>
          <w:szCs w:val="22"/>
        </w:rPr>
        <w:t xml:space="preserve"> vary in size depending on </w:t>
      </w:r>
      <w:r w:rsidR="00E76EEA">
        <w:rPr>
          <w:szCs w:val="22"/>
        </w:rPr>
        <w:t xml:space="preserve">the </w:t>
      </w:r>
      <w:r w:rsidR="004733B2" w:rsidRPr="00B6445F">
        <w:rPr>
          <w:szCs w:val="22"/>
        </w:rPr>
        <w:t>population</w:t>
      </w:r>
      <w:r w:rsidR="005E793D" w:rsidRPr="00B6445F">
        <w:rPr>
          <w:szCs w:val="22"/>
        </w:rPr>
        <w:t xml:space="preserve"> density</w:t>
      </w:r>
      <w:r w:rsidR="00E76EEA">
        <w:rPr>
          <w:szCs w:val="22"/>
        </w:rPr>
        <w:t xml:space="preserve"> of the region</w:t>
      </w:r>
      <w:r w:rsidR="005E793D" w:rsidRPr="00B6445F">
        <w:rPr>
          <w:szCs w:val="22"/>
        </w:rPr>
        <w:t>, w</w:t>
      </w:r>
      <w:r w:rsidR="00E76EEA">
        <w:rPr>
          <w:szCs w:val="22"/>
        </w:rPr>
        <w:t xml:space="preserve">ith </w:t>
      </w:r>
      <w:r w:rsidR="005E793D" w:rsidRPr="00B6445F">
        <w:rPr>
          <w:szCs w:val="22"/>
        </w:rPr>
        <w:t>tracts</w:t>
      </w:r>
      <w:r w:rsidR="00E76EEA">
        <w:rPr>
          <w:szCs w:val="22"/>
        </w:rPr>
        <w:t xml:space="preserve"> as small as one square mile or less</w:t>
      </w:r>
      <w:r w:rsidR="005E793D" w:rsidRPr="00B6445F">
        <w:rPr>
          <w:szCs w:val="22"/>
        </w:rPr>
        <w:t xml:space="preserve"> in dense urban areas and </w:t>
      </w:r>
      <w:r w:rsidR="00E87D9D">
        <w:rPr>
          <w:szCs w:val="22"/>
        </w:rPr>
        <w:t>up to 85,000 square miles</w:t>
      </w:r>
      <w:r w:rsidR="00ED4C36">
        <w:rPr>
          <w:szCs w:val="22"/>
        </w:rPr>
        <w:t xml:space="preserve"> in</w:t>
      </w:r>
      <w:r w:rsidR="005E793D" w:rsidRPr="00B6445F">
        <w:rPr>
          <w:szCs w:val="22"/>
        </w:rPr>
        <w:t xml:space="preserve"> </w:t>
      </w:r>
      <w:r w:rsidR="00E87D9D">
        <w:rPr>
          <w:szCs w:val="22"/>
        </w:rPr>
        <w:t xml:space="preserve">sparsely </w:t>
      </w:r>
      <w:r w:rsidR="005E793D" w:rsidRPr="00B6445F">
        <w:rPr>
          <w:szCs w:val="22"/>
        </w:rPr>
        <w:t>populated rural regions.</w:t>
      </w:r>
      <w:r w:rsidR="00E87D9D">
        <w:rPr>
          <w:rStyle w:val="FootnoteReference"/>
          <w:szCs w:val="22"/>
        </w:rPr>
        <w:footnoteReference w:id="39"/>
      </w:r>
      <w:r w:rsidR="00D4474A" w:rsidRPr="00B6445F">
        <w:rPr>
          <w:szCs w:val="22"/>
        </w:rPr>
        <w:t xml:space="preserve">  </w:t>
      </w:r>
      <w:r w:rsidR="00482034" w:rsidRPr="00B6445F">
        <w:rPr>
          <w:szCs w:val="22"/>
        </w:rPr>
        <w:t xml:space="preserve">They </w:t>
      </w:r>
      <w:r w:rsidR="009C69E7">
        <w:rPr>
          <w:szCs w:val="22"/>
        </w:rPr>
        <w:t>generally nest into counties and other political subdivisions</w:t>
      </w:r>
      <w:r w:rsidR="00063344" w:rsidRPr="00B6445F">
        <w:rPr>
          <w:rStyle w:val="FootnoteReference"/>
          <w:szCs w:val="22"/>
        </w:rPr>
        <w:footnoteReference w:id="40"/>
      </w:r>
      <w:r w:rsidR="00063344" w:rsidRPr="00B6445F">
        <w:rPr>
          <w:szCs w:val="22"/>
        </w:rPr>
        <w:t xml:space="preserve"> </w:t>
      </w:r>
      <w:r w:rsidR="00482034" w:rsidRPr="00B6445F">
        <w:rPr>
          <w:szCs w:val="22"/>
        </w:rPr>
        <w:t>and, in turn, into the standardized license areas commonly used by the Commission (</w:t>
      </w:r>
      <w:r w:rsidR="005C2371">
        <w:rPr>
          <w:i/>
          <w:szCs w:val="22"/>
        </w:rPr>
        <w:t>e.g.</w:t>
      </w:r>
      <w:r w:rsidR="00ED4C36">
        <w:rPr>
          <w:szCs w:val="22"/>
        </w:rPr>
        <w:t>,</w:t>
      </w:r>
      <w:r w:rsidR="005C2371">
        <w:rPr>
          <w:i/>
          <w:szCs w:val="22"/>
        </w:rPr>
        <w:t xml:space="preserve"> </w:t>
      </w:r>
      <w:r w:rsidR="007437F1" w:rsidRPr="00B6445F">
        <w:rPr>
          <w:szCs w:val="22"/>
        </w:rPr>
        <w:t>C</w:t>
      </w:r>
      <w:r w:rsidR="005C2371">
        <w:rPr>
          <w:szCs w:val="22"/>
        </w:rPr>
        <w:t xml:space="preserve">ellular </w:t>
      </w:r>
      <w:r w:rsidR="007437F1" w:rsidRPr="00B6445F">
        <w:rPr>
          <w:szCs w:val="22"/>
        </w:rPr>
        <w:t>M</w:t>
      </w:r>
      <w:r w:rsidR="005C2371">
        <w:rPr>
          <w:szCs w:val="22"/>
        </w:rPr>
        <w:t xml:space="preserve">arket </w:t>
      </w:r>
      <w:r w:rsidR="007437F1" w:rsidRPr="00B6445F">
        <w:rPr>
          <w:szCs w:val="22"/>
        </w:rPr>
        <w:t>A</w:t>
      </w:r>
      <w:r w:rsidR="005C2371">
        <w:rPr>
          <w:szCs w:val="22"/>
        </w:rPr>
        <w:t>rea</w:t>
      </w:r>
      <w:r w:rsidR="00C43060">
        <w:rPr>
          <w:szCs w:val="22"/>
        </w:rPr>
        <w:t>s and</w:t>
      </w:r>
      <w:r w:rsidR="007437F1" w:rsidRPr="00B6445F">
        <w:rPr>
          <w:szCs w:val="22"/>
        </w:rPr>
        <w:t xml:space="preserve"> E</w:t>
      </w:r>
      <w:r w:rsidR="005C2371">
        <w:rPr>
          <w:szCs w:val="22"/>
        </w:rPr>
        <w:t>conomic Areas</w:t>
      </w:r>
      <w:r w:rsidR="007437F1" w:rsidRPr="00B6445F">
        <w:rPr>
          <w:szCs w:val="22"/>
        </w:rPr>
        <w:t>)</w:t>
      </w:r>
      <w:r w:rsidR="00E16E23">
        <w:rPr>
          <w:szCs w:val="22"/>
        </w:rPr>
        <w:t>.</w:t>
      </w:r>
      <w:r w:rsidR="009C69E7">
        <w:rPr>
          <w:rStyle w:val="FootnoteReference"/>
          <w:szCs w:val="22"/>
        </w:rPr>
        <w:footnoteReference w:id="41"/>
      </w:r>
      <w:r w:rsidR="009C69E7">
        <w:rPr>
          <w:szCs w:val="22"/>
        </w:rPr>
        <w:t xml:space="preserve"> </w:t>
      </w:r>
      <w:r w:rsidR="00E16E23">
        <w:rPr>
          <w:szCs w:val="22"/>
        </w:rPr>
        <w:t xml:space="preserve"> Census </w:t>
      </w:r>
      <w:r w:rsidR="00E16E23">
        <w:rPr>
          <w:szCs w:val="22"/>
        </w:rPr>
        <w:lastRenderedPageBreak/>
        <w:t>tracts</w:t>
      </w:r>
      <w:r w:rsidR="0016588B">
        <w:rPr>
          <w:szCs w:val="22"/>
        </w:rPr>
        <w:t xml:space="preserve"> could be aggregated into those or other larger areas</w:t>
      </w:r>
      <w:r w:rsidR="00FE2246" w:rsidRPr="00B6445F">
        <w:rPr>
          <w:szCs w:val="22"/>
        </w:rPr>
        <w:t xml:space="preserve">. </w:t>
      </w:r>
      <w:r w:rsidR="005C2371">
        <w:rPr>
          <w:szCs w:val="22"/>
        </w:rPr>
        <w:t>Census t</w:t>
      </w:r>
      <w:r w:rsidR="00D4474A" w:rsidRPr="00B6445F">
        <w:rPr>
          <w:szCs w:val="22"/>
        </w:rPr>
        <w:t xml:space="preserve">racts </w:t>
      </w:r>
      <w:r w:rsidR="00482034" w:rsidRPr="00B6445F">
        <w:rPr>
          <w:szCs w:val="22"/>
        </w:rPr>
        <w:t xml:space="preserve">generally </w:t>
      </w:r>
      <w:r w:rsidR="005C2371">
        <w:rPr>
          <w:szCs w:val="22"/>
        </w:rPr>
        <w:t xml:space="preserve">align with </w:t>
      </w:r>
      <w:r w:rsidR="00D4474A" w:rsidRPr="00B6445F">
        <w:rPr>
          <w:szCs w:val="22"/>
        </w:rPr>
        <w:t xml:space="preserve">the borders of political </w:t>
      </w:r>
      <w:r w:rsidR="00D81E92">
        <w:rPr>
          <w:szCs w:val="22"/>
        </w:rPr>
        <w:t>boundaries (</w:t>
      </w:r>
      <w:r w:rsidR="00D81E92" w:rsidRPr="00ED4C36">
        <w:rPr>
          <w:i/>
          <w:szCs w:val="22"/>
        </w:rPr>
        <w:t>e.g.</w:t>
      </w:r>
      <w:r w:rsidR="00ED4C36">
        <w:rPr>
          <w:szCs w:val="22"/>
        </w:rPr>
        <w:t>,</w:t>
      </w:r>
      <w:r w:rsidR="00482034" w:rsidRPr="00B6445F">
        <w:rPr>
          <w:szCs w:val="22"/>
        </w:rPr>
        <w:t xml:space="preserve"> city lines) and</w:t>
      </w:r>
      <w:r w:rsidR="0029396B" w:rsidRPr="00B6445F">
        <w:rPr>
          <w:szCs w:val="22"/>
        </w:rPr>
        <w:t xml:space="preserve"> often</w:t>
      </w:r>
      <w:r w:rsidR="00482034" w:rsidRPr="00B6445F">
        <w:rPr>
          <w:szCs w:val="22"/>
        </w:rPr>
        <w:t xml:space="preserve"> to </w:t>
      </w:r>
      <w:r w:rsidR="005B5659" w:rsidRPr="00B6445F">
        <w:rPr>
          <w:szCs w:val="22"/>
        </w:rPr>
        <w:t xml:space="preserve">natural </w:t>
      </w:r>
      <w:r w:rsidR="00482034" w:rsidRPr="00B6445F">
        <w:rPr>
          <w:szCs w:val="22"/>
        </w:rPr>
        <w:t>features</w:t>
      </w:r>
      <w:r w:rsidR="005C2371">
        <w:rPr>
          <w:szCs w:val="22"/>
        </w:rPr>
        <w:t>, which may affect</w:t>
      </w:r>
      <w:r w:rsidR="00482034" w:rsidRPr="00B6445F">
        <w:rPr>
          <w:szCs w:val="22"/>
        </w:rPr>
        <w:t xml:space="preserve"> population </w:t>
      </w:r>
      <w:r w:rsidR="005C2371">
        <w:rPr>
          <w:szCs w:val="22"/>
        </w:rPr>
        <w:t>density</w:t>
      </w:r>
      <w:r w:rsidR="005C2371" w:rsidRPr="00B6445F">
        <w:rPr>
          <w:szCs w:val="22"/>
        </w:rPr>
        <w:t xml:space="preserve"> </w:t>
      </w:r>
      <w:r w:rsidR="00D81E92">
        <w:rPr>
          <w:szCs w:val="22"/>
        </w:rPr>
        <w:t>(</w:t>
      </w:r>
      <w:r w:rsidR="00D81E92" w:rsidRPr="00ED4C36">
        <w:rPr>
          <w:i/>
          <w:szCs w:val="22"/>
        </w:rPr>
        <w:t>e.g.</w:t>
      </w:r>
      <w:r w:rsidR="00ED4C36">
        <w:rPr>
          <w:szCs w:val="22"/>
        </w:rPr>
        <w:t>,</w:t>
      </w:r>
      <w:r w:rsidR="00482034" w:rsidRPr="00B6445F">
        <w:rPr>
          <w:szCs w:val="22"/>
        </w:rPr>
        <w:t xml:space="preserve"> rivers).</w:t>
      </w:r>
      <w:r w:rsidR="00FE2246" w:rsidRPr="00B6445F">
        <w:rPr>
          <w:rStyle w:val="FootnoteReference"/>
          <w:szCs w:val="22"/>
        </w:rPr>
        <w:footnoteReference w:id="42"/>
      </w:r>
      <w:r w:rsidR="00482034" w:rsidRPr="00B6445F">
        <w:rPr>
          <w:szCs w:val="22"/>
        </w:rPr>
        <w:t xml:space="preserve"> </w:t>
      </w:r>
      <w:r w:rsidR="00FE2246" w:rsidRPr="00B6445F">
        <w:rPr>
          <w:szCs w:val="22"/>
        </w:rPr>
        <w:t xml:space="preserve"> </w:t>
      </w:r>
      <w:r w:rsidR="005C2371">
        <w:rPr>
          <w:szCs w:val="22"/>
        </w:rPr>
        <w:t>Census tracts, t</w:t>
      </w:r>
      <w:r w:rsidR="00482034" w:rsidRPr="00B6445F">
        <w:rPr>
          <w:szCs w:val="22"/>
        </w:rPr>
        <w:t xml:space="preserve">herefore, may naturally mirror key </w:t>
      </w:r>
      <w:r w:rsidR="00542949" w:rsidRPr="00B6445F">
        <w:rPr>
          <w:szCs w:val="22"/>
        </w:rPr>
        <w:t xml:space="preserve">considerations in small cell deployment by service providers, such as </w:t>
      </w:r>
      <w:r w:rsidR="00531D14" w:rsidRPr="00B6445F">
        <w:rPr>
          <w:szCs w:val="22"/>
        </w:rPr>
        <w:t>tracking</w:t>
      </w:r>
      <w:r w:rsidR="00542949" w:rsidRPr="00B6445F">
        <w:rPr>
          <w:szCs w:val="22"/>
        </w:rPr>
        <w:t xml:space="preserve"> existing customers, plant, and permits or rights-of-way</w:t>
      </w:r>
      <w:r w:rsidR="00D4474A" w:rsidRPr="00B6445F">
        <w:rPr>
          <w:szCs w:val="22"/>
        </w:rPr>
        <w:t>.</w:t>
      </w:r>
      <w:r w:rsidR="00FE2246" w:rsidRPr="00B6445F">
        <w:rPr>
          <w:szCs w:val="22"/>
        </w:rPr>
        <w:t xml:space="preserve">  In addition, the inclusion of </w:t>
      </w:r>
      <w:r w:rsidR="00D812A8" w:rsidRPr="00B6445F">
        <w:rPr>
          <w:szCs w:val="22"/>
        </w:rPr>
        <w:t>census tracts</w:t>
      </w:r>
      <w:r w:rsidR="006A5B30" w:rsidRPr="00B6445F">
        <w:rPr>
          <w:szCs w:val="22"/>
        </w:rPr>
        <w:t xml:space="preserve"> in </w:t>
      </w:r>
      <w:r w:rsidR="00FE2246" w:rsidRPr="00B6445F">
        <w:rPr>
          <w:szCs w:val="22"/>
        </w:rPr>
        <w:t>census geospatial databases c</w:t>
      </w:r>
      <w:r w:rsidR="006A5B30" w:rsidRPr="00B6445F">
        <w:rPr>
          <w:szCs w:val="22"/>
        </w:rPr>
        <w:t>ould</w:t>
      </w:r>
      <w:r w:rsidR="00D4474A" w:rsidRPr="00B6445F">
        <w:rPr>
          <w:szCs w:val="22"/>
        </w:rPr>
        <w:t xml:space="preserve"> ease the incorporation of geographic </w:t>
      </w:r>
      <w:r w:rsidR="00E16E23">
        <w:rPr>
          <w:szCs w:val="22"/>
        </w:rPr>
        <w:t xml:space="preserve">and demographic </w:t>
      </w:r>
      <w:r w:rsidR="00D4474A" w:rsidRPr="00B6445F">
        <w:rPr>
          <w:szCs w:val="22"/>
        </w:rPr>
        <w:t>data into</w:t>
      </w:r>
      <w:r w:rsidR="00D81E92">
        <w:rPr>
          <w:szCs w:val="22"/>
        </w:rPr>
        <w:t xml:space="preserve"> an</w:t>
      </w:r>
      <w:r w:rsidR="00D4474A" w:rsidRPr="00B6445F">
        <w:rPr>
          <w:szCs w:val="22"/>
        </w:rPr>
        <w:t xml:space="preserve"> SAS.</w:t>
      </w:r>
    </w:p>
    <w:p w:rsidR="00B55558" w:rsidRPr="00B6445F" w:rsidRDefault="004733B2" w:rsidP="00257EBC">
      <w:pPr>
        <w:pStyle w:val="ParaNum"/>
        <w:widowControl/>
        <w:rPr>
          <w:szCs w:val="22"/>
        </w:rPr>
      </w:pPr>
      <w:r w:rsidRPr="00B6445F">
        <w:rPr>
          <w:szCs w:val="22"/>
        </w:rPr>
        <w:t>We seek comment on</w:t>
      </w:r>
      <w:r w:rsidR="00B55E16">
        <w:rPr>
          <w:szCs w:val="22"/>
        </w:rPr>
        <w:t xml:space="preserve"> considerations regarding</w:t>
      </w:r>
      <w:r w:rsidRPr="00B6445F">
        <w:rPr>
          <w:szCs w:val="22"/>
        </w:rPr>
        <w:t xml:space="preserve"> the size</w:t>
      </w:r>
      <w:r w:rsidR="00D4474A" w:rsidRPr="00B6445F">
        <w:rPr>
          <w:szCs w:val="22"/>
        </w:rPr>
        <w:t xml:space="preserve"> of the geographic component of the </w:t>
      </w:r>
      <w:r w:rsidR="00865E83">
        <w:rPr>
          <w:szCs w:val="22"/>
        </w:rPr>
        <w:t>PAL</w:t>
      </w:r>
      <w:r w:rsidR="005100CE">
        <w:rPr>
          <w:szCs w:val="22"/>
        </w:rPr>
        <w:t>s</w:t>
      </w:r>
      <w:r w:rsidR="00D4474A" w:rsidRPr="00B6445F">
        <w:rPr>
          <w:szCs w:val="22"/>
        </w:rPr>
        <w:t xml:space="preserve">.  Are census tracts </w:t>
      </w:r>
      <w:r w:rsidR="00727B43" w:rsidRPr="00B6445F">
        <w:rPr>
          <w:szCs w:val="22"/>
        </w:rPr>
        <w:t xml:space="preserve">an </w:t>
      </w:r>
      <w:r w:rsidR="00D4474A" w:rsidRPr="00B6445F">
        <w:rPr>
          <w:szCs w:val="22"/>
        </w:rPr>
        <w:t>appropriate</w:t>
      </w:r>
      <w:r w:rsidR="00FE2246" w:rsidRPr="00B6445F">
        <w:rPr>
          <w:szCs w:val="22"/>
        </w:rPr>
        <w:t xml:space="preserve"> geographic</w:t>
      </w:r>
      <w:r w:rsidR="00727B43" w:rsidRPr="00B6445F">
        <w:rPr>
          <w:szCs w:val="22"/>
        </w:rPr>
        <w:t xml:space="preserve"> </w:t>
      </w:r>
      <w:r w:rsidR="00FE2246" w:rsidRPr="00B6445F">
        <w:rPr>
          <w:szCs w:val="22"/>
        </w:rPr>
        <w:t>unit</w:t>
      </w:r>
      <w:r w:rsidR="00727B43" w:rsidRPr="00B6445F">
        <w:rPr>
          <w:szCs w:val="22"/>
        </w:rPr>
        <w:t xml:space="preserve"> for </w:t>
      </w:r>
      <w:r w:rsidR="00865E83">
        <w:rPr>
          <w:szCs w:val="22"/>
        </w:rPr>
        <w:t>PAL</w:t>
      </w:r>
      <w:r w:rsidR="00FE2246" w:rsidRPr="00B6445F">
        <w:rPr>
          <w:szCs w:val="22"/>
        </w:rPr>
        <w:t>s</w:t>
      </w:r>
      <w:r w:rsidR="00D4474A" w:rsidRPr="00B6445F">
        <w:rPr>
          <w:szCs w:val="22"/>
        </w:rPr>
        <w:t>?  If not, what</w:t>
      </w:r>
      <w:r w:rsidR="00B55E16">
        <w:rPr>
          <w:szCs w:val="22"/>
        </w:rPr>
        <w:t xml:space="preserve"> </w:t>
      </w:r>
      <w:r w:rsidR="00D4474A" w:rsidRPr="00B6445F">
        <w:rPr>
          <w:szCs w:val="22"/>
        </w:rPr>
        <w:t xml:space="preserve">standard </w:t>
      </w:r>
      <w:r w:rsidR="005E793D" w:rsidRPr="00B6445F">
        <w:rPr>
          <w:szCs w:val="22"/>
        </w:rPr>
        <w:t>geographic</w:t>
      </w:r>
      <w:r w:rsidR="00D4474A" w:rsidRPr="00B6445F">
        <w:rPr>
          <w:szCs w:val="22"/>
        </w:rPr>
        <w:t xml:space="preserve"> unit </w:t>
      </w:r>
      <w:r w:rsidR="00B55E16">
        <w:rPr>
          <w:szCs w:val="22"/>
        </w:rPr>
        <w:t>would best promote the Commission’s goals</w:t>
      </w:r>
      <w:r w:rsidR="00D4474A" w:rsidRPr="00B6445F">
        <w:rPr>
          <w:szCs w:val="22"/>
        </w:rPr>
        <w:t xml:space="preserve">?  </w:t>
      </w:r>
      <w:r w:rsidR="005E793D" w:rsidRPr="00B6445F">
        <w:rPr>
          <w:szCs w:val="22"/>
        </w:rPr>
        <w:t xml:space="preserve">Should </w:t>
      </w:r>
      <w:r w:rsidR="00862ABF">
        <w:rPr>
          <w:szCs w:val="22"/>
        </w:rPr>
        <w:t>other</w:t>
      </w:r>
      <w:r w:rsidR="00862ABF" w:rsidRPr="00B6445F">
        <w:rPr>
          <w:szCs w:val="22"/>
        </w:rPr>
        <w:t xml:space="preserve"> </w:t>
      </w:r>
      <w:r w:rsidR="005E793D" w:rsidRPr="00B6445F">
        <w:rPr>
          <w:szCs w:val="22"/>
        </w:rPr>
        <w:t xml:space="preserve">geographic </w:t>
      </w:r>
      <w:r w:rsidR="00B55E16">
        <w:rPr>
          <w:szCs w:val="22"/>
        </w:rPr>
        <w:t>areas (</w:t>
      </w:r>
      <w:r w:rsidR="00B55E16">
        <w:rPr>
          <w:i/>
          <w:szCs w:val="22"/>
        </w:rPr>
        <w:t>e.g.</w:t>
      </w:r>
      <w:r w:rsidR="00ED4C36">
        <w:rPr>
          <w:szCs w:val="22"/>
        </w:rPr>
        <w:t>,</w:t>
      </w:r>
      <w:r w:rsidR="00B55E16">
        <w:rPr>
          <w:i/>
          <w:szCs w:val="22"/>
        </w:rPr>
        <w:t xml:space="preserve"> </w:t>
      </w:r>
      <w:r w:rsidR="00B55E16">
        <w:rPr>
          <w:szCs w:val="22"/>
        </w:rPr>
        <w:t>counties</w:t>
      </w:r>
      <w:r w:rsidR="00862ABF">
        <w:rPr>
          <w:szCs w:val="22"/>
        </w:rPr>
        <w:t>, census block groups</w:t>
      </w:r>
      <w:r w:rsidR="00B55E16">
        <w:rPr>
          <w:szCs w:val="22"/>
        </w:rPr>
        <w:t xml:space="preserve">) or </w:t>
      </w:r>
      <w:r w:rsidR="005E793D" w:rsidRPr="00B6445F">
        <w:rPr>
          <w:szCs w:val="22"/>
        </w:rPr>
        <w:t xml:space="preserve">licensing units </w:t>
      </w:r>
      <w:r w:rsidR="00B55E16">
        <w:rPr>
          <w:szCs w:val="22"/>
        </w:rPr>
        <w:t>(</w:t>
      </w:r>
      <w:r w:rsidR="00B55E16">
        <w:rPr>
          <w:i/>
          <w:szCs w:val="22"/>
        </w:rPr>
        <w:t>e.g.</w:t>
      </w:r>
      <w:r w:rsidR="009E30CE">
        <w:rPr>
          <w:i/>
          <w:szCs w:val="22"/>
        </w:rPr>
        <w:t>,</w:t>
      </w:r>
      <w:r w:rsidR="00B55E16">
        <w:rPr>
          <w:i/>
          <w:szCs w:val="22"/>
        </w:rPr>
        <w:t xml:space="preserve"> </w:t>
      </w:r>
      <w:r w:rsidR="00B55E16">
        <w:rPr>
          <w:szCs w:val="22"/>
        </w:rPr>
        <w:t>Cellular Market Areas)</w:t>
      </w:r>
      <w:r w:rsidR="005E793D" w:rsidRPr="00B6445F">
        <w:rPr>
          <w:szCs w:val="22"/>
        </w:rPr>
        <w:t xml:space="preserve">, be used instead?  </w:t>
      </w:r>
      <w:r w:rsidR="00D4474A" w:rsidRPr="00B6445F">
        <w:rPr>
          <w:szCs w:val="22"/>
        </w:rPr>
        <w:t>Wou</w:t>
      </w:r>
      <w:r w:rsidR="00C45447" w:rsidRPr="00B6445F">
        <w:rPr>
          <w:szCs w:val="22"/>
        </w:rPr>
        <w:t>ld a standardized grid (</w:t>
      </w:r>
      <w:r w:rsidR="00C45447" w:rsidRPr="00B6445F">
        <w:rPr>
          <w:i/>
          <w:szCs w:val="22"/>
        </w:rPr>
        <w:t>e.g.</w:t>
      </w:r>
      <w:r w:rsidR="00ED4C36">
        <w:rPr>
          <w:szCs w:val="22"/>
        </w:rPr>
        <w:t>,</w:t>
      </w:r>
      <w:r w:rsidR="00C45447" w:rsidRPr="00B6445F">
        <w:rPr>
          <w:szCs w:val="22"/>
        </w:rPr>
        <w:t xml:space="preserve"> </w:t>
      </w:r>
      <w:r w:rsidR="00A501FD" w:rsidRPr="00B6445F">
        <w:rPr>
          <w:szCs w:val="22"/>
        </w:rPr>
        <w:t>1</w:t>
      </w:r>
      <w:r w:rsidR="00030698">
        <w:rPr>
          <w:szCs w:val="22"/>
        </w:rPr>
        <w:t xml:space="preserve"> </w:t>
      </w:r>
      <w:r w:rsidR="006231F1">
        <w:rPr>
          <w:szCs w:val="22"/>
        </w:rPr>
        <w:t>kilometer x 1 kilometer</w:t>
      </w:r>
      <w:r w:rsidR="00A501FD" w:rsidRPr="00B6445F">
        <w:rPr>
          <w:szCs w:val="22"/>
        </w:rPr>
        <w:t xml:space="preserve"> or 2 k</w:t>
      </w:r>
      <w:r w:rsidR="00B55E16">
        <w:rPr>
          <w:szCs w:val="22"/>
        </w:rPr>
        <w:t>ilo</w:t>
      </w:r>
      <w:r w:rsidR="00A501FD" w:rsidRPr="00B6445F">
        <w:rPr>
          <w:szCs w:val="22"/>
        </w:rPr>
        <w:t>m</w:t>
      </w:r>
      <w:r w:rsidR="00B55E16">
        <w:rPr>
          <w:szCs w:val="22"/>
        </w:rPr>
        <w:t>eter</w:t>
      </w:r>
      <w:r w:rsidR="00A501FD" w:rsidRPr="00B6445F">
        <w:rPr>
          <w:szCs w:val="22"/>
        </w:rPr>
        <w:t xml:space="preserve"> </w:t>
      </w:r>
      <w:r w:rsidR="00030698">
        <w:rPr>
          <w:szCs w:val="22"/>
        </w:rPr>
        <w:t xml:space="preserve">x 2 kilometer </w:t>
      </w:r>
      <w:r w:rsidR="00A501FD" w:rsidRPr="00B6445F">
        <w:rPr>
          <w:szCs w:val="22"/>
        </w:rPr>
        <w:t>square</w:t>
      </w:r>
      <w:r w:rsidR="00D4474A" w:rsidRPr="00B6445F">
        <w:rPr>
          <w:szCs w:val="22"/>
        </w:rPr>
        <w:t xml:space="preserve">) </w:t>
      </w:r>
      <w:r w:rsidR="00726FF8" w:rsidRPr="00B6445F">
        <w:rPr>
          <w:szCs w:val="22"/>
        </w:rPr>
        <w:t>overlai</w:t>
      </w:r>
      <w:r w:rsidR="00D4474A" w:rsidRPr="00B6445F">
        <w:rPr>
          <w:szCs w:val="22"/>
        </w:rPr>
        <w:t>d on the United States be a mo</w:t>
      </w:r>
      <w:r w:rsidR="001718E9">
        <w:rPr>
          <w:szCs w:val="22"/>
        </w:rPr>
        <w:t>re appropriate geographic unit?</w:t>
      </w:r>
      <w:r w:rsidR="00D4474A" w:rsidRPr="00B6445F">
        <w:rPr>
          <w:szCs w:val="22"/>
        </w:rPr>
        <w:t xml:space="preserve">  Alternately, could a standardized </w:t>
      </w:r>
      <w:r w:rsidR="008379FD" w:rsidRPr="00B6445F">
        <w:rPr>
          <w:szCs w:val="22"/>
        </w:rPr>
        <w:t>high-</w:t>
      </w:r>
      <w:r w:rsidR="000D2228" w:rsidRPr="00B6445F">
        <w:rPr>
          <w:szCs w:val="22"/>
        </w:rPr>
        <w:t>resolution</w:t>
      </w:r>
      <w:r w:rsidR="00C45447" w:rsidRPr="00B6445F">
        <w:rPr>
          <w:szCs w:val="22"/>
        </w:rPr>
        <w:t xml:space="preserve"> </w:t>
      </w:r>
      <w:r w:rsidR="00D4474A" w:rsidRPr="00B6445F">
        <w:rPr>
          <w:szCs w:val="22"/>
        </w:rPr>
        <w:t xml:space="preserve">grid be “nested” within a </w:t>
      </w:r>
      <w:r w:rsidR="00C45447" w:rsidRPr="00B6445F">
        <w:rPr>
          <w:szCs w:val="22"/>
        </w:rPr>
        <w:t xml:space="preserve">larger grid or a </w:t>
      </w:r>
      <w:r w:rsidR="00D4474A" w:rsidRPr="00B6445F">
        <w:rPr>
          <w:szCs w:val="22"/>
        </w:rPr>
        <w:t>political boundary such as a county?  Commenters should</w:t>
      </w:r>
      <w:r w:rsidR="005A5426" w:rsidRPr="005A5426">
        <w:rPr>
          <w:szCs w:val="22"/>
        </w:rPr>
        <w:t xml:space="preserve"> </w:t>
      </w:r>
      <w:r w:rsidR="005A5426">
        <w:rPr>
          <w:szCs w:val="22"/>
        </w:rPr>
        <w:t>identify any costs or benefits, including a detailed technical analysis regarding the geographic size of the</w:t>
      </w:r>
      <w:r w:rsidR="00D4474A" w:rsidRPr="00B6445F">
        <w:rPr>
          <w:szCs w:val="22"/>
        </w:rPr>
        <w:t xml:space="preserve"> </w:t>
      </w:r>
      <w:r w:rsidR="00865E83">
        <w:rPr>
          <w:szCs w:val="22"/>
        </w:rPr>
        <w:t>PAL</w:t>
      </w:r>
      <w:r w:rsidR="00B55E16">
        <w:rPr>
          <w:szCs w:val="22"/>
        </w:rPr>
        <w:t>s</w:t>
      </w:r>
      <w:r w:rsidR="00D4474A" w:rsidRPr="00B6445F">
        <w:rPr>
          <w:szCs w:val="22"/>
        </w:rPr>
        <w:t>.</w:t>
      </w:r>
    </w:p>
    <w:p w:rsidR="00B55558" w:rsidRPr="00B6445F" w:rsidRDefault="001E5E18" w:rsidP="00257EBC">
      <w:pPr>
        <w:pStyle w:val="ParaNum"/>
        <w:widowControl/>
        <w:rPr>
          <w:szCs w:val="22"/>
        </w:rPr>
      </w:pPr>
      <w:r w:rsidRPr="00B6445F">
        <w:rPr>
          <w:i/>
          <w:szCs w:val="22"/>
        </w:rPr>
        <w:t>Frequency</w:t>
      </w:r>
      <w:r w:rsidR="009F4FDF">
        <w:rPr>
          <w:i/>
          <w:szCs w:val="22"/>
        </w:rPr>
        <w:t>/Bandwidth</w:t>
      </w:r>
      <w:r w:rsidR="00D028BD" w:rsidRPr="00B6445F">
        <w:rPr>
          <w:szCs w:val="22"/>
        </w:rPr>
        <w:t xml:space="preserve">.  </w:t>
      </w:r>
      <w:r w:rsidR="00EF7305" w:rsidRPr="00B6445F">
        <w:rPr>
          <w:szCs w:val="22"/>
        </w:rPr>
        <w:t xml:space="preserve">We </w:t>
      </w:r>
      <w:r w:rsidR="00F42015" w:rsidRPr="00B6445F">
        <w:rPr>
          <w:szCs w:val="22"/>
        </w:rPr>
        <w:t>identify</w:t>
      </w:r>
      <w:r w:rsidR="00EF7305" w:rsidRPr="00B6445F">
        <w:rPr>
          <w:szCs w:val="22"/>
        </w:rPr>
        <w:t xml:space="preserve"> 10 megahertz </w:t>
      </w:r>
      <w:r w:rsidR="000B3A76">
        <w:rPr>
          <w:szCs w:val="22"/>
        </w:rPr>
        <w:t xml:space="preserve">unpaired channels </w:t>
      </w:r>
      <w:r w:rsidR="00EF7305" w:rsidRPr="00B6445F">
        <w:rPr>
          <w:szCs w:val="22"/>
        </w:rPr>
        <w:t xml:space="preserve">as a standard </w:t>
      </w:r>
      <w:r w:rsidR="00865E83">
        <w:rPr>
          <w:szCs w:val="22"/>
        </w:rPr>
        <w:t>PAL</w:t>
      </w:r>
      <w:r w:rsidR="00EF7305" w:rsidRPr="00B6445F">
        <w:rPr>
          <w:szCs w:val="22"/>
        </w:rPr>
        <w:t xml:space="preserve"> bandwidth that balances several objectives. </w:t>
      </w:r>
      <w:r w:rsidR="0041330F" w:rsidRPr="00B6445F">
        <w:rPr>
          <w:szCs w:val="22"/>
        </w:rPr>
        <w:t xml:space="preserve"> </w:t>
      </w:r>
      <w:r w:rsidR="00EF7305" w:rsidRPr="00B6445F">
        <w:rPr>
          <w:szCs w:val="22"/>
        </w:rPr>
        <w:t>First,</w:t>
      </w:r>
      <w:r w:rsidR="004612A3" w:rsidRPr="00B6445F">
        <w:rPr>
          <w:szCs w:val="22"/>
        </w:rPr>
        <w:t xml:space="preserve"> </w:t>
      </w:r>
      <w:proofErr w:type="gramStart"/>
      <w:r w:rsidR="00F53B19" w:rsidRPr="00B6445F">
        <w:rPr>
          <w:szCs w:val="22"/>
        </w:rPr>
        <w:t>10 megahertz</w:t>
      </w:r>
      <w:proofErr w:type="gramEnd"/>
      <w:r w:rsidR="00F53B19" w:rsidRPr="00B6445F">
        <w:rPr>
          <w:szCs w:val="22"/>
        </w:rPr>
        <w:t xml:space="preserve"> </w:t>
      </w:r>
      <w:r w:rsidR="00607B60">
        <w:rPr>
          <w:szCs w:val="22"/>
        </w:rPr>
        <w:t xml:space="preserve">channels </w:t>
      </w:r>
      <w:r w:rsidR="00F53B19" w:rsidRPr="00B6445F">
        <w:rPr>
          <w:szCs w:val="22"/>
        </w:rPr>
        <w:t xml:space="preserve">provide a </w:t>
      </w:r>
      <w:r w:rsidR="006231F1">
        <w:rPr>
          <w:szCs w:val="22"/>
        </w:rPr>
        <w:t>practically deployable and scalable</w:t>
      </w:r>
      <w:r w:rsidR="007F36AE">
        <w:rPr>
          <w:szCs w:val="22"/>
        </w:rPr>
        <w:t xml:space="preserve"> </w:t>
      </w:r>
      <w:r w:rsidR="00F53B19" w:rsidRPr="00B6445F">
        <w:rPr>
          <w:szCs w:val="22"/>
        </w:rPr>
        <w:t xml:space="preserve">bandwidth for high data rate technologies. </w:t>
      </w:r>
      <w:r w:rsidR="0041330F" w:rsidRPr="00B6445F">
        <w:rPr>
          <w:szCs w:val="22"/>
        </w:rPr>
        <w:t xml:space="preserve"> </w:t>
      </w:r>
      <w:r w:rsidR="00F53B19" w:rsidRPr="00B6445F">
        <w:rPr>
          <w:szCs w:val="22"/>
        </w:rPr>
        <w:t xml:space="preserve">Second, </w:t>
      </w:r>
      <w:proofErr w:type="gramStart"/>
      <w:r w:rsidR="00F53B19" w:rsidRPr="00B6445F">
        <w:rPr>
          <w:szCs w:val="22"/>
        </w:rPr>
        <w:t>10 megahertz</w:t>
      </w:r>
      <w:proofErr w:type="gramEnd"/>
      <w:r w:rsidR="004612A3" w:rsidRPr="00B6445F">
        <w:rPr>
          <w:szCs w:val="22"/>
        </w:rPr>
        <w:t xml:space="preserve"> </w:t>
      </w:r>
      <w:r w:rsidR="00665C6A">
        <w:rPr>
          <w:szCs w:val="22"/>
        </w:rPr>
        <w:t xml:space="preserve">channels </w:t>
      </w:r>
      <w:r w:rsidR="004612A3" w:rsidRPr="00B6445F">
        <w:rPr>
          <w:szCs w:val="22"/>
        </w:rPr>
        <w:t>divid</w:t>
      </w:r>
      <w:r w:rsidR="00030698">
        <w:rPr>
          <w:szCs w:val="22"/>
        </w:rPr>
        <w:t>e evenly into either the 100 megahertz</w:t>
      </w:r>
      <w:r w:rsidR="004612A3" w:rsidRPr="00B6445F">
        <w:rPr>
          <w:szCs w:val="22"/>
        </w:rPr>
        <w:t xml:space="preserve"> </w:t>
      </w:r>
      <w:r w:rsidR="00F53B19" w:rsidRPr="00B6445F">
        <w:rPr>
          <w:szCs w:val="22"/>
        </w:rPr>
        <w:t xml:space="preserve">(10 channels) </w:t>
      </w:r>
      <w:r w:rsidR="004612A3" w:rsidRPr="00B6445F">
        <w:rPr>
          <w:szCs w:val="22"/>
        </w:rPr>
        <w:t>available in</w:t>
      </w:r>
      <w:r w:rsidR="00030698">
        <w:rPr>
          <w:szCs w:val="22"/>
        </w:rPr>
        <w:t xml:space="preserve"> the 3.5 GHz Band or the 150 megahertz</w:t>
      </w:r>
      <w:r w:rsidR="004612A3" w:rsidRPr="00B6445F">
        <w:rPr>
          <w:szCs w:val="22"/>
        </w:rPr>
        <w:t xml:space="preserve"> of spectrum </w:t>
      </w:r>
      <w:r w:rsidR="00F53B19" w:rsidRPr="00B6445F">
        <w:rPr>
          <w:szCs w:val="22"/>
        </w:rPr>
        <w:t xml:space="preserve">(15 channels) </w:t>
      </w:r>
      <w:r w:rsidR="004612A3" w:rsidRPr="00B6445F">
        <w:rPr>
          <w:szCs w:val="22"/>
        </w:rPr>
        <w:t>that would</w:t>
      </w:r>
      <w:r w:rsidR="005E793D" w:rsidRPr="00B6445F">
        <w:rPr>
          <w:szCs w:val="22"/>
        </w:rPr>
        <w:t xml:space="preserve"> be available if the supplement</w:t>
      </w:r>
      <w:r w:rsidR="004612A3" w:rsidRPr="00B6445F">
        <w:rPr>
          <w:szCs w:val="22"/>
        </w:rPr>
        <w:t>al plan is adopted</w:t>
      </w:r>
      <w:r w:rsidR="0041330F" w:rsidRPr="00B6445F">
        <w:rPr>
          <w:szCs w:val="22"/>
        </w:rPr>
        <w:t xml:space="preserve">, </w:t>
      </w:r>
      <w:r w:rsidR="00477AA2">
        <w:rPr>
          <w:szCs w:val="22"/>
        </w:rPr>
        <w:t>providing f</w:t>
      </w:r>
      <w:r w:rsidR="0041330F" w:rsidRPr="00B6445F">
        <w:rPr>
          <w:szCs w:val="22"/>
        </w:rPr>
        <w:t>lexibility for either proposal</w:t>
      </w:r>
      <w:r w:rsidR="004612A3" w:rsidRPr="00B6445F">
        <w:rPr>
          <w:szCs w:val="22"/>
        </w:rPr>
        <w:t xml:space="preserve">.  </w:t>
      </w:r>
      <w:r w:rsidR="00F53B19" w:rsidRPr="00B6445F">
        <w:rPr>
          <w:szCs w:val="22"/>
        </w:rPr>
        <w:t>Third</w:t>
      </w:r>
      <w:r w:rsidR="00EF7305" w:rsidRPr="00B6445F">
        <w:rPr>
          <w:szCs w:val="22"/>
        </w:rPr>
        <w:t>,</w:t>
      </w:r>
      <w:r w:rsidR="005E793D" w:rsidRPr="00B6445F">
        <w:rPr>
          <w:szCs w:val="22"/>
        </w:rPr>
        <w:t xml:space="preserve"> </w:t>
      </w:r>
      <w:proofErr w:type="gramStart"/>
      <w:r w:rsidR="00F53B19" w:rsidRPr="00B6445F">
        <w:rPr>
          <w:szCs w:val="22"/>
        </w:rPr>
        <w:t>10 megahertz</w:t>
      </w:r>
      <w:proofErr w:type="gramEnd"/>
      <w:r w:rsidR="00F53B19" w:rsidRPr="00B6445F">
        <w:rPr>
          <w:szCs w:val="22"/>
        </w:rPr>
        <w:t xml:space="preserve"> </w:t>
      </w:r>
      <w:r w:rsidR="00665C6A">
        <w:rPr>
          <w:szCs w:val="22"/>
        </w:rPr>
        <w:t>channels</w:t>
      </w:r>
      <w:r w:rsidR="00665C6A" w:rsidRPr="00B6445F">
        <w:rPr>
          <w:szCs w:val="22"/>
        </w:rPr>
        <w:t xml:space="preserve"> </w:t>
      </w:r>
      <w:r w:rsidR="00F53B19" w:rsidRPr="00B6445F">
        <w:rPr>
          <w:szCs w:val="22"/>
        </w:rPr>
        <w:t xml:space="preserve">are </w:t>
      </w:r>
      <w:r w:rsidR="00477AA2">
        <w:rPr>
          <w:szCs w:val="22"/>
        </w:rPr>
        <w:t xml:space="preserve">sufficiently </w:t>
      </w:r>
      <w:r w:rsidR="00F53B19" w:rsidRPr="00B6445F">
        <w:rPr>
          <w:szCs w:val="22"/>
        </w:rPr>
        <w:t>granular</w:t>
      </w:r>
      <w:r w:rsidR="005E793D" w:rsidRPr="00B6445F">
        <w:rPr>
          <w:szCs w:val="22"/>
        </w:rPr>
        <w:t xml:space="preserve"> to </w:t>
      </w:r>
      <w:r w:rsidR="0051322F">
        <w:rPr>
          <w:szCs w:val="22"/>
        </w:rPr>
        <w:t>license</w:t>
      </w:r>
      <w:r w:rsidR="0051322F" w:rsidRPr="00B6445F">
        <w:rPr>
          <w:szCs w:val="22"/>
        </w:rPr>
        <w:t xml:space="preserve"> </w:t>
      </w:r>
      <w:r w:rsidR="005E793D" w:rsidRPr="00B6445F">
        <w:rPr>
          <w:szCs w:val="22"/>
        </w:rPr>
        <w:t xml:space="preserve">multiple </w:t>
      </w:r>
      <w:r w:rsidR="00F53B19" w:rsidRPr="00B6445F">
        <w:rPr>
          <w:szCs w:val="22"/>
        </w:rPr>
        <w:t>Priority Access</w:t>
      </w:r>
      <w:r w:rsidR="005E793D" w:rsidRPr="00B6445F">
        <w:rPr>
          <w:szCs w:val="22"/>
        </w:rPr>
        <w:t xml:space="preserve"> users in each geographic area</w:t>
      </w:r>
      <w:r w:rsidR="00F53B19" w:rsidRPr="00B6445F">
        <w:rPr>
          <w:szCs w:val="22"/>
        </w:rPr>
        <w:t>, particularly where protection</w:t>
      </w:r>
      <w:r w:rsidR="00477AA2">
        <w:rPr>
          <w:szCs w:val="22"/>
        </w:rPr>
        <w:t xml:space="preserve"> of</w:t>
      </w:r>
      <w:r w:rsidR="00F53B19" w:rsidRPr="00B6445F">
        <w:rPr>
          <w:szCs w:val="22"/>
        </w:rPr>
        <w:t xml:space="preserve"> incumbents </w:t>
      </w:r>
      <w:r w:rsidR="00477AA2">
        <w:rPr>
          <w:szCs w:val="22"/>
        </w:rPr>
        <w:t xml:space="preserve">limits the amount of spectrum </w:t>
      </w:r>
      <w:r w:rsidR="00F53B19" w:rsidRPr="00B6445F">
        <w:rPr>
          <w:szCs w:val="22"/>
        </w:rPr>
        <w:t>available for commercial use</w:t>
      </w:r>
      <w:r w:rsidR="005E793D" w:rsidRPr="00B6445F">
        <w:rPr>
          <w:szCs w:val="22"/>
        </w:rPr>
        <w:t xml:space="preserve">. </w:t>
      </w:r>
      <w:r w:rsidR="001718E9">
        <w:rPr>
          <w:szCs w:val="22"/>
        </w:rPr>
        <w:t xml:space="preserve"> </w:t>
      </w:r>
      <w:r w:rsidR="00254061" w:rsidRPr="00B6445F">
        <w:rPr>
          <w:szCs w:val="22"/>
        </w:rPr>
        <w:t xml:space="preserve">Fourth, we expect that </w:t>
      </w:r>
      <w:proofErr w:type="gramStart"/>
      <w:r w:rsidR="00254061" w:rsidRPr="00B6445F">
        <w:rPr>
          <w:szCs w:val="22"/>
        </w:rPr>
        <w:t>10 megahertz</w:t>
      </w:r>
      <w:proofErr w:type="gramEnd"/>
      <w:r w:rsidR="00254061" w:rsidRPr="00B6445F">
        <w:rPr>
          <w:szCs w:val="22"/>
        </w:rPr>
        <w:t xml:space="preserve"> </w:t>
      </w:r>
      <w:r w:rsidR="00477AA2">
        <w:rPr>
          <w:szCs w:val="22"/>
        </w:rPr>
        <w:t xml:space="preserve">licenses </w:t>
      </w:r>
      <w:r w:rsidR="00254061" w:rsidRPr="00B6445F">
        <w:rPr>
          <w:szCs w:val="22"/>
        </w:rPr>
        <w:t>would provide useful “building block</w:t>
      </w:r>
      <w:r w:rsidR="00477AA2">
        <w:rPr>
          <w:szCs w:val="22"/>
        </w:rPr>
        <w:t>s</w:t>
      </w:r>
      <w:r w:rsidR="00254061" w:rsidRPr="00B6445F">
        <w:rPr>
          <w:szCs w:val="22"/>
        </w:rPr>
        <w:t>”</w:t>
      </w:r>
      <w:r w:rsidR="009E30CE">
        <w:rPr>
          <w:szCs w:val="22"/>
        </w:rPr>
        <w:t xml:space="preserve"> </w:t>
      </w:r>
      <w:r w:rsidR="00477AA2" w:rsidRPr="00B6445F">
        <w:rPr>
          <w:szCs w:val="22"/>
        </w:rPr>
        <w:t>f</w:t>
      </w:r>
      <w:r w:rsidR="00477AA2">
        <w:rPr>
          <w:szCs w:val="22"/>
        </w:rPr>
        <w:t>or licensees that</w:t>
      </w:r>
      <w:r w:rsidR="00254061" w:rsidRPr="00B6445F">
        <w:rPr>
          <w:szCs w:val="22"/>
        </w:rPr>
        <w:t xml:space="preserve"> might</w:t>
      </w:r>
      <w:r w:rsidR="00477AA2">
        <w:rPr>
          <w:szCs w:val="22"/>
        </w:rPr>
        <w:t xml:space="preserve"> wish to aggregate</w:t>
      </w:r>
      <w:r w:rsidR="00254061" w:rsidRPr="00B6445F">
        <w:rPr>
          <w:szCs w:val="22"/>
        </w:rPr>
        <w:t xml:space="preserve"> larger </w:t>
      </w:r>
      <w:r w:rsidR="00477AA2">
        <w:rPr>
          <w:szCs w:val="22"/>
        </w:rPr>
        <w:t xml:space="preserve">amounts of spectrum </w:t>
      </w:r>
      <w:r w:rsidR="00254061" w:rsidRPr="00B6445F">
        <w:rPr>
          <w:szCs w:val="22"/>
        </w:rPr>
        <w:t xml:space="preserve">in a given </w:t>
      </w:r>
      <w:r w:rsidR="00ED4C36">
        <w:rPr>
          <w:szCs w:val="22"/>
        </w:rPr>
        <w:t>area</w:t>
      </w:r>
      <w:r w:rsidR="00254061" w:rsidRPr="00B6445F">
        <w:rPr>
          <w:szCs w:val="22"/>
        </w:rPr>
        <w:t xml:space="preserve">. </w:t>
      </w:r>
      <w:r w:rsidR="001718E9">
        <w:rPr>
          <w:szCs w:val="22"/>
        </w:rPr>
        <w:t xml:space="preserve"> </w:t>
      </w:r>
      <w:r w:rsidR="00F53B19" w:rsidRPr="00B6445F">
        <w:rPr>
          <w:szCs w:val="22"/>
        </w:rPr>
        <w:t xml:space="preserve">We seek comment on the appropriate bandwidth for </w:t>
      </w:r>
      <w:r w:rsidR="00865E83">
        <w:rPr>
          <w:szCs w:val="22"/>
        </w:rPr>
        <w:t>PAL</w:t>
      </w:r>
      <w:r w:rsidR="00F53B19" w:rsidRPr="00B6445F">
        <w:rPr>
          <w:szCs w:val="22"/>
        </w:rPr>
        <w:t>s and, in particular, w</w:t>
      </w:r>
      <w:r w:rsidR="00030698">
        <w:rPr>
          <w:szCs w:val="22"/>
        </w:rPr>
        <w:t xml:space="preserve">hether </w:t>
      </w:r>
      <w:proofErr w:type="gramStart"/>
      <w:r w:rsidR="00030698">
        <w:rPr>
          <w:szCs w:val="22"/>
        </w:rPr>
        <w:t>10 megahertz</w:t>
      </w:r>
      <w:proofErr w:type="gramEnd"/>
      <w:r w:rsidR="00F53B19" w:rsidRPr="00B6445F">
        <w:rPr>
          <w:szCs w:val="22"/>
        </w:rPr>
        <w:t xml:space="preserve"> </w:t>
      </w:r>
      <w:r w:rsidR="00477AA2">
        <w:rPr>
          <w:szCs w:val="22"/>
        </w:rPr>
        <w:t xml:space="preserve">blocks </w:t>
      </w:r>
      <w:r w:rsidR="00F53B19" w:rsidRPr="00B6445F">
        <w:rPr>
          <w:szCs w:val="22"/>
        </w:rPr>
        <w:t xml:space="preserve">appropriately balance </w:t>
      </w:r>
      <w:r w:rsidR="0041330F" w:rsidRPr="00B6445F">
        <w:rPr>
          <w:szCs w:val="22"/>
        </w:rPr>
        <w:t>the needs of potential Priority Access users and the policy objectives identified herein</w:t>
      </w:r>
      <w:r w:rsidR="00F53B19" w:rsidRPr="00B6445F">
        <w:rPr>
          <w:szCs w:val="22"/>
        </w:rPr>
        <w:t>.</w:t>
      </w:r>
      <w:r w:rsidR="005E793D" w:rsidRPr="00B6445F">
        <w:rPr>
          <w:szCs w:val="22"/>
        </w:rPr>
        <w:t xml:space="preserve"> </w:t>
      </w:r>
      <w:r w:rsidR="005A5426">
        <w:rPr>
          <w:szCs w:val="22"/>
        </w:rPr>
        <w:t xml:space="preserve"> </w:t>
      </w:r>
      <w:r w:rsidR="005A5426" w:rsidRPr="00B6445F">
        <w:rPr>
          <w:szCs w:val="22"/>
        </w:rPr>
        <w:t xml:space="preserve">Commenters should </w:t>
      </w:r>
      <w:r w:rsidR="005A5426">
        <w:rPr>
          <w:szCs w:val="22"/>
        </w:rPr>
        <w:t>identify any costs or benefits, including a detailed technical analysis of any proposed bandwidth unit.</w:t>
      </w:r>
    </w:p>
    <w:p w:rsidR="0042606D" w:rsidRPr="0058137A" w:rsidRDefault="00AD6DDC" w:rsidP="00257EBC">
      <w:pPr>
        <w:pStyle w:val="ParaNum"/>
        <w:widowControl/>
        <w:rPr>
          <w:szCs w:val="22"/>
        </w:rPr>
      </w:pPr>
      <w:r>
        <w:rPr>
          <w:i/>
          <w:szCs w:val="22"/>
        </w:rPr>
        <w:t>Licens</w:t>
      </w:r>
      <w:r w:rsidR="00282992">
        <w:rPr>
          <w:i/>
          <w:szCs w:val="22"/>
        </w:rPr>
        <w:t xml:space="preserve">e </w:t>
      </w:r>
      <w:r w:rsidR="0042606D" w:rsidRPr="00532B0D">
        <w:rPr>
          <w:i/>
          <w:szCs w:val="22"/>
        </w:rPr>
        <w:t xml:space="preserve">Flexibility and </w:t>
      </w:r>
      <w:proofErr w:type="spellStart"/>
      <w:r w:rsidR="0042606D" w:rsidRPr="00532B0D">
        <w:rPr>
          <w:i/>
          <w:szCs w:val="22"/>
        </w:rPr>
        <w:t>Fungibility</w:t>
      </w:r>
      <w:proofErr w:type="spellEnd"/>
      <w:r w:rsidR="0042606D" w:rsidRPr="00532B0D">
        <w:rPr>
          <w:szCs w:val="22"/>
        </w:rPr>
        <w:t xml:space="preserve">. </w:t>
      </w:r>
      <w:r w:rsidR="00532B0D">
        <w:rPr>
          <w:szCs w:val="22"/>
        </w:rPr>
        <w:t xml:space="preserve">The purpose of </w:t>
      </w:r>
      <w:r w:rsidR="00DC3EF0">
        <w:rPr>
          <w:szCs w:val="22"/>
        </w:rPr>
        <w:t xml:space="preserve">the </w:t>
      </w:r>
      <w:r w:rsidR="00865E83">
        <w:rPr>
          <w:szCs w:val="22"/>
        </w:rPr>
        <w:t>PAL</w:t>
      </w:r>
      <w:r w:rsidR="00DC3EF0">
        <w:rPr>
          <w:szCs w:val="22"/>
        </w:rPr>
        <w:t xml:space="preserve"> </w:t>
      </w:r>
      <w:r w:rsidR="00532B0D">
        <w:rPr>
          <w:szCs w:val="22"/>
        </w:rPr>
        <w:t>approach is to encourage flexible use of the 3.5 GHz Band</w:t>
      </w:r>
      <w:r w:rsidR="00997D99">
        <w:rPr>
          <w:szCs w:val="22"/>
        </w:rPr>
        <w:t xml:space="preserve"> for a</w:t>
      </w:r>
      <w:r w:rsidR="00DC3EF0">
        <w:rPr>
          <w:szCs w:val="22"/>
        </w:rPr>
        <w:t>n array</w:t>
      </w:r>
      <w:r w:rsidR="00997D99">
        <w:rPr>
          <w:szCs w:val="22"/>
        </w:rPr>
        <w:t xml:space="preserve"> of applications and end users</w:t>
      </w:r>
      <w:r w:rsidR="00532B0D">
        <w:rPr>
          <w:szCs w:val="22"/>
        </w:rPr>
        <w:t xml:space="preserve">.  </w:t>
      </w:r>
      <w:r w:rsidR="0058137A">
        <w:rPr>
          <w:szCs w:val="22"/>
        </w:rPr>
        <w:t xml:space="preserve">Such applications could include not only small cell commercial broadband use, but private networks, non-line of sight backhaul, and other innovative </w:t>
      </w:r>
      <w:r w:rsidR="00C43060">
        <w:rPr>
          <w:szCs w:val="22"/>
        </w:rPr>
        <w:t>uses</w:t>
      </w:r>
      <w:r w:rsidR="0058137A">
        <w:rPr>
          <w:szCs w:val="22"/>
        </w:rPr>
        <w:t xml:space="preserve">.  </w:t>
      </w:r>
      <w:r w:rsidR="00DC3EF0">
        <w:rPr>
          <w:szCs w:val="22"/>
        </w:rPr>
        <w:t xml:space="preserve">Spectrum users </w:t>
      </w:r>
      <w:r w:rsidR="0058137A">
        <w:rPr>
          <w:szCs w:val="22"/>
        </w:rPr>
        <w:t xml:space="preserve">would need to </w:t>
      </w:r>
      <w:r w:rsidR="00DC3EF0">
        <w:rPr>
          <w:szCs w:val="22"/>
        </w:rPr>
        <w:t>comply with certain</w:t>
      </w:r>
      <w:r w:rsidR="00DC3EF0">
        <w:rPr>
          <w:i/>
          <w:szCs w:val="22"/>
        </w:rPr>
        <w:t xml:space="preserve"> </w:t>
      </w:r>
      <w:r w:rsidR="0058137A">
        <w:rPr>
          <w:szCs w:val="22"/>
        </w:rPr>
        <w:t>technical criteria</w:t>
      </w:r>
      <w:r w:rsidR="00DC3EF0">
        <w:rPr>
          <w:szCs w:val="22"/>
        </w:rPr>
        <w:t xml:space="preserve">, </w:t>
      </w:r>
      <w:r w:rsidR="007F36AE">
        <w:rPr>
          <w:szCs w:val="22"/>
        </w:rPr>
        <w:t xml:space="preserve">such </w:t>
      </w:r>
      <w:r w:rsidR="00DC3EF0">
        <w:rPr>
          <w:szCs w:val="22"/>
        </w:rPr>
        <w:t xml:space="preserve">as </w:t>
      </w:r>
      <w:r w:rsidR="007F36AE">
        <w:rPr>
          <w:szCs w:val="22"/>
        </w:rPr>
        <w:t xml:space="preserve">those </w:t>
      </w:r>
      <w:r w:rsidR="00DC3EF0">
        <w:rPr>
          <w:szCs w:val="22"/>
        </w:rPr>
        <w:t>discussed</w:t>
      </w:r>
      <w:r w:rsidR="0058137A">
        <w:rPr>
          <w:szCs w:val="22"/>
        </w:rPr>
        <w:t xml:space="preserve"> in </w:t>
      </w:r>
      <w:r w:rsidR="00CE242F" w:rsidRPr="00FF21F7">
        <w:rPr>
          <w:szCs w:val="22"/>
        </w:rPr>
        <w:t>section III (e) below</w:t>
      </w:r>
      <w:r w:rsidR="007F36AE">
        <w:rPr>
          <w:szCs w:val="22"/>
        </w:rPr>
        <w:t>, to ensure their effective coexistence</w:t>
      </w:r>
      <w:r w:rsidR="00DC3EF0">
        <w:rPr>
          <w:szCs w:val="22"/>
        </w:rPr>
        <w:t xml:space="preserve">.  These requirements </w:t>
      </w:r>
      <w:r w:rsidR="0058137A">
        <w:rPr>
          <w:szCs w:val="22"/>
        </w:rPr>
        <w:t xml:space="preserve">are intended to be </w:t>
      </w:r>
      <w:r w:rsidR="006F2EC9">
        <w:rPr>
          <w:szCs w:val="22"/>
        </w:rPr>
        <w:t xml:space="preserve">minimal </w:t>
      </w:r>
      <w:r w:rsidR="0058137A">
        <w:rPr>
          <w:szCs w:val="22"/>
        </w:rPr>
        <w:t xml:space="preserve">to encourage diverse </w:t>
      </w:r>
      <w:r w:rsidR="006F2EC9">
        <w:rPr>
          <w:szCs w:val="22"/>
        </w:rPr>
        <w:t xml:space="preserve">spectrum </w:t>
      </w:r>
      <w:r w:rsidR="0058137A">
        <w:rPr>
          <w:szCs w:val="22"/>
        </w:rPr>
        <w:t xml:space="preserve">use.  </w:t>
      </w:r>
      <w:r w:rsidR="00DC3EF0">
        <w:rPr>
          <w:szCs w:val="22"/>
        </w:rPr>
        <w:t xml:space="preserve">We seek comment on </w:t>
      </w:r>
      <w:r w:rsidR="00AB3106">
        <w:rPr>
          <w:szCs w:val="22"/>
        </w:rPr>
        <w:t>how much technical flexibil</w:t>
      </w:r>
      <w:r w:rsidR="00030698">
        <w:rPr>
          <w:szCs w:val="22"/>
        </w:rPr>
        <w:t>ity is possible in the 3.5 GHz B</w:t>
      </w:r>
      <w:r w:rsidR="00AB3106">
        <w:rPr>
          <w:szCs w:val="22"/>
        </w:rPr>
        <w:t>and</w:t>
      </w:r>
      <w:r w:rsidR="00B23A32">
        <w:rPr>
          <w:szCs w:val="22"/>
        </w:rPr>
        <w:t xml:space="preserve"> given the licensing model proposed in the NPRM and elaborated upon in the Revised Framework</w:t>
      </w:r>
      <w:r w:rsidR="00AB3106">
        <w:rPr>
          <w:szCs w:val="22"/>
        </w:rPr>
        <w:t>.</w:t>
      </w:r>
    </w:p>
    <w:p w:rsidR="00B55558" w:rsidRDefault="00077CAB" w:rsidP="00257EBC">
      <w:pPr>
        <w:pStyle w:val="ParaNum"/>
        <w:widowControl/>
        <w:rPr>
          <w:szCs w:val="22"/>
        </w:rPr>
      </w:pPr>
      <w:proofErr w:type="spellStart"/>
      <w:r w:rsidRPr="00B6445F">
        <w:rPr>
          <w:i/>
          <w:szCs w:val="22"/>
        </w:rPr>
        <w:t>Administrability</w:t>
      </w:r>
      <w:proofErr w:type="spellEnd"/>
      <w:r w:rsidR="00047764" w:rsidRPr="00B6445F">
        <w:rPr>
          <w:szCs w:val="22"/>
        </w:rPr>
        <w:t xml:space="preserve">. </w:t>
      </w:r>
      <w:r w:rsidR="00AB3106">
        <w:rPr>
          <w:szCs w:val="22"/>
        </w:rPr>
        <w:t xml:space="preserve">The </w:t>
      </w:r>
      <w:r w:rsidR="00865E83">
        <w:rPr>
          <w:szCs w:val="22"/>
        </w:rPr>
        <w:t>PAL</w:t>
      </w:r>
      <w:r w:rsidR="00AB3106">
        <w:rPr>
          <w:szCs w:val="22"/>
        </w:rPr>
        <w:t xml:space="preserve"> concept is intended to reduce the complexity associated with administering and automating licensing processes for a large number of granular licenses</w:t>
      </w:r>
      <w:r w:rsidR="009C69E7">
        <w:rPr>
          <w:szCs w:val="22"/>
        </w:rPr>
        <w:t xml:space="preserve"> by eliminating the need for a number of regulatory requirements associated with longer term licenses</w:t>
      </w:r>
      <w:r w:rsidR="00AB3106">
        <w:rPr>
          <w:szCs w:val="22"/>
        </w:rPr>
        <w:t xml:space="preserve">. </w:t>
      </w:r>
      <w:r w:rsidR="001718E9">
        <w:rPr>
          <w:szCs w:val="22"/>
        </w:rPr>
        <w:t xml:space="preserve"> </w:t>
      </w:r>
      <w:r w:rsidR="00AB3106">
        <w:rPr>
          <w:szCs w:val="22"/>
        </w:rPr>
        <w:t xml:space="preserve">We </w:t>
      </w:r>
      <w:r w:rsidR="00562D36">
        <w:rPr>
          <w:szCs w:val="22"/>
        </w:rPr>
        <w:t xml:space="preserve">seek comment </w:t>
      </w:r>
      <w:r w:rsidR="006F2EC9">
        <w:rPr>
          <w:szCs w:val="22"/>
        </w:rPr>
        <w:t xml:space="preserve">on </w:t>
      </w:r>
      <w:r w:rsidR="00AB3106">
        <w:rPr>
          <w:szCs w:val="22"/>
        </w:rPr>
        <w:t xml:space="preserve">the implications of the </w:t>
      </w:r>
      <w:r w:rsidR="00865E83">
        <w:rPr>
          <w:szCs w:val="22"/>
        </w:rPr>
        <w:t>PAL</w:t>
      </w:r>
      <w:r w:rsidR="00AB3106">
        <w:rPr>
          <w:szCs w:val="22"/>
        </w:rPr>
        <w:t xml:space="preserve"> concept on existing</w:t>
      </w:r>
      <w:r w:rsidR="007F36AE">
        <w:rPr>
          <w:szCs w:val="22"/>
        </w:rPr>
        <w:t xml:space="preserve"> Commission licensing and authorization</w:t>
      </w:r>
      <w:r w:rsidR="00AB3106">
        <w:rPr>
          <w:szCs w:val="22"/>
        </w:rPr>
        <w:t xml:space="preserve"> processes as well as for the design of an SAS. </w:t>
      </w:r>
    </w:p>
    <w:p w:rsidR="00ED4C36" w:rsidRDefault="00B67CFE" w:rsidP="00257EBC">
      <w:pPr>
        <w:pStyle w:val="ParaNum"/>
        <w:widowControl/>
      </w:pPr>
      <w:r>
        <w:t xml:space="preserve">We also seek comment on the amount and type of information that would need to be collected from potential Priority Access licensees.  </w:t>
      </w:r>
      <w:r w:rsidRPr="00B6445F">
        <w:t xml:space="preserve">The Communications Act </w:t>
      </w:r>
      <w:r>
        <w:t xml:space="preserve">establishes </w:t>
      </w:r>
      <w:r w:rsidRPr="00B6445F">
        <w:t xml:space="preserve">certain categories of eligibility for license applications, </w:t>
      </w:r>
      <w:r>
        <w:t xml:space="preserve">while giving the Commission broad discretion to </w:t>
      </w:r>
      <w:r>
        <w:lastRenderedPageBreak/>
        <w:t>determine specific eligibility criteria</w:t>
      </w:r>
      <w:r w:rsidRPr="00B6445F">
        <w:t>.</w:t>
      </w:r>
      <w:r w:rsidRPr="00B6445F">
        <w:rPr>
          <w:rStyle w:val="FootnoteReference"/>
          <w:szCs w:val="22"/>
        </w:rPr>
        <w:footnoteReference w:id="43"/>
      </w:r>
      <w:r w:rsidRPr="00B6445F">
        <w:t xml:space="preserve">  </w:t>
      </w:r>
      <w:r w:rsidR="006223D1">
        <w:t>In the auctions context</w:t>
      </w:r>
      <w:r w:rsidR="00030698">
        <w:t>, t</w:t>
      </w:r>
      <w:r w:rsidRPr="00B6445F">
        <w:t xml:space="preserve">he Commission </w:t>
      </w:r>
      <w:r w:rsidR="006223D1">
        <w:t xml:space="preserve">typically </w:t>
      </w:r>
      <w:r w:rsidRPr="00B6445F">
        <w:t xml:space="preserve">requires applicants </w:t>
      </w:r>
      <w:r>
        <w:t xml:space="preserve">for spectrum licenses </w:t>
      </w:r>
      <w:r w:rsidRPr="00B6445F">
        <w:t xml:space="preserve">to submit short and long form applications detailing their qualifications </w:t>
      </w:r>
      <w:r>
        <w:t>and</w:t>
      </w:r>
      <w:r w:rsidRPr="00B6445F">
        <w:t xml:space="preserve"> any supplemental information the Commission deems necessary.</w:t>
      </w:r>
      <w:r w:rsidRPr="00B6445F">
        <w:rPr>
          <w:rStyle w:val="FootnoteReference"/>
          <w:szCs w:val="22"/>
        </w:rPr>
        <w:footnoteReference w:id="44"/>
      </w:r>
      <w:r w:rsidRPr="00B6445F">
        <w:t xml:space="preserve">  The Communications Act also limits foreign ownership of FCC licenses</w:t>
      </w:r>
      <w:r w:rsidRPr="00B6445F">
        <w:rPr>
          <w:rStyle w:val="FootnoteReference"/>
          <w:szCs w:val="22"/>
        </w:rPr>
        <w:footnoteReference w:id="45"/>
      </w:r>
      <w:r w:rsidRPr="00B6445F">
        <w:t xml:space="preserve"> and comp</w:t>
      </w:r>
      <w:r>
        <w:t>rehensive</w:t>
      </w:r>
      <w:r w:rsidRPr="00B6445F">
        <w:t xml:space="preserve"> ownership information is required for all license applications, whether or not they are subject to competitive bidding.</w:t>
      </w:r>
      <w:r w:rsidRPr="00B6445F">
        <w:rPr>
          <w:rStyle w:val="FootnoteReference"/>
          <w:szCs w:val="22"/>
        </w:rPr>
        <w:footnoteReference w:id="46"/>
      </w:r>
      <w:r w:rsidRPr="00B6445F">
        <w:t xml:space="preserve">  </w:t>
      </w:r>
      <w:r w:rsidR="006223D1">
        <w:t>Certain additional qualifications are prescribed by statute.</w:t>
      </w:r>
      <w:r w:rsidR="006223D1">
        <w:rPr>
          <w:rStyle w:val="FootnoteReference"/>
        </w:rPr>
        <w:footnoteReference w:id="47"/>
      </w:r>
      <w:r w:rsidR="006223D1">
        <w:t xml:space="preserve">  </w:t>
      </w:r>
    </w:p>
    <w:p w:rsidR="00B67CFE" w:rsidRPr="0033481B" w:rsidRDefault="00B67CFE" w:rsidP="00257EBC">
      <w:pPr>
        <w:pStyle w:val="ParaNum"/>
        <w:widowControl/>
      </w:pPr>
      <w:r w:rsidRPr="00B6445F">
        <w:t xml:space="preserve">Given </w:t>
      </w:r>
      <w:r>
        <w:t xml:space="preserve">our goal of </w:t>
      </w:r>
      <w:r w:rsidRPr="00B6445F">
        <w:t xml:space="preserve">a more fungible and administratively </w:t>
      </w:r>
      <w:r>
        <w:t xml:space="preserve">streamlined </w:t>
      </w:r>
      <w:r w:rsidRPr="00B6445F">
        <w:t>licensing regime for the 3.5 GH</w:t>
      </w:r>
      <w:r>
        <w:t>z</w:t>
      </w:r>
      <w:r w:rsidRPr="00B6445F">
        <w:t xml:space="preserve"> Band, we seek comment on the information that must be collected from prospective licensees in an open eligibility environment</w:t>
      </w:r>
      <w:r>
        <w:t>.</w:t>
      </w:r>
      <w:r w:rsidRPr="00B6445F">
        <w:t xml:space="preserve">  What is the minimum amount of licensee data that must be directly collected and maintained by the Commission to meet the requirements of the Communications Act?  </w:t>
      </w:r>
      <w:r>
        <w:t xml:space="preserve">Are there any legal or other impediments to </w:t>
      </w:r>
      <w:r w:rsidRPr="00B6445F">
        <w:t xml:space="preserve">collection and maintenance of </w:t>
      </w:r>
      <w:r>
        <w:t>such</w:t>
      </w:r>
      <w:r w:rsidRPr="00B6445F">
        <w:t xml:space="preserve"> information </w:t>
      </w:r>
      <w:r>
        <w:t>by</w:t>
      </w:r>
      <w:r w:rsidRPr="00B6445F">
        <w:t xml:space="preserve"> a third party, such as an SAS operator</w:t>
      </w:r>
      <w:r>
        <w:t xml:space="preserve"> under Commission supervision</w:t>
      </w:r>
      <w:r w:rsidRPr="00B6445F">
        <w:t>?</w:t>
      </w:r>
      <w:r>
        <w:t xml:space="preserve">  </w:t>
      </w:r>
      <w:r w:rsidR="00C43060">
        <w:t xml:space="preserve">What requirements, such as for information security, would need to be imposed on such third parties?  </w:t>
      </w:r>
      <w:r>
        <w:t>What processes and standards</w:t>
      </w:r>
      <w:r w:rsidR="006223D1">
        <w:t xml:space="preserve">, and what Commission review mechanism, </w:t>
      </w:r>
      <w:r>
        <w:t>should be applied to ensure that licensee information is collected in accordance with Commission rules and all licensees meet appropriate eligibility requirements?</w:t>
      </w:r>
    </w:p>
    <w:p w:rsidR="000763BC" w:rsidRPr="00B6445F" w:rsidRDefault="00964FA0" w:rsidP="00257EBC">
      <w:pPr>
        <w:pStyle w:val="Heading3"/>
        <w:widowControl/>
        <w:rPr>
          <w:szCs w:val="22"/>
        </w:rPr>
      </w:pPr>
      <w:bookmarkStart w:id="47" w:name="_Toc364956233"/>
      <w:bookmarkStart w:id="48" w:name="_Toc365040866"/>
      <w:bookmarkStart w:id="49" w:name="_Toc365381562"/>
      <w:bookmarkStart w:id="50" w:name="_Toc365539318"/>
      <w:bookmarkStart w:id="51" w:name="_Toc366145030"/>
      <w:bookmarkStart w:id="52" w:name="_Toc366157655"/>
      <w:bookmarkStart w:id="53" w:name="_Toc366159767"/>
      <w:bookmarkStart w:id="54" w:name="_Toc367261116"/>
      <w:r w:rsidRPr="00B6445F">
        <w:rPr>
          <w:szCs w:val="22"/>
        </w:rPr>
        <w:t xml:space="preserve">Assignment of </w:t>
      </w:r>
      <w:r w:rsidR="0006048B" w:rsidRPr="00B6445F">
        <w:rPr>
          <w:szCs w:val="22"/>
        </w:rPr>
        <w:t xml:space="preserve">Priority </w:t>
      </w:r>
      <w:bookmarkEnd w:id="47"/>
      <w:bookmarkEnd w:id="48"/>
      <w:bookmarkEnd w:id="49"/>
      <w:bookmarkEnd w:id="50"/>
      <w:bookmarkEnd w:id="51"/>
      <w:r w:rsidR="00ED4C36">
        <w:rPr>
          <w:szCs w:val="22"/>
        </w:rPr>
        <w:t>Access Li</w:t>
      </w:r>
      <w:r w:rsidR="00B3433A">
        <w:rPr>
          <w:szCs w:val="22"/>
        </w:rPr>
        <w:t>c</w:t>
      </w:r>
      <w:r w:rsidR="00ED4C36">
        <w:rPr>
          <w:szCs w:val="22"/>
        </w:rPr>
        <w:t>enses</w:t>
      </w:r>
      <w:bookmarkEnd w:id="52"/>
      <w:bookmarkEnd w:id="53"/>
      <w:bookmarkEnd w:id="54"/>
    </w:p>
    <w:p w:rsidR="00B55558" w:rsidRPr="00B6445F" w:rsidRDefault="00A71809" w:rsidP="00257EBC">
      <w:pPr>
        <w:pStyle w:val="ParaNum"/>
        <w:widowControl/>
        <w:rPr>
          <w:szCs w:val="22"/>
        </w:rPr>
      </w:pPr>
      <w:r w:rsidRPr="00B6445F">
        <w:rPr>
          <w:szCs w:val="22"/>
        </w:rPr>
        <w:t xml:space="preserve">In the NPRM, </w:t>
      </w:r>
      <w:r w:rsidR="00562D36">
        <w:rPr>
          <w:szCs w:val="22"/>
        </w:rPr>
        <w:t xml:space="preserve">the Commission </w:t>
      </w:r>
      <w:r w:rsidRPr="00B6445F">
        <w:rPr>
          <w:szCs w:val="22"/>
        </w:rPr>
        <w:t xml:space="preserve">sought comment on </w:t>
      </w:r>
      <w:r w:rsidR="00562D36">
        <w:rPr>
          <w:szCs w:val="22"/>
        </w:rPr>
        <w:t>a</w:t>
      </w:r>
      <w:r w:rsidRPr="00B6445F">
        <w:rPr>
          <w:szCs w:val="22"/>
        </w:rPr>
        <w:t xml:space="preserve"> proposed license-by-rule authorization </w:t>
      </w:r>
      <w:r w:rsidR="00562D36">
        <w:rPr>
          <w:szCs w:val="22"/>
        </w:rPr>
        <w:t xml:space="preserve">regime </w:t>
      </w:r>
      <w:r w:rsidRPr="00B6445F">
        <w:rPr>
          <w:szCs w:val="22"/>
        </w:rPr>
        <w:t>as well as alternative licensing schemes, including</w:t>
      </w:r>
      <w:r w:rsidR="00355EB3" w:rsidRPr="00B6445F">
        <w:rPr>
          <w:szCs w:val="22"/>
        </w:rPr>
        <w:t xml:space="preserve"> auctions</w:t>
      </w:r>
      <w:r w:rsidR="00BC643F">
        <w:rPr>
          <w:szCs w:val="22"/>
        </w:rPr>
        <w:t xml:space="preserve"> for Priority Access tier use within defined geographic service areas</w:t>
      </w:r>
      <w:r w:rsidR="00355EB3" w:rsidRPr="00B6445F">
        <w:rPr>
          <w:szCs w:val="22"/>
        </w:rPr>
        <w:t xml:space="preserve"> and other assignment methodologies.</w:t>
      </w:r>
      <w:r w:rsidR="00D028BD" w:rsidRPr="00B6445F">
        <w:rPr>
          <w:rStyle w:val="FootnoteReference"/>
          <w:szCs w:val="22"/>
        </w:rPr>
        <w:footnoteReference w:id="48"/>
      </w:r>
      <w:r w:rsidR="00355EB3" w:rsidRPr="00B6445F">
        <w:rPr>
          <w:szCs w:val="22"/>
        </w:rPr>
        <w:t xml:space="preserve">  </w:t>
      </w:r>
      <w:r w:rsidR="00C34BD2">
        <w:rPr>
          <w:szCs w:val="22"/>
        </w:rPr>
        <w:t>Under the Revised Framework, the number of applications for Priority Access</w:t>
      </w:r>
      <w:r w:rsidR="006223D1">
        <w:rPr>
          <w:szCs w:val="22"/>
        </w:rPr>
        <w:t xml:space="preserve"> rights</w:t>
      </w:r>
      <w:r w:rsidR="00C34BD2">
        <w:rPr>
          <w:szCs w:val="22"/>
        </w:rPr>
        <w:t xml:space="preserve"> could exceed the number of available </w:t>
      </w:r>
      <w:r w:rsidR="00865E83">
        <w:rPr>
          <w:szCs w:val="22"/>
        </w:rPr>
        <w:t>PAL</w:t>
      </w:r>
      <w:r w:rsidR="00F44690">
        <w:rPr>
          <w:szCs w:val="22"/>
        </w:rPr>
        <w:t>s</w:t>
      </w:r>
      <w:r w:rsidR="00C34BD2">
        <w:rPr>
          <w:szCs w:val="22"/>
        </w:rPr>
        <w:t xml:space="preserve"> in a given area or timeframe and, </w:t>
      </w:r>
      <w:r w:rsidR="006223D1">
        <w:rPr>
          <w:szCs w:val="22"/>
        </w:rPr>
        <w:t>in that event</w:t>
      </w:r>
      <w:r w:rsidR="00C34BD2">
        <w:rPr>
          <w:szCs w:val="22"/>
        </w:rPr>
        <w:t>, we w</w:t>
      </w:r>
      <w:r w:rsidR="006223D1">
        <w:rPr>
          <w:szCs w:val="22"/>
        </w:rPr>
        <w:t>ould</w:t>
      </w:r>
      <w:r w:rsidR="00C34BD2">
        <w:rPr>
          <w:szCs w:val="22"/>
        </w:rPr>
        <w:t xml:space="preserve"> need to provide for a means of resolving mutually exclusive applications.</w:t>
      </w:r>
      <w:r w:rsidR="00A62856" w:rsidRPr="00B6445F">
        <w:rPr>
          <w:szCs w:val="22"/>
        </w:rPr>
        <w:t xml:space="preserve">  Section 309(j) </w:t>
      </w:r>
      <w:r w:rsidR="00562D36">
        <w:rPr>
          <w:szCs w:val="22"/>
        </w:rPr>
        <w:t xml:space="preserve">of the Communications Act </w:t>
      </w:r>
      <w:r w:rsidR="00A741B8">
        <w:rPr>
          <w:szCs w:val="22"/>
        </w:rPr>
        <w:t xml:space="preserve">generally </w:t>
      </w:r>
      <w:r w:rsidR="00A62856" w:rsidRPr="00B6445F">
        <w:rPr>
          <w:szCs w:val="22"/>
        </w:rPr>
        <w:t>requires the Commission to resolve mutually exclusive applications via</w:t>
      </w:r>
      <w:r w:rsidR="00562D36">
        <w:rPr>
          <w:szCs w:val="22"/>
        </w:rPr>
        <w:t xml:space="preserve"> </w:t>
      </w:r>
      <w:r w:rsidR="00A62856" w:rsidRPr="00B6445F">
        <w:rPr>
          <w:szCs w:val="22"/>
        </w:rPr>
        <w:t>competitive bidding.</w:t>
      </w:r>
      <w:r w:rsidR="00A62856" w:rsidRPr="00B6445F">
        <w:rPr>
          <w:rStyle w:val="FootnoteReference"/>
          <w:szCs w:val="22"/>
        </w:rPr>
        <w:footnoteReference w:id="49"/>
      </w:r>
      <w:r w:rsidR="00FB70DF" w:rsidRPr="00B6445F">
        <w:rPr>
          <w:szCs w:val="22"/>
        </w:rPr>
        <w:t xml:space="preserve">  G</w:t>
      </w:r>
      <w:r w:rsidR="00355EB3" w:rsidRPr="00B6445F">
        <w:rPr>
          <w:szCs w:val="22"/>
        </w:rPr>
        <w:t xml:space="preserve">iven the </w:t>
      </w:r>
      <w:r w:rsidR="00FB70DF" w:rsidRPr="00B6445F">
        <w:rPr>
          <w:szCs w:val="22"/>
        </w:rPr>
        <w:t xml:space="preserve">unique nature of the </w:t>
      </w:r>
      <w:r w:rsidR="00865E83">
        <w:rPr>
          <w:szCs w:val="22"/>
        </w:rPr>
        <w:t>PAL</w:t>
      </w:r>
      <w:r w:rsidR="00FB70DF" w:rsidRPr="00B6445F">
        <w:rPr>
          <w:szCs w:val="22"/>
        </w:rPr>
        <w:t xml:space="preserve">-based licensing framework, </w:t>
      </w:r>
      <w:r w:rsidR="008E3D7F" w:rsidRPr="00B6445F">
        <w:rPr>
          <w:szCs w:val="22"/>
        </w:rPr>
        <w:t xml:space="preserve">we see </w:t>
      </w:r>
      <w:r w:rsidR="008E3D7F">
        <w:rPr>
          <w:szCs w:val="22"/>
        </w:rPr>
        <w:t>an opportunity with the 3.5 GHz Band to develop more</w:t>
      </w:r>
      <w:r w:rsidR="008E3D7F" w:rsidRPr="00B6445F">
        <w:rPr>
          <w:szCs w:val="22"/>
        </w:rPr>
        <w:t xml:space="preserve"> flexible</w:t>
      </w:r>
      <w:r w:rsidR="008E3D7F">
        <w:rPr>
          <w:szCs w:val="22"/>
        </w:rPr>
        <w:t xml:space="preserve"> and</w:t>
      </w:r>
      <w:r w:rsidR="008E3D7F" w:rsidRPr="00B6445F">
        <w:rPr>
          <w:szCs w:val="22"/>
        </w:rPr>
        <w:t xml:space="preserve"> dynamic </w:t>
      </w:r>
      <w:r w:rsidR="008E3D7F">
        <w:rPr>
          <w:szCs w:val="22"/>
        </w:rPr>
        <w:t>auction mechanisms</w:t>
      </w:r>
      <w:r w:rsidR="008E3D7F" w:rsidRPr="00B6445F">
        <w:rPr>
          <w:szCs w:val="22"/>
        </w:rPr>
        <w:t xml:space="preserve"> </w:t>
      </w:r>
      <w:r w:rsidR="008E3D7F">
        <w:rPr>
          <w:szCs w:val="22"/>
        </w:rPr>
        <w:t xml:space="preserve">than we have used thus far </w:t>
      </w:r>
      <w:r w:rsidR="008E3D7F" w:rsidRPr="00B6445F">
        <w:rPr>
          <w:szCs w:val="22"/>
        </w:rPr>
        <w:t>for assigning authorizations</w:t>
      </w:r>
      <w:r w:rsidR="008E3D7F">
        <w:rPr>
          <w:szCs w:val="22"/>
        </w:rPr>
        <w:t xml:space="preserve">, consistent with the requirements of Section 309(j).  </w:t>
      </w:r>
      <w:proofErr w:type="gramStart"/>
      <w:r w:rsidR="00A07C20">
        <w:rPr>
          <w:szCs w:val="22"/>
        </w:rPr>
        <w:t>Such dynamic, flexible auction mechanisms have been supported by several parties in the record</w:t>
      </w:r>
      <w:proofErr w:type="gramEnd"/>
      <w:r w:rsidR="00A07C20">
        <w:rPr>
          <w:szCs w:val="22"/>
        </w:rPr>
        <w:t>.</w:t>
      </w:r>
      <w:r w:rsidR="00A07C20">
        <w:rPr>
          <w:rStyle w:val="FootnoteReference"/>
          <w:szCs w:val="22"/>
        </w:rPr>
        <w:footnoteReference w:id="50"/>
      </w:r>
      <w:r w:rsidR="00FB70DF" w:rsidRPr="00B6445F">
        <w:rPr>
          <w:szCs w:val="22"/>
        </w:rPr>
        <w:t xml:space="preserve">  </w:t>
      </w:r>
      <w:r w:rsidR="00F7043A" w:rsidRPr="00B6445F">
        <w:rPr>
          <w:szCs w:val="22"/>
        </w:rPr>
        <w:t xml:space="preserve">Therefore, we seek comment on approaches to spectrum </w:t>
      </w:r>
      <w:r w:rsidR="000E75BE">
        <w:rPr>
          <w:szCs w:val="22"/>
        </w:rPr>
        <w:t>assignment</w:t>
      </w:r>
      <w:r w:rsidR="000E75BE" w:rsidRPr="00B6445F">
        <w:rPr>
          <w:szCs w:val="22"/>
        </w:rPr>
        <w:t xml:space="preserve"> </w:t>
      </w:r>
      <w:r w:rsidR="00FB70DF" w:rsidRPr="00B6445F">
        <w:rPr>
          <w:szCs w:val="22"/>
        </w:rPr>
        <w:t>and auction</w:t>
      </w:r>
      <w:r w:rsidR="00F7043A" w:rsidRPr="00B6445F">
        <w:rPr>
          <w:szCs w:val="22"/>
        </w:rPr>
        <w:t xml:space="preserve"> that could be used to productively manage </w:t>
      </w:r>
      <w:r w:rsidR="00682915">
        <w:rPr>
          <w:szCs w:val="22"/>
        </w:rPr>
        <w:t xml:space="preserve">use of </w:t>
      </w:r>
      <w:r w:rsidR="00FB70DF" w:rsidRPr="00B6445F">
        <w:rPr>
          <w:szCs w:val="22"/>
        </w:rPr>
        <w:t>the Priority Access tier</w:t>
      </w:r>
      <w:r w:rsidR="00B43D56" w:rsidRPr="00B6445F">
        <w:rPr>
          <w:szCs w:val="22"/>
        </w:rPr>
        <w:t xml:space="preserve"> while </w:t>
      </w:r>
      <w:r w:rsidR="00562D36">
        <w:rPr>
          <w:szCs w:val="22"/>
        </w:rPr>
        <w:t xml:space="preserve">allowing SAS authorized opportunistic use of the </w:t>
      </w:r>
      <w:r w:rsidR="00B43D56" w:rsidRPr="00B6445F">
        <w:rPr>
          <w:szCs w:val="22"/>
        </w:rPr>
        <w:t xml:space="preserve">GAA </w:t>
      </w:r>
      <w:r w:rsidR="00030698">
        <w:rPr>
          <w:szCs w:val="22"/>
        </w:rPr>
        <w:t>tier</w:t>
      </w:r>
      <w:r w:rsidR="00562D36">
        <w:rPr>
          <w:szCs w:val="22"/>
        </w:rPr>
        <w:t xml:space="preserve"> as described in the NPRM</w:t>
      </w:r>
      <w:r w:rsidR="00077CAB" w:rsidRPr="00B6445F">
        <w:rPr>
          <w:szCs w:val="22"/>
        </w:rPr>
        <w:t>.</w:t>
      </w:r>
      <w:r w:rsidR="00562D36">
        <w:rPr>
          <w:rStyle w:val="FootnoteReference"/>
          <w:szCs w:val="22"/>
        </w:rPr>
        <w:footnoteReference w:id="51"/>
      </w:r>
    </w:p>
    <w:p w:rsidR="00B55558" w:rsidRPr="00B6445F" w:rsidRDefault="00F7043A" w:rsidP="00257EBC">
      <w:pPr>
        <w:pStyle w:val="ParaNum"/>
        <w:widowControl/>
        <w:rPr>
          <w:szCs w:val="22"/>
        </w:rPr>
      </w:pPr>
      <w:r w:rsidRPr="00B6445F">
        <w:rPr>
          <w:szCs w:val="22"/>
        </w:rPr>
        <w:lastRenderedPageBreak/>
        <w:t xml:space="preserve">One </w:t>
      </w:r>
      <w:r w:rsidR="002653F9" w:rsidRPr="00B6445F">
        <w:rPr>
          <w:szCs w:val="22"/>
        </w:rPr>
        <w:t xml:space="preserve">authorization method that could serve the goals of this </w:t>
      </w:r>
      <w:r w:rsidR="0037434C">
        <w:rPr>
          <w:szCs w:val="22"/>
        </w:rPr>
        <w:t>Revised Framework</w:t>
      </w:r>
      <w:r w:rsidR="002653F9" w:rsidRPr="00B6445F">
        <w:rPr>
          <w:szCs w:val="22"/>
        </w:rPr>
        <w:t xml:space="preserve"> would</w:t>
      </w:r>
      <w:r w:rsidR="00FD2F61" w:rsidRPr="00B6445F">
        <w:rPr>
          <w:szCs w:val="22"/>
        </w:rPr>
        <w:t xml:space="preserve"> be a </w:t>
      </w:r>
      <w:r w:rsidR="008E3D7F">
        <w:rPr>
          <w:szCs w:val="22"/>
        </w:rPr>
        <w:t>combination</w:t>
      </w:r>
      <w:r w:rsidR="008E3D7F" w:rsidRPr="00B6445F">
        <w:rPr>
          <w:szCs w:val="22"/>
        </w:rPr>
        <w:t xml:space="preserve"> </w:t>
      </w:r>
      <w:r w:rsidR="00FD2F61" w:rsidRPr="00B6445F">
        <w:rPr>
          <w:szCs w:val="22"/>
        </w:rPr>
        <w:t xml:space="preserve">of the license-by-rule approach proposed in the NPRM and a </w:t>
      </w:r>
      <w:r w:rsidR="00701F87">
        <w:rPr>
          <w:szCs w:val="22"/>
        </w:rPr>
        <w:t xml:space="preserve">more </w:t>
      </w:r>
      <w:r w:rsidR="00FD2F61" w:rsidRPr="00B6445F">
        <w:rPr>
          <w:szCs w:val="22"/>
        </w:rPr>
        <w:t xml:space="preserve">traditional </w:t>
      </w:r>
      <w:r w:rsidR="00F97BC5">
        <w:rPr>
          <w:szCs w:val="22"/>
        </w:rPr>
        <w:t>auction</w:t>
      </w:r>
      <w:r w:rsidR="00701F87">
        <w:rPr>
          <w:szCs w:val="22"/>
        </w:rPr>
        <w:t xml:space="preserve"> process</w:t>
      </w:r>
      <w:r w:rsidR="00FD2F61" w:rsidRPr="00B6445F">
        <w:rPr>
          <w:szCs w:val="22"/>
        </w:rPr>
        <w:t xml:space="preserve">.  Under </w:t>
      </w:r>
      <w:r w:rsidR="002653F9" w:rsidRPr="00B6445F">
        <w:rPr>
          <w:szCs w:val="22"/>
        </w:rPr>
        <w:t>s</w:t>
      </w:r>
      <w:r w:rsidR="00FD2F61" w:rsidRPr="00B6445F">
        <w:rPr>
          <w:szCs w:val="22"/>
        </w:rPr>
        <w:t xml:space="preserve">uch </w:t>
      </w:r>
      <w:r w:rsidR="002653F9" w:rsidRPr="00B6445F">
        <w:rPr>
          <w:szCs w:val="22"/>
        </w:rPr>
        <w:t xml:space="preserve">an </w:t>
      </w:r>
      <w:r w:rsidR="00FD2F61" w:rsidRPr="00B6445F">
        <w:rPr>
          <w:szCs w:val="22"/>
        </w:rPr>
        <w:t>approach, GAA users would be licensed by rule under Part 95, requiring registration with the SAS for operation as set forth in the NPRM.</w:t>
      </w:r>
      <w:r w:rsidR="00D028BD" w:rsidRPr="00B6445F">
        <w:rPr>
          <w:rStyle w:val="FootnoteReference"/>
          <w:szCs w:val="22"/>
        </w:rPr>
        <w:footnoteReference w:id="52"/>
      </w:r>
      <w:r w:rsidR="00FD2F61" w:rsidRPr="00B6445F">
        <w:rPr>
          <w:szCs w:val="22"/>
        </w:rPr>
        <w:t xml:space="preserve">  Separate licenses would not be required for</w:t>
      </w:r>
      <w:r w:rsidR="002653F9" w:rsidRPr="00B6445F">
        <w:rPr>
          <w:szCs w:val="22"/>
        </w:rPr>
        <w:t xml:space="preserve"> individual</w:t>
      </w:r>
      <w:r w:rsidR="00FD2F61" w:rsidRPr="00B6445F">
        <w:rPr>
          <w:szCs w:val="22"/>
        </w:rPr>
        <w:t xml:space="preserve"> GAA users.  For Priority Access users, the Commission would</w:t>
      </w:r>
      <w:r w:rsidR="00E16E23">
        <w:rPr>
          <w:szCs w:val="22"/>
        </w:rPr>
        <w:t xml:space="preserve"> not license use by rule. Instead</w:t>
      </w:r>
      <w:r w:rsidR="006833E5">
        <w:rPr>
          <w:szCs w:val="22"/>
        </w:rPr>
        <w:t>, on a regular basis (</w:t>
      </w:r>
      <w:r w:rsidR="00E043BD">
        <w:rPr>
          <w:szCs w:val="22"/>
        </w:rPr>
        <w:t>perhaps</w:t>
      </w:r>
      <w:r w:rsidR="006833E5">
        <w:rPr>
          <w:szCs w:val="22"/>
        </w:rPr>
        <w:t xml:space="preserve"> annually),</w:t>
      </w:r>
      <w:r w:rsidR="00FD2F61" w:rsidRPr="00B6445F">
        <w:rPr>
          <w:szCs w:val="22"/>
        </w:rPr>
        <w:t xml:space="preserve"> </w:t>
      </w:r>
      <w:r w:rsidR="00E16E23">
        <w:rPr>
          <w:szCs w:val="22"/>
        </w:rPr>
        <w:t xml:space="preserve">the Commission would </w:t>
      </w:r>
      <w:r w:rsidR="006833E5">
        <w:rPr>
          <w:szCs w:val="22"/>
        </w:rPr>
        <w:t xml:space="preserve">open windows for </w:t>
      </w:r>
      <w:r w:rsidR="0027585E">
        <w:rPr>
          <w:szCs w:val="22"/>
        </w:rPr>
        <w:t xml:space="preserve">applications for available </w:t>
      </w:r>
      <w:r w:rsidR="00865E83">
        <w:rPr>
          <w:szCs w:val="22"/>
        </w:rPr>
        <w:t>PAL</w:t>
      </w:r>
      <w:r w:rsidR="0027585E">
        <w:rPr>
          <w:szCs w:val="22"/>
        </w:rPr>
        <w:t>s</w:t>
      </w:r>
      <w:r w:rsidR="00803780" w:rsidRPr="00B6445F">
        <w:rPr>
          <w:szCs w:val="22"/>
        </w:rPr>
        <w:t xml:space="preserve">. </w:t>
      </w:r>
      <w:r w:rsidR="001718E9">
        <w:rPr>
          <w:szCs w:val="22"/>
        </w:rPr>
        <w:t xml:space="preserve"> </w:t>
      </w:r>
      <w:r w:rsidR="00C43060">
        <w:rPr>
          <w:szCs w:val="22"/>
        </w:rPr>
        <w:t>To accommodate the ability of licensees to aggregate consecutive one-year terms,</w:t>
      </w:r>
      <w:r w:rsidR="00E2741A">
        <w:rPr>
          <w:szCs w:val="22"/>
        </w:rPr>
        <w:t xml:space="preserve"> the Commission </w:t>
      </w:r>
      <w:r w:rsidR="00E043BD">
        <w:rPr>
          <w:szCs w:val="22"/>
        </w:rPr>
        <w:t xml:space="preserve">could </w:t>
      </w:r>
      <w:r w:rsidR="00E2741A">
        <w:rPr>
          <w:szCs w:val="22"/>
        </w:rPr>
        <w:t xml:space="preserve">offer multiple consecutive years of </w:t>
      </w:r>
      <w:r w:rsidR="00865E83">
        <w:rPr>
          <w:szCs w:val="22"/>
        </w:rPr>
        <w:t>PAL</w:t>
      </w:r>
      <w:r w:rsidR="00E2741A">
        <w:rPr>
          <w:szCs w:val="22"/>
        </w:rPr>
        <w:t xml:space="preserve"> rights </w:t>
      </w:r>
      <w:r w:rsidR="00E043BD">
        <w:rPr>
          <w:szCs w:val="22"/>
        </w:rPr>
        <w:t>simultaneously</w:t>
      </w:r>
      <w:r w:rsidR="00E2741A">
        <w:rPr>
          <w:szCs w:val="22"/>
        </w:rPr>
        <w:t>.</w:t>
      </w:r>
      <w:r w:rsidR="00803780" w:rsidRPr="00B6445F">
        <w:rPr>
          <w:szCs w:val="22"/>
        </w:rPr>
        <w:t xml:space="preserve"> </w:t>
      </w:r>
      <w:r w:rsidR="00C34BD2">
        <w:rPr>
          <w:szCs w:val="22"/>
        </w:rPr>
        <w:t xml:space="preserve"> </w:t>
      </w:r>
      <w:r w:rsidR="00B068F0">
        <w:rPr>
          <w:szCs w:val="22"/>
        </w:rPr>
        <w:t xml:space="preserve">At the close of </w:t>
      </w:r>
      <w:r w:rsidR="00E043BD">
        <w:rPr>
          <w:szCs w:val="22"/>
        </w:rPr>
        <w:t>such a</w:t>
      </w:r>
      <w:r w:rsidR="00B068F0">
        <w:rPr>
          <w:szCs w:val="22"/>
        </w:rPr>
        <w:t xml:space="preserve"> </w:t>
      </w:r>
      <w:r w:rsidR="00E043BD">
        <w:rPr>
          <w:szCs w:val="22"/>
        </w:rPr>
        <w:t>“</w:t>
      </w:r>
      <w:r w:rsidR="00B068F0">
        <w:rPr>
          <w:szCs w:val="22"/>
        </w:rPr>
        <w:t>window,</w:t>
      </w:r>
      <w:r w:rsidR="00E043BD">
        <w:rPr>
          <w:szCs w:val="22"/>
        </w:rPr>
        <w:t>”</w:t>
      </w:r>
      <w:r w:rsidR="00B068F0">
        <w:rPr>
          <w:szCs w:val="22"/>
        </w:rPr>
        <w:t xml:space="preserve"> </w:t>
      </w:r>
      <w:r w:rsidR="00A70A33" w:rsidRPr="00B6445F">
        <w:rPr>
          <w:szCs w:val="22"/>
        </w:rPr>
        <w:t>the Commission would</w:t>
      </w:r>
      <w:r w:rsidR="00803780" w:rsidRPr="00B6445F">
        <w:rPr>
          <w:szCs w:val="22"/>
        </w:rPr>
        <w:t xml:space="preserve"> hold an auction to </w:t>
      </w:r>
      <w:r w:rsidR="00B068F0">
        <w:rPr>
          <w:szCs w:val="22"/>
        </w:rPr>
        <w:t xml:space="preserve">assign </w:t>
      </w:r>
      <w:r w:rsidR="00865E83">
        <w:rPr>
          <w:szCs w:val="22"/>
        </w:rPr>
        <w:t>PAL</w:t>
      </w:r>
      <w:r w:rsidR="00B068F0">
        <w:rPr>
          <w:szCs w:val="22"/>
        </w:rPr>
        <w:t>s where there are mutually exclusive applications</w:t>
      </w:r>
      <w:r w:rsidR="00E043BD">
        <w:rPr>
          <w:szCs w:val="22"/>
        </w:rPr>
        <w:t xml:space="preserve"> pending</w:t>
      </w:r>
      <w:r w:rsidR="00803780" w:rsidRPr="00B6445F">
        <w:rPr>
          <w:szCs w:val="22"/>
        </w:rPr>
        <w:t>.</w:t>
      </w:r>
      <w:r w:rsidR="00C34BD2">
        <w:rPr>
          <w:szCs w:val="22"/>
        </w:rPr>
        <w:t xml:space="preserve">  Mutual exclusivity would be triggered when more applications are submitted than can be accommodated geographically, temporally, or spectrally.</w:t>
      </w:r>
    </w:p>
    <w:p w:rsidR="00B55558" w:rsidRPr="00B6445F" w:rsidRDefault="00E043BD" w:rsidP="00257EBC">
      <w:pPr>
        <w:pStyle w:val="ParaNum"/>
        <w:widowControl/>
        <w:rPr>
          <w:szCs w:val="22"/>
        </w:rPr>
      </w:pPr>
      <w:r>
        <w:rPr>
          <w:szCs w:val="22"/>
        </w:rPr>
        <w:t xml:space="preserve">We expect that </w:t>
      </w:r>
      <w:r w:rsidR="00803780" w:rsidRPr="00B6445F">
        <w:rPr>
          <w:szCs w:val="22"/>
        </w:rPr>
        <w:t xml:space="preserve">Priority Access </w:t>
      </w:r>
      <w:r w:rsidR="00ED4C36">
        <w:rPr>
          <w:szCs w:val="22"/>
        </w:rPr>
        <w:t xml:space="preserve">authorizations would be issued </w:t>
      </w:r>
      <w:r w:rsidR="00DB7AAE" w:rsidRPr="00B6445F">
        <w:rPr>
          <w:szCs w:val="22"/>
        </w:rPr>
        <w:t xml:space="preserve">on </w:t>
      </w:r>
      <w:r w:rsidR="00A92637" w:rsidRPr="00B6445F">
        <w:rPr>
          <w:szCs w:val="22"/>
        </w:rPr>
        <w:t>a</w:t>
      </w:r>
      <w:r w:rsidR="00DB7AAE" w:rsidRPr="00B6445F">
        <w:rPr>
          <w:szCs w:val="22"/>
        </w:rPr>
        <w:t xml:space="preserve"> </w:t>
      </w:r>
      <w:r w:rsidR="00865E83">
        <w:rPr>
          <w:szCs w:val="22"/>
        </w:rPr>
        <w:t>PAL</w:t>
      </w:r>
      <w:r w:rsidR="00DB7AAE" w:rsidRPr="00B6445F">
        <w:rPr>
          <w:szCs w:val="22"/>
        </w:rPr>
        <w:t xml:space="preserve"> basis, as defined above.  </w:t>
      </w:r>
      <w:r w:rsidR="00A70A33" w:rsidRPr="00B6445F">
        <w:rPr>
          <w:szCs w:val="22"/>
        </w:rPr>
        <w:t xml:space="preserve">Licensees would have </w:t>
      </w:r>
      <w:r w:rsidR="00DB7AAE" w:rsidRPr="00B6445F">
        <w:rPr>
          <w:szCs w:val="22"/>
        </w:rPr>
        <w:t>no renewal expectancy</w:t>
      </w:r>
      <w:r w:rsidR="0037693B">
        <w:rPr>
          <w:szCs w:val="22"/>
        </w:rPr>
        <w:t>, would automatically terminate at the end of their one-year terms</w:t>
      </w:r>
      <w:r w:rsidR="00DB7AAE" w:rsidRPr="00B6445F">
        <w:rPr>
          <w:szCs w:val="22"/>
        </w:rPr>
        <w:t xml:space="preserve"> and</w:t>
      </w:r>
      <w:r w:rsidR="0037693B">
        <w:rPr>
          <w:szCs w:val="22"/>
        </w:rPr>
        <w:t xml:space="preserve"> </w:t>
      </w:r>
      <w:r w:rsidR="00DB7AAE" w:rsidRPr="00B6445F">
        <w:rPr>
          <w:szCs w:val="22"/>
        </w:rPr>
        <w:t>would</w:t>
      </w:r>
      <w:r w:rsidR="0037693B">
        <w:rPr>
          <w:szCs w:val="22"/>
        </w:rPr>
        <w:t xml:space="preserve"> </w:t>
      </w:r>
      <w:r w:rsidR="00DB7AAE" w:rsidRPr="00B6445F">
        <w:rPr>
          <w:szCs w:val="22"/>
        </w:rPr>
        <w:t>be non-renewable.</w:t>
      </w:r>
      <w:r w:rsidR="00CE2EE4">
        <w:rPr>
          <w:rStyle w:val="FootnoteReference"/>
          <w:szCs w:val="22"/>
        </w:rPr>
        <w:footnoteReference w:id="53"/>
      </w:r>
      <w:r w:rsidR="00DB7AAE" w:rsidRPr="00B6445F">
        <w:rPr>
          <w:szCs w:val="22"/>
        </w:rPr>
        <w:t xml:space="preserve">  We do not anticipate </w:t>
      </w:r>
      <w:r>
        <w:rPr>
          <w:szCs w:val="22"/>
        </w:rPr>
        <w:t>adopting</w:t>
      </w:r>
      <w:r w:rsidRPr="00B6445F">
        <w:rPr>
          <w:szCs w:val="22"/>
        </w:rPr>
        <w:t xml:space="preserve"> </w:t>
      </w:r>
      <w:r w:rsidR="00DB7AAE" w:rsidRPr="00B6445F">
        <w:rPr>
          <w:szCs w:val="22"/>
        </w:rPr>
        <w:t>construction or service requirements</w:t>
      </w:r>
      <w:r>
        <w:rPr>
          <w:szCs w:val="22"/>
        </w:rPr>
        <w:t xml:space="preserve"> for</w:t>
      </w:r>
      <w:r w:rsidR="00DB7AAE" w:rsidRPr="00B6445F">
        <w:rPr>
          <w:szCs w:val="22"/>
        </w:rPr>
        <w:t xml:space="preserve"> Priority Access licensees due to the impracticability of enf</w:t>
      </w:r>
      <w:r w:rsidR="00B43D56" w:rsidRPr="00B6445F">
        <w:rPr>
          <w:szCs w:val="22"/>
        </w:rPr>
        <w:t>orcing such requirements across 74,000 or more</w:t>
      </w:r>
      <w:r w:rsidR="00DB7AAE" w:rsidRPr="00B6445F">
        <w:rPr>
          <w:szCs w:val="22"/>
        </w:rPr>
        <w:t xml:space="preserve"> license areas</w:t>
      </w:r>
      <w:r w:rsidR="00B43D56" w:rsidRPr="00B6445F">
        <w:rPr>
          <w:szCs w:val="22"/>
        </w:rPr>
        <w:t xml:space="preserve"> with, potentially, multiple licensees in each area</w:t>
      </w:r>
      <w:r>
        <w:rPr>
          <w:szCs w:val="22"/>
        </w:rPr>
        <w:t xml:space="preserve"> if we base </w:t>
      </w:r>
      <w:r w:rsidR="00865E83">
        <w:rPr>
          <w:szCs w:val="22"/>
        </w:rPr>
        <w:t>PAL</w:t>
      </w:r>
      <w:r>
        <w:rPr>
          <w:szCs w:val="22"/>
        </w:rPr>
        <w:t>s on census tracts</w:t>
      </w:r>
      <w:r w:rsidR="00DB7AAE" w:rsidRPr="00B6445F">
        <w:rPr>
          <w:szCs w:val="22"/>
        </w:rPr>
        <w:t xml:space="preserve">.  However, to encourage deployment and long term network planning, we anticipate allowing potential licensees to bid for multiple </w:t>
      </w:r>
      <w:r w:rsidR="00A741B8">
        <w:rPr>
          <w:szCs w:val="22"/>
        </w:rPr>
        <w:t xml:space="preserve">consecutive </w:t>
      </w:r>
      <w:r w:rsidR="00DB7AAE" w:rsidRPr="00B6445F">
        <w:rPr>
          <w:szCs w:val="22"/>
        </w:rPr>
        <w:t xml:space="preserve">years of </w:t>
      </w:r>
      <w:r w:rsidR="00865E83">
        <w:rPr>
          <w:szCs w:val="22"/>
        </w:rPr>
        <w:t>PAL</w:t>
      </w:r>
      <w:r w:rsidR="00B3433A">
        <w:rPr>
          <w:szCs w:val="22"/>
        </w:rPr>
        <w:t xml:space="preserve"> rights</w:t>
      </w:r>
      <w:r w:rsidR="00DB7AAE" w:rsidRPr="00B6445F">
        <w:rPr>
          <w:szCs w:val="22"/>
        </w:rPr>
        <w:t xml:space="preserve"> in a given geographic area at a single auction</w:t>
      </w:r>
      <w:r w:rsidR="0037693B">
        <w:rPr>
          <w:szCs w:val="22"/>
        </w:rPr>
        <w:t>, up to a predetermined cap</w:t>
      </w:r>
      <w:r w:rsidR="00DB7AAE" w:rsidRPr="00B6445F">
        <w:rPr>
          <w:szCs w:val="22"/>
        </w:rPr>
        <w:t xml:space="preserve">.  Payment for each </w:t>
      </w:r>
      <w:r w:rsidR="00A741B8">
        <w:rPr>
          <w:szCs w:val="22"/>
        </w:rPr>
        <w:t xml:space="preserve">consecutive </w:t>
      </w:r>
      <w:r w:rsidR="00865E83">
        <w:rPr>
          <w:szCs w:val="22"/>
        </w:rPr>
        <w:t>PAL</w:t>
      </w:r>
      <w:r w:rsidR="00C43060">
        <w:rPr>
          <w:szCs w:val="22"/>
        </w:rPr>
        <w:t xml:space="preserve"> c</w:t>
      </w:r>
      <w:r w:rsidR="00DB7AAE" w:rsidRPr="00B6445F">
        <w:rPr>
          <w:szCs w:val="22"/>
        </w:rPr>
        <w:t xml:space="preserve">ould be due </w:t>
      </w:r>
      <w:r w:rsidR="005977D7">
        <w:rPr>
          <w:szCs w:val="22"/>
        </w:rPr>
        <w:t xml:space="preserve">annually prior to the license start date </w:t>
      </w:r>
      <w:r w:rsidR="00DB7AAE" w:rsidRPr="00B6445F">
        <w:rPr>
          <w:szCs w:val="22"/>
        </w:rPr>
        <w:t>and</w:t>
      </w:r>
      <w:r w:rsidR="00A741B8">
        <w:rPr>
          <w:szCs w:val="22"/>
        </w:rPr>
        <w:t xml:space="preserve"> a</w:t>
      </w:r>
      <w:r w:rsidR="00DB7AAE" w:rsidRPr="00B6445F">
        <w:rPr>
          <w:szCs w:val="22"/>
        </w:rPr>
        <w:t xml:space="preserve"> license would terminate automatically if the payment </w:t>
      </w:r>
      <w:proofErr w:type="gramStart"/>
      <w:r w:rsidR="00DB7AAE" w:rsidRPr="00B6445F">
        <w:rPr>
          <w:szCs w:val="22"/>
        </w:rPr>
        <w:t>is</w:t>
      </w:r>
      <w:proofErr w:type="gramEnd"/>
      <w:r w:rsidR="00DB7AAE" w:rsidRPr="00B6445F">
        <w:rPr>
          <w:szCs w:val="22"/>
        </w:rPr>
        <w:t xml:space="preserve"> not made.</w:t>
      </w:r>
      <w:r w:rsidR="00873AD9" w:rsidRPr="00B6445F">
        <w:rPr>
          <w:szCs w:val="22"/>
        </w:rPr>
        <w:t xml:space="preserve"> </w:t>
      </w:r>
      <w:r w:rsidR="00A741B8">
        <w:rPr>
          <w:szCs w:val="22"/>
        </w:rPr>
        <w:t xml:space="preserve"> </w:t>
      </w:r>
      <w:r w:rsidR="00C43060">
        <w:rPr>
          <w:szCs w:val="22"/>
        </w:rPr>
        <w:t xml:space="preserve">Additionally, licensees may be permitted to trade future </w:t>
      </w:r>
      <w:r w:rsidR="00865E83">
        <w:rPr>
          <w:szCs w:val="22"/>
        </w:rPr>
        <w:t>PAL</w:t>
      </w:r>
      <w:r w:rsidR="00C43060">
        <w:rPr>
          <w:szCs w:val="22"/>
        </w:rPr>
        <w:t xml:space="preserve"> rights via secondary market transactions. </w:t>
      </w:r>
      <w:r w:rsidR="001718E9">
        <w:rPr>
          <w:szCs w:val="22"/>
        </w:rPr>
        <w:t xml:space="preserve"> </w:t>
      </w:r>
      <w:r w:rsidR="0027585E">
        <w:rPr>
          <w:szCs w:val="22"/>
        </w:rPr>
        <w:t>As noted below</w:t>
      </w:r>
      <w:r w:rsidR="00DB7AAE" w:rsidRPr="00B6445F">
        <w:rPr>
          <w:szCs w:val="22"/>
        </w:rPr>
        <w:t>, we anticipate that annual auctions, combin</w:t>
      </w:r>
      <w:r w:rsidR="00873AD9" w:rsidRPr="00B6445F">
        <w:rPr>
          <w:szCs w:val="22"/>
        </w:rPr>
        <w:t xml:space="preserve">ed with </w:t>
      </w:r>
      <w:proofErr w:type="spellStart"/>
      <w:r w:rsidR="00873AD9" w:rsidRPr="00B6445F">
        <w:rPr>
          <w:szCs w:val="22"/>
        </w:rPr>
        <w:t>microtargeted</w:t>
      </w:r>
      <w:proofErr w:type="spellEnd"/>
      <w:r w:rsidR="00873AD9" w:rsidRPr="00B6445F">
        <w:rPr>
          <w:szCs w:val="22"/>
        </w:rPr>
        <w:t xml:space="preserve"> licensing</w:t>
      </w:r>
      <w:r w:rsidR="00DB7AAE" w:rsidRPr="00B6445F">
        <w:rPr>
          <w:szCs w:val="22"/>
        </w:rPr>
        <w:t xml:space="preserve"> and </w:t>
      </w:r>
      <w:r w:rsidR="005977D7">
        <w:rPr>
          <w:szCs w:val="22"/>
        </w:rPr>
        <w:t xml:space="preserve">annual </w:t>
      </w:r>
      <w:r w:rsidR="00DB7AAE" w:rsidRPr="00B6445F">
        <w:rPr>
          <w:szCs w:val="22"/>
        </w:rPr>
        <w:t>pre-payment requirements w</w:t>
      </w:r>
      <w:r w:rsidR="005977D7">
        <w:rPr>
          <w:szCs w:val="22"/>
        </w:rPr>
        <w:t>ould</w:t>
      </w:r>
      <w:r w:rsidR="00DB7AAE" w:rsidRPr="00B6445F">
        <w:rPr>
          <w:szCs w:val="22"/>
        </w:rPr>
        <w:t xml:space="preserve"> sufficiently incentivize construction of network facilities and </w:t>
      </w:r>
      <w:r w:rsidR="005977D7">
        <w:rPr>
          <w:szCs w:val="22"/>
        </w:rPr>
        <w:t xml:space="preserve">intensive </w:t>
      </w:r>
      <w:r w:rsidR="00A741B8">
        <w:rPr>
          <w:szCs w:val="22"/>
        </w:rPr>
        <w:t xml:space="preserve">spectrum </w:t>
      </w:r>
      <w:r w:rsidR="00DB7AAE" w:rsidRPr="00B6445F">
        <w:rPr>
          <w:szCs w:val="22"/>
        </w:rPr>
        <w:t>use</w:t>
      </w:r>
      <w:r w:rsidR="00A741B8">
        <w:rPr>
          <w:szCs w:val="22"/>
        </w:rPr>
        <w:t xml:space="preserve"> </w:t>
      </w:r>
      <w:r w:rsidR="001071A6">
        <w:rPr>
          <w:szCs w:val="22"/>
        </w:rPr>
        <w:t>for a diverse range of uses</w:t>
      </w:r>
      <w:r w:rsidR="005977D7">
        <w:rPr>
          <w:szCs w:val="22"/>
        </w:rPr>
        <w:t xml:space="preserve"> in the public interest</w:t>
      </w:r>
      <w:r w:rsidR="00DB7AAE" w:rsidRPr="00B6445F">
        <w:rPr>
          <w:szCs w:val="22"/>
        </w:rPr>
        <w:t xml:space="preserve"> while discouraging warehousing.</w:t>
      </w:r>
    </w:p>
    <w:p w:rsidR="0027585E" w:rsidRPr="00B6445F" w:rsidRDefault="00DB7AAE" w:rsidP="00257EBC">
      <w:pPr>
        <w:pStyle w:val="ParaNum"/>
        <w:widowControl/>
        <w:rPr>
          <w:szCs w:val="22"/>
        </w:rPr>
      </w:pPr>
      <w:r w:rsidRPr="00B6445F">
        <w:rPr>
          <w:szCs w:val="22"/>
        </w:rPr>
        <w:t xml:space="preserve">We anticipate that this </w:t>
      </w:r>
      <w:r w:rsidR="005977D7">
        <w:rPr>
          <w:szCs w:val="22"/>
        </w:rPr>
        <w:t xml:space="preserve">spectrum assignment </w:t>
      </w:r>
      <w:r w:rsidRPr="00B6445F">
        <w:rPr>
          <w:szCs w:val="22"/>
        </w:rPr>
        <w:t>process would r</w:t>
      </w:r>
      <w:r w:rsidR="00873AD9" w:rsidRPr="00B6445F">
        <w:rPr>
          <w:szCs w:val="22"/>
        </w:rPr>
        <w:t>equire a</w:t>
      </w:r>
      <w:r w:rsidR="00A70A33" w:rsidRPr="00B6445F">
        <w:rPr>
          <w:szCs w:val="22"/>
        </w:rPr>
        <w:t xml:space="preserve"> greater degree </w:t>
      </w:r>
      <w:r w:rsidR="00873AD9" w:rsidRPr="00B6445F">
        <w:rPr>
          <w:szCs w:val="22"/>
        </w:rPr>
        <w:t>of automation</w:t>
      </w:r>
      <w:r w:rsidRPr="00B6445F">
        <w:rPr>
          <w:szCs w:val="22"/>
        </w:rPr>
        <w:t xml:space="preserve"> </w:t>
      </w:r>
      <w:r w:rsidR="00873AD9" w:rsidRPr="00B6445F">
        <w:rPr>
          <w:szCs w:val="22"/>
        </w:rPr>
        <w:t xml:space="preserve">and, potentially, </w:t>
      </w:r>
      <w:r w:rsidR="00ED4C36">
        <w:rPr>
          <w:szCs w:val="22"/>
        </w:rPr>
        <w:t xml:space="preserve">more </w:t>
      </w:r>
      <w:r w:rsidR="00873AD9" w:rsidRPr="00B6445F">
        <w:rPr>
          <w:szCs w:val="22"/>
        </w:rPr>
        <w:t>third</w:t>
      </w:r>
      <w:r w:rsidR="0087296B">
        <w:rPr>
          <w:szCs w:val="22"/>
        </w:rPr>
        <w:t>-</w:t>
      </w:r>
      <w:r w:rsidR="00873AD9" w:rsidRPr="00B6445F">
        <w:rPr>
          <w:szCs w:val="22"/>
        </w:rPr>
        <w:t xml:space="preserve">party participation than the Commission has employed in past auctions.  </w:t>
      </w:r>
      <w:r w:rsidR="0027585E">
        <w:rPr>
          <w:szCs w:val="22"/>
        </w:rPr>
        <w:t xml:space="preserve">Given the </w:t>
      </w:r>
      <w:r w:rsidR="00873AD9" w:rsidRPr="00B6445F">
        <w:rPr>
          <w:szCs w:val="22"/>
        </w:rPr>
        <w:t>large n</w:t>
      </w:r>
      <w:r w:rsidR="00D81E92">
        <w:rPr>
          <w:szCs w:val="22"/>
        </w:rPr>
        <w:t>umber of license areas and relatively short</w:t>
      </w:r>
      <w:r w:rsidR="00873AD9" w:rsidRPr="00B6445F">
        <w:rPr>
          <w:szCs w:val="22"/>
        </w:rPr>
        <w:t xml:space="preserve"> license</w:t>
      </w:r>
      <w:r w:rsidR="005977D7">
        <w:rPr>
          <w:szCs w:val="22"/>
        </w:rPr>
        <w:t xml:space="preserve"> terms</w:t>
      </w:r>
      <w:r w:rsidR="0027585E">
        <w:rPr>
          <w:szCs w:val="22"/>
        </w:rPr>
        <w:t xml:space="preserve"> envisioned in the Revised Framework,</w:t>
      </w:r>
      <w:r w:rsidR="00873AD9" w:rsidRPr="00B6445F">
        <w:rPr>
          <w:szCs w:val="22"/>
        </w:rPr>
        <w:t xml:space="preserve"> </w:t>
      </w:r>
      <w:r w:rsidR="00BC643F">
        <w:rPr>
          <w:szCs w:val="22"/>
        </w:rPr>
        <w:t>more flexible and</w:t>
      </w:r>
      <w:r w:rsidR="00AB6441">
        <w:rPr>
          <w:szCs w:val="22"/>
        </w:rPr>
        <w:t xml:space="preserve"> dynamic</w:t>
      </w:r>
      <w:r w:rsidR="001071A6">
        <w:rPr>
          <w:szCs w:val="22"/>
        </w:rPr>
        <w:t xml:space="preserve"> auction mechanisms</w:t>
      </w:r>
      <w:r w:rsidR="0027585E">
        <w:rPr>
          <w:szCs w:val="22"/>
        </w:rPr>
        <w:t xml:space="preserve"> may be required to effectively manage use of the Priority Access tier</w:t>
      </w:r>
      <w:r w:rsidR="00AB6441">
        <w:rPr>
          <w:szCs w:val="22"/>
        </w:rPr>
        <w:t xml:space="preserve">.  </w:t>
      </w:r>
      <w:r w:rsidR="0087296B">
        <w:rPr>
          <w:szCs w:val="22"/>
        </w:rPr>
        <w:t xml:space="preserve">We also </w:t>
      </w:r>
      <w:r w:rsidR="005977D7">
        <w:rPr>
          <w:szCs w:val="22"/>
        </w:rPr>
        <w:t>fore</w:t>
      </w:r>
      <w:r w:rsidR="0087296B">
        <w:rPr>
          <w:szCs w:val="22"/>
        </w:rPr>
        <w:t xml:space="preserve">see an opportunity for </w:t>
      </w:r>
      <w:proofErr w:type="gramStart"/>
      <w:r w:rsidR="0087296B">
        <w:rPr>
          <w:szCs w:val="22"/>
        </w:rPr>
        <w:t>third-parties</w:t>
      </w:r>
      <w:proofErr w:type="gramEnd"/>
      <w:r w:rsidR="0087296B">
        <w:rPr>
          <w:szCs w:val="22"/>
        </w:rPr>
        <w:t xml:space="preserve"> to add value to the auction process by developing tools to help bidders manage their inventory of </w:t>
      </w:r>
      <w:r w:rsidR="00865E83">
        <w:rPr>
          <w:szCs w:val="22"/>
        </w:rPr>
        <w:t>PAL</w:t>
      </w:r>
      <w:r w:rsidR="0087296B">
        <w:rPr>
          <w:szCs w:val="22"/>
        </w:rPr>
        <w:t>s and structure bids in regular</w:t>
      </w:r>
      <w:r w:rsidR="005977D7">
        <w:rPr>
          <w:szCs w:val="22"/>
        </w:rPr>
        <w:t xml:space="preserve"> </w:t>
      </w:r>
      <w:r w:rsidR="0087296B">
        <w:rPr>
          <w:szCs w:val="22"/>
        </w:rPr>
        <w:t xml:space="preserve">auctions. </w:t>
      </w:r>
      <w:r w:rsidR="001718E9">
        <w:rPr>
          <w:szCs w:val="22"/>
        </w:rPr>
        <w:t xml:space="preserve"> </w:t>
      </w:r>
      <w:r w:rsidR="00A70A33" w:rsidRPr="00B6445F">
        <w:rPr>
          <w:szCs w:val="22"/>
        </w:rPr>
        <w:t>We seek comment on the degree to which such an auction could be automated</w:t>
      </w:r>
      <w:r w:rsidR="00ED4C36">
        <w:rPr>
          <w:szCs w:val="22"/>
        </w:rPr>
        <w:t xml:space="preserve"> and</w:t>
      </w:r>
      <w:r w:rsidR="00A70A33" w:rsidRPr="00B6445F">
        <w:rPr>
          <w:szCs w:val="22"/>
        </w:rPr>
        <w:t xml:space="preserve"> </w:t>
      </w:r>
      <w:r w:rsidR="005977D7">
        <w:rPr>
          <w:szCs w:val="22"/>
        </w:rPr>
        <w:t>administered by</w:t>
      </w:r>
      <w:r w:rsidR="00A70A33" w:rsidRPr="00B6445F">
        <w:rPr>
          <w:szCs w:val="22"/>
        </w:rPr>
        <w:t xml:space="preserve"> a third party.  </w:t>
      </w:r>
      <w:r w:rsidR="00A067CF">
        <w:rPr>
          <w:szCs w:val="22"/>
        </w:rPr>
        <w:t>What kind of auction format would be most appropriate</w:t>
      </w:r>
      <w:r w:rsidR="00BD7D29" w:rsidRPr="00B6445F">
        <w:rPr>
          <w:szCs w:val="22"/>
        </w:rPr>
        <w:t>?</w:t>
      </w:r>
      <w:r w:rsidR="00E604B9">
        <w:rPr>
          <w:szCs w:val="22"/>
        </w:rPr>
        <w:t xml:space="preserve"> Should SAS managers be permitted to administer auction process as well or should these functions be kept separate?</w:t>
      </w:r>
      <w:r w:rsidR="00BD7D29" w:rsidRPr="00B6445F">
        <w:rPr>
          <w:szCs w:val="22"/>
        </w:rPr>
        <w:t xml:space="preserve">  What level of automation would be required to process the volume of applications and bids that such an auction would entail?  To what degree could the Commission assign the responsibility for administering this type of auction to a qualified third party and, if it did so, what safeguards would be required to ensure the integrity of the auction process?</w:t>
      </w:r>
      <w:r w:rsidR="0027585E" w:rsidRPr="0027585E">
        <w:rPr>
          <w:szCs w:val="22"/>
        </w:rPr>
        <w:t xml:space="preserve"> </w:t>
      </w:r>
      <w:r w:rsidR="008E7A28">
        <w:rPr>
          <w:szCs w:val="22"/>
        </w:rPr>
        <w:t xml:space="preserve"> </w:t>
      </w:r>
      <w:r w:rsidR="0027585E">
        <w:rPr>
          <w:szCs w:val="22"/>
        </w:rPr>
        <w:t>What lessons can be drawn from prior Commission reliance on third-parties in auction or other contexts, including selection criteria for and supervision of such third parties?</w:t>
      </w:r>
      <w:r w:rsidR="0027585E">
        <w:rPr>
          <w:rStyle w:val="FootnoteReference"/>
          <w:szCs w:val="22"/>
        </w:rPr>
        <w:footnoteReference w:id="54"/>
      </w:r>
    </w:p>
    <w:p w:rsidR="00B55558" w:rsidRPr="00B6445F" w:rsidRDefault="00873AD9" w:rsidP="00257EBC">
      <w:pPr>
        <w:pStyle w:val="ParaNum"/>
        <w:widowControl/>
        <w:rPr>
          <w:szCs w:val="22"/>
        </w:rPr>
      </w:pPr>
      <w:r w:rsidRPr="00B6445F">
        <w:rPr>
          <w:szCs w:val="22"/>
        </w:rPr>
        <w:lastRenderedPageBreak/>
        <w:t xml:space="preserve">We seek comment on </w:t>
      </w:r>
      <w:r w:rsidR="005977D7">
        <w:rPr>
          <w:szCs w:val="22"/>
        </w:rPr>
        <w:t>the auction and licensing mechanisms discussed above</w:t>
      </w:r>
      <w:r w:rsidRPr="00B6445F">
        <w:rPr>
          <w:szCs w:val="22"/>
        </w:rPr>
        <w:t xml:space="preserve">, including </w:t>
      </w:r>
      <w:r w:rsidR="005977D7">
        <w:rPr>
          <w:szCs w:val="22"/>
        </w:rPr>
        <w:t>their</w:t>
      </w:r>
      <w:r w:rsidRPr="00B6445F">
        <w:rPr>
          <w:szCs w:val="22"/>
        </w:rPr>
        <w:t xml:space="preserve"> economic and technical</w:t>
      </w:r>
      <w:r w:rsidR="00BD7D29" w:rsidRPr="00B6445F">
        <w:rPr>
          <w:szCs w:val="22"/>
        </w:rPr>
        <w:t xml:space="preserve"> viability</w:t>
      </w:r>
      <w:r w:rsidR="00EB4215">
        <w:rPr>
          <w:szCs w:val="22"/>
        </w:rPr>
        <w:t>,</w:t>
      </w:r>
      <w:r w:rsidR="00BD7D29" w:rsidRPr="00B6445F">
        <w:rPr>
          <w:szCs w:val="22"/>
        </w:rPr>
        <w:t xml:space="preserve"> </w:t>
      </w:r>
      <w:r w:rsidR="00EB4215">
        <w:rPr>
          <w:szCs w:val="22"/>
        </w:rPr>
        <w:t xml:space="preserve">whether they are consistent with the requirements of Section 309(j), </w:t>
      </w:r>
      <w:r w:rsidR="00BD7D29" w:rsidRPr="00B6445F">
        <w:rPr>
          <w:szCs w:val="22"/>
        </w:rPr>
        <w:t xml:space="preserve">and </w:t>
      </w:r>
      <w:r w:rsidR="00EB4215" w:rsidRPr="00B6445F">
        <w:rPr>
          <w:szCs w:val="22"/>
        </w:rPr>
        <w:t>any</w:t>
      </w:r>
      <w:r w:rsidR="00EB4215">
        <w:rPr>
          <w:szCs w:val="22"/>
        </w:rPr>
        <w:t xml:space="preserve"> other </w:t>
      </w:r>
      <w:r w:rsidR="00BD7D29" w:rsidRPr="00B6445F">
        <w:rPr>
          <w:szCs w:val="22"/>
        </w:rPr>
        <w:t xml:space="preserve">potential legal issues that may arise.  </w:t>
      </w:r>
      <w:r w:rsidR="005A5426" w:rsidRPr="00B6445F">
        <w:rPr>
          <w:szCs w:val="22"/>
        </w:rPr>
        <w:t xml:space="preserve">Commenters should </w:t>
      </w:r>
      <w:r w:rsidR="005A5426">
        <w:rPr>
          <w:szCs w:val="22"/>
        </w:rPr>
        <w:t xml:space="preserve">identify any costs or benefits associated with the proposal.  </w:t>
      </w:r>
      <w:r w:rsidR="00BD7D29" w:rsidRPr="00B6445F">
        <w:rPr>
          <w:szCs w:val="22"/>
        </w:rPr>
        <w:t xml:space="preserve">Would </w:t>
      </w:r>
      <w:r w:rsidR="005977D7">
        <w:rPr>
          <w:szCs w:val="22"/>
        </w:rPr>
        <w:t>such an</w:t>
      </w:r>
      <w:r w:rsidR="005977D7" w:rsidRPr="00B6445F">
        <w:rPr>
          <w:szCs w:val="22"/>
        </w:rPr>
        <w:t xml:space="preserve"> </w:t>
      </w:r>
      <w:r w:rsidR="00BD7D29" w:rsidRPr="00B6445F">
        <w:rPr>
          <w:szCs w:val="22"/>
        </w:rPr>
        <w:t xml:space="preserve">approach properly incentivize targeted use of the Priority Access tier by a diverse group of users?  </w:t>
      </w:r>
      <w:r w:rsidR="009E583C" w:rsidRPr="00B6445F">
        <w:rPr>
          <w:szCs w:val="22"/>
        </w:rPr>
        <w:t>How many</w:t>
      </w:r>
      <w:r w:rsidR="00C10186">
        <w:rPr>
          <w:szCs w:val="22"/>
        </w:rPr>
        <w:t xml:space="preserve"> consecutive</w:t>
      </w:r>
      <w:r w:rsidR="009E583C" w:rsidRPr="00B6445F">
        <w:rPr>
          <w:szCs w:val="22"/>
        </w:rPr>
        <w:t xml:space="preserve"> years of </w:t>
      </w:r>
      <w:r w:rsidR="00865E83">
        <w:rPr>
          <w:szCs w:val="22"/>
        </w:rPr>
        <w:t>PAL</w:t>
      </w:r>
      <w:r w:rsidR="00ED4C36">
        <w:rPr>
          <w:szCs w:val="22"/>
        </w:rPr>
        <w:t>s</w:t>
      </w:r>
      <w:r w:rsidR="009E583C" w:rsidRPr="00B6445F">
        <w:rPr>
          <w:szCs w:val="22"/>
        </w:rPr>
        <w:t xml:space="preserve"> should </w:t>
      </w:r>
      <w:r w:rsidR="005977D7">
        <w:rPr>
          <w:szCs w:val="22"/>
        </w:rPr>
        <w:t xml:space="preserve">the Commission </w:t>
      </w:r>
      <w:r w:rsidR="00ED4C36">
        <w:rPr>
          <w:szCs w:val="22"/>
        </w:rPr>
        <w:t xml:space="preserve">offer </w:t>
      </w:r>
      <w:r w:rsidR="00C10186">
        <w:rPr>
          <w:szCs w:val="22"/>
        </w:rPr>
        <w:t>in a single auction</w:t>
      </w:r>
      <w:r w:rsidR="009E583C" w:rsidRPr="00B6445F">
        <w:rPr>
          <w:szCs w:val="22"/>
        </w:rPr>
        <w:t xml:space="preserve">?  What, if any, limits should be placed on the aggregation of </w:t>
      </w:r>
      <w:r w:rsidR="00865E83">
        <w:rPr>
          <w:szCs w:val="22"/>
        </w:rPr>
        <w:t>PAL</w:t>
      </w:r>
      <w:r w:rsidR="009E583C" w:rsidRPr="00B6445F">
        <w:rPr>
          <w:szCs w:val="22"/>
        </w:rPr>
        <w:t>s</w:t>
      </w:r>
      <w:r w:rsidR="00C10186">
        <w:rPr>
          <w:szCs w:val="22"/>
        </w:rPr>
        <w:t xml:space="preserve"> – in time, </w:t>
      </w:r>
      <w:r w:rsidR="00E604B9">
        <w:rPr>
          <w:szCs w:val="22"/>
        </w:rPr>
        <w:t>location</w:t>
      </w:r>
      <w:r w:rsidR="00C10186">
        <w:rPr>
          <w:szCs w:val="22"/>
        </w:rPr>
        <w:t>, or frequency –</w:t>
      </w:r>
      <w:r w:rsidR="009E583C" w:rsidRPr="00B6445F">
        <w:rPr>
          <w:szCs w:val="22"/>
        </w:rPr>
        <w:t xml:space="preserve"> by </w:t>
      </w:r>
      <w:r w:rsidR="005977D7">
        <w:rPr>
          <w:szCs w:val="22"/>
        </w:rPr>
        <w:t>a single</w:t>
      </w:r>
      <w:r w:rsidR="009E583C" w:rsidRPr="00B6445F">
        <w:rPr>
          <w:szCs w:val="22"/>
        </w:rPr>
        <w:t xml:space="preserve"> </w:t>
      </w:r>
      <w:r w:rsidR="008612F9">
        <w:rPr>
          <w:szCs w:val="22"/>
        </w:rPr>
        <w:t>licensee</w:t>
      </w:r>
      <w:r w:rsidR="009E583C" w:rsidRPr="00B6445F">
        <w:rPr>
          <w:szCs w:val="22"/>
        </w:rPr>
        <w:t>?</w:t>
      </w:r>
    </w:p>
    <w:p w:rsidR="00E33ECA" w:rsidRPr="00B6445F" w:rsidRDefault="009E583C" w:rsidP="00257EBC">
      <w:pPr>
        <w:pStyle w:val="ParaNum"/>
        <w:widowControl/>
        <w:rPr>
          <w:szCs w:val="22"/>
        </w:rPr>
      </w:pPr>
      <w:r w:rsidRPr="00B6445F">
        <w:rPr>
          <w:szCs w:val="22"/>
        </w:rPr>
        <w:t>We also seek comment on alternative licensing and authorization mechanisms.  Fo</w:t>
      </w:r>
      <w:r w:rsidR="000872C6" w:rsidRPr="00B6445F">
        <w:rPr>
          <w:szCs w:val="22"/>
        </w:rPr>
        <w:t xml:space="preserve">r instance, could </w:t>
      </w:r>
      <w:r w:rsidR="00A067CF">
        <w:rPr>
          <w:szCs w:val="22"/>
        </w:rPr>
        <w:t>a license-by-rule regime encompass both the GAA and Priority Access tiers</w:t>
      </w:r>
      <w:r w:rsidR="00EB4215">
        <w:rPr>
          <w:szCs w:val="22"/>
        </w:rPr>
        <w:t>, as they are envisioned in the Revised Framework</w:t>
      </w:r>
      <w:r w:rsidR="001E7067">
        <w:rPr>
          <w:szCs w:val="22"/>
        </w:rPr>
        <w:t xml:space="preserve">? </w:t>
      </w:r>
      <w:r w:rsidR="00EB4215">
        <w:rPr>
          <w:szCs w:val="22"/>
        </w:rPr>
        <w:t xml:space="preserve"> </w:t>
      </w:r>
      <w:r w:rsidR="001E7067">
        <w:rPr>
          <w:szCs w:val="22"/>
        </w:rPr>
        <w:t>Are other models preferable?</w:t>
      </w:r>
      <w:r w:rsidR="000872C6" w:rsidRPr="00B6445F">
        <w:rPr>
          <w:szCs w:val="22"/>
        </w:rPr>
        <w:t xml:space="preserve">  Commenters advocating alternative assignment models should</w:t>
      </w:r>
      <w:r w:rsidR="005A5426" w:rsidRPr="005A5426">
        <w:rPr>
          <w:szCs w:val="22"/>
        </w:rPr>
        <w:t xml:space="preserve"> </w:t>
      </w:r>
      <w:r w:rsidR="005A5426">
        <w:rPr>
          <w:szCs w:val="22"/>
        </w:rPr>
        <w:t>identify any costs or benefits associated with these approaches and should include a detailed technical analysis</w:t>
      </w:r>
      <w:r w:rsidR="00A92637" w:rsidRPr="00B6445F">
        <w:rPr>
          <w:szCs w:val="22"/>
        </w:rPr>
        <w:t>.</w:t>
      </w:r>
    </w:p>
    <w:p w:rsidR="00E33ECA" w:rsidRPr="00B6445F" w:rsidRDefault="00E33ECA" w:rsidP="00257EBC">
      <w:pPr>
        <w:pStyle w:val="Heading2"/>
        <w:widowControl/>
        <w:rPr>
          <w:szCs w:val="22"/>
        </w:rPr>
      </w:pPr>
      <w:bookmarkStart w:id="55" w:name="_Toc364956234"/>
      <w:bookmarkStart w:id="56" w:name="_Toc365040867"/>
      <w:bookmarkStart w:id="57" w:name="_Toc365381563"/>
      <w:bookmarkStart w:id="58" w:name="_Toc365539319"/>
      <w:bookmarkStart w:id="59" w:name="_Toc366145031"/>
      <w:bookmarkStart w:id="60" w:name="_Toc366157656"/>
      <w:bookmarkStart w:id="61" w:name="_Toc366159768"/>
      <w:bookmarkStart w:id="62" w:name="_Toc367261117"/>
      <w:r w:rsidRPr="00B6445F">
        <w:rPr>
          <w:szCs w:val="22"/>
        </w:rPr>
        <w:t>Band Plan</w:t>
      </w:r>
      <w:bookmarkEnd w:id="55"/>
      <w:bookmarkEnd w:id="56"/>
      <w:bookmarkEnd w:id="57"/>
      <w:bookmarkEnd w:id="58"/>
      <w:bookmarkEnd w:id="59"/>
      <w:bookmarkEnd w:id="60"/>
      <w:bookmarkEnd w:id="61"/>
      <w:bookmarkEnd w:id="62"/>
    </w:p>
    <w:p w:rsidR="00ED4C36" w:rsidRDefault="00E33ECA" w:rsidP="00097917">
      <w:pPr>
        <w:pStyle w:val="ParaNum"/>
      </w:pPr>
      <w:r w:rsidRPr="00B6445F">
        <w:t xml:space="preserve">We seek comment on a band plan that would balance </w:t>
      </w:r>
      <w:r w:rsidR="00D81E92">
        <w:t>SAS-</w:t>
      </w:r>
      <w:r w:rsidR="007301E1">
        <w:t xml:space="preserve">authorized </w:t>
      </w:r>
      <w:r w:rsidRPr="00B6445F">
        <w:t xml:space="preserve">opportunistic access to the GAA </w:t>
      </w:r>
      <w:r w:rsidR="00030698">
        <w:t>tier</w:t>
      </w:r>
      <w:r w:rsidRPr="00B6445F">
        <w:t xml:space="preserve"> with targeted exclusive acce</w:t>
      </w:r>
      <w:r w:rsidR="00D81E92">
        <w:t>ss to</w:t>
      </w:r>
      <w:r w:rsidRPr="00B6445F">
        <w:t xml:space="preserve"> the Priority Access tier, as described above.  Under the </w:t>
      </w:r>
      <w:r w:rsidR="0037434C">
        <w:t>Revised Framework</w:t>
      </w:r>
      <w:r w:rsidRPr="00B6445F">
        <w:t xml:space="preserve">, a minimum amount of spectrum would be designated for GAA </w:t>
      </w:r>
      <w:r w:rsidR="00B3433A">
        <w:t>access in each geographic area</w:t>
      </w:r>
      <w:r w:rsidRPr="00B6445F">
        <w:t>, leaving the remaining bandwidth available for assignmen</w:t>
      </w:r>
      <w:r w:rsidR="00AB6441">
        <w:t>t to priority access users on a</w:t>
      </w:r>
      <w:r w:rsidRPr="00B6445F">
        <w:t xml:space="preserve"> </w:t>
      </w:r>
      <w:r w:rsidR="00865E83">
        <w:t>PAL</w:t>
      </w:r>
      <w:r w:rsidRPr="00B6445F">
        <w:t xml:space="preserve"> basis.</w:t>
      </w:r>
      <w:r w:rsidR="00097917">
        <w:rPr>
          <w:rStyle w:val="FootnoteReference"/>
          <w:szCs w:val="22"/>
        </w:rPr>
        <w:footnoteReference w:id="55"/>
      </w:r>
      <w:r w:rsidRPr="00B6445F">
        <w:t xml:space="preserve">  We seek comment on whether </w:t>
      </w:r>
      <w:r w:rsidR="00097917" w:rsidRPr="00097917">
        <w:rPr>
          <w:szCs w:val="22"/>
        </w:rPr>
        <w:t>a minimum GAA reservation should be defined in terms a proportional ratio that can scale with the quantity of spectrum available in a given location or time after protecting incumbent uses, rather than</w:t>
      </w:r>
      <w:r w:rsidR="003B2E31">
        <w:rPr>
          <w:szCs w:val="22"/>
        </w:rPr>
        <w:t xml:space="preserve"> a fixed (megahertz) bandwidth.</w:t>
      </w:r>
      <w:r w:rsidR="00097917">
        <w:rPr>
          <w:szCs w:val="22"/>
        </w:rPr>
        <w:t xml:space="preserve">  </w:t>
      </w:r>
      <w:r w:rsidR="00C420AC">
        <w:rPr>
          <w:szCs w:val="22"/>
        </w:rPr>
        <w:t xml:space="preserve">Would a ratio </w:t>
      </w:r>
      <w:r w:rsidRPr="00B6445F">
        <w:t xml:space="preserve">assigning </w:t>
      </w:r>
      <w:r w:rsidR="00C420AC">
        <w:t xml:space="preserve">a minimum of, for example, 40 or </w:t>
      </w:r>
      <w:r w:rsidR="001B284C">
        <w:t>5</w:t>
      </w:r>
      <w:r w:rsidRPr="000E674F">
        <w:t>0</w:t>
      </w:r>
      <w:r w:rsidRPr="00B6445F">
        <w:t xml:space="preserve"> percent of </w:t>
      </w:r>
      <w:r w:rsidR="00C420AC">
        <w:t xml:space="preserve">available bandwidth </w:t>
      </w:r>
      <w:r w:rsidRPr="00B6445F">
        <w:t xml:space="preserve">for GAA use </w:t>
      </w:r>
      <w:r w:rsidR="003B79CD">
        <w:t>further the public interest</w:t>
      </w:r>
      <w:r w:rsidR="00493852">
        <w:t xml:space="preserve"> or </w:t>
      </w:r>
      <w:r w:rsidR="003B2E31">
        <w:t xml:space="preserve">would </w:t>
      </w:r>
      <w:r w:rsidR="00493852">
        <w:t>another ratio be more appropriate</w:t>
      </w:r>
      <w:r w:rsidR="00C420AC">
        <w:t>?</w:t>
      </w:r>
      <w:r w:rsidRPr="00B6445F">
        <w:t xml:space="preserve"> </w:t>
      </w:r>
      <w:r w:rsidR="007654BC">
        <w:t xml:space="preserve"> </w:t>
      </w:r>
      <w:r w:rsidRPr="00B6445F">
        <w:t xml:space="preserve">We emphasize that </w:t>
      </w:r>
      <w:r w:rsidR="00C420AC">
        <w:t>such</w:t>
      </w:r>
      <w:r w:rsidR="00C420AC" w:rsidRPr="00B6445F">
        <w:t xml:space="preserve"> </w:t>
      </w:r>
      <w:r w:rsidRPr="00B6445F">
        <w:t xml:space="preserve">ratio would constitute </w:t>
      </w:r>
      <w:r w:rsidR="003B79CD">
        <w:t>the</w:t>
      </w:r>
      <w:r w:rsidRPr="00B6445F">
        <w:t xml:space="preserve"> “floor” for GAA use.  Under the </w:t>
      </w:r>
      <w:r w:rsidR="0037434C">
        <w:t>Revised Framework</w:t>
      </w:r>
      <w:r w:rsidRPr="00B6445F">
        <w:t xml:space="preserve">, </w:t>
      </w:r>
      <w:r w:rsidR="007301E1">
        <w:t>GAA use would be authorized and managed by the SAS, as proposed in the NPRM.</w:t>
      </w:r>
      <w:r w:rsidR="007301E1">
        <w:rPr>
          <w:rStyle w:val="FootnoteReference"/>
          <w:szCs w:val="22"/>
        </w:rPr>
        <w:footnoteReference w:id="56"/>
      </w:r>
      <w:r w:rsidR="007301E1">
        <w:t xml:space="preserve">  </w:t>
      </w:r>
      <w:r w:rsidR="00E604B9">
        <w:t>In addition, w</w:t>
      </w:r>
      <w:r w:rsidRPr="00B6445F">
        <w:t xml:space="preserve">hen Priority Access </w:t>
      </w:r>
      <w:r w:rsidR="00A067CF">
        <w:t>ri</w:t>
      </w:r>
      <w:r w:rsidR="00D81E92">
        <w:t>ghts have not been issued (e.g.</w:t>
      </w:r>
      <w:r w:rsidR="00624CF6">
        <w:t>,</w:t>
      </w:r>
      <w:r w:rsidR="00A067CF">
        <w:t xml:space="preserve"> due to lack of demand) or the </w:t>
      </w:r>
      <w:r w:rsidRPr="00B6445F">
        <w:t>spectrum is not actually in use</w:t>
      </w:r>
      <w:r w:rsidR="00A067CF">
        <w:t xml:space="preserve"> by a Priority Access licensee</w:t>
      </w:r>
      <w:r w:rsidRPr="00B6445F">
        <w:t xml:space="preserve">, the SAS would automatically make that spectrum available for GAA use </w:t>
      </w:r>
      <w:r w:rsidR="00624CF6">
        <w:t>locally</w:t>
      </w:r>
      <w:r w:rsidRPr="00B6445F">
        <w:t xml:space="preserve">. </w:t>
      </w:r>
      <w:r w:rsidR="00ED4C36">
        <w:t xml:space="preserve"> </w:t>
      </w:r>
      <w:r w:rsidRPr="00B6445F">
        <w:t xml:space="preserve">Therefore, in any given location, the quantity of spectrum available for GAA use could exceed </w:t>
      </w:r>
      <w:r w:rsidR="00952FA2">
        <w:t xml:space="preserve">the </w:t>
      </w:r>
      <w:r w:rsidR="00C420AC">
        <w:t>reserved amount</w:t>
      </w:r>
      <w:r w:rsidRPr="00B6445F">
        <w:t xml:space="preserve"> – </w:t>
      </w:r>
      <w:r w:rsidR="003B79CD">
        <w:t>sometimes</w:t>
      </w:r>
      <w:r w:rsidRPr="00B6445F">
        <w:t xml:space="preserve"> by a significant margin. </w:t>
      </w:r>
      <w:r w:rsidR="00ED4C36">
        <w:t xml:space="preserve"> </w:t>
      </w:r>
      <w:r w:rsidRPr="00B6445F">
        <w:t xml:space="preserve">This approach would ensure that the greatest possible portion of the 3.5 GHz Band would be </w:t>
      </w:r>
      <w:r w:rsidR="00624CF6">
        <w:t xml:space="preserve">intensively </w:t>
      </w:r>
      <w:r w:rsidR="00C8546F">
        <w:t>use</w:t>
      </w:r>
      <w:r w:rsidR="00624CF6">
        <w:t>d</w:t>
      </w:r>
      <w:r w:rsidRPr="00B6445F">
        <w:t xml:space="preserve">.  </w:t>
      </w:r>
    </w:p>
    <w:p w:rsidR="00E33ECA" w:rsidRPr="00B6445F" w:rsidRDefault="00E33ECA" w:rsidP="00257EBC">
      <w:pPr>
        <w:pStyle w:val="ParaNum"/>
        <w:widowControl/>
        <w:rPr>
          <w:szCs w:val="22"/>
        </w:rPr>
      </w:pPr>
      <w:r w:rsidRPr="00B6445F">
        <w:rPr>
          <w:szCs w:val="22"/>
        </w:rPr>
        <w:t xml:space="preserve">We seek comment on </w:t>
      </w:r>
      <w:r w:rsidR="004A7224">
        <w:rPr>
          <w:szCs w:val="22"/>
        </w:rPr>
        <w:t>the public interest benefits of balancing</w:t>
      </w:r>
      <w:r w:rsidR="00030698">
        <w:rPr>
          <w:szCs w:val="22"/>
        </w:rPr>
        <w:t xml:space="preserve"> GAA and Priority Access use in the 3.5 GHz B</w:t>
      </w:r>
      <w:r w:rsidRPr="00B6445F">
        <w:rPr>
          <w:szCs w:val="22"/>
        </w:rPr>
        <w:t>and</w:t>
      </w:r>
      <w:r w:rsidR="00ED4C36">
        <w:rPr>
          <w:szCs w:val="22"/>
        </w:rPr>
        <w:t xml:space="preserve"> in the</w:t>
      </w:r>
      <w:r w:rsidR="004A7224">
        <w:rPr>
          <w:szCs w:val="22"/>
        </w:rPr>
        <w:t xml:space="preserve"> manner</w:t>
      </w:r>
      <w:r w:rsidR="00ED4C36">
        <w:rPr>
          <w:szCs w:val="22"/>
        </w:rPr>
        <w:t xml:space="preserve"> described above</w:t>
      </w:r>
      <w:r w:rsidRPr="00B6445F">
        <w:rPr>
          <w:szCs w:val="22"/>
        </w:rPr>
        <w:t>.</w:t>
      </w:r>
      <w:r w:rsidR="00A067CF">
        <w:rPr>
          <w:szCs w:val="22"/>
        </w:rPr>
        <w:t xml:space="preserve"> </w:t>
      </w:r>
      <w:r w:rsidR="00ED4C36">
        <w:rPr>
          <w:szCs w:val="22"/>
        </w:rPr>
        <w:t xml:space="preserve"> </w:t>
      </w:r>
      <w:r w:rsidR="007654BC">
        <w:rPr>
          <w:szCs w:val="22"/>
        </w:rPr>
        <w:t xml:space="preserve">We also acknowledge that, if the supplemental proposal to include the 3650-3700 MHz band is adopted, an even split between Priority Access and GAA use would result in a fractional </w:t>
      </w:r>
      <w:r w:rsidR="00493852">
        <w:rPr>
          <w:szCs w:val="22"/>
        </w:rPr>
        <w:t xml:space="preserve">PAL </w:t>
      </w:r>
      <w:r w:rsidR="007654BC">
        <w:rPr>
          <w:szCs w:val="22"/>
        </w:rPr>
        <w:t xml:space="preserve">and seek comment on the appropriate ratio to apply in this situation.  </w:t>
      </w:r>
      <w:r w:rsidR="00A067CF">
        <w:rPr>
          <w:szCs w:val="22"/>
        </w:rPr>
        <w:t xml:space="preserve">We </w:t>
      </w:r>
      <w:r w:rsidR="00EB4215">
        <w:rPr>
          <w:szCs w:val="22"/>
        </w:rPr>
        <w:t xml:space="preserve">also </w:t>
      </w:r>
      <w:r w:rsidR="00A067CF">
        <w:rPr>
          <w:szCs w:val="22"/>
        </w:rPr>
        <w:t xml:space="preserve">seek comment on implementation details, including, for example, how the “use-it-or-share-it” concept described above could be implemented. What does “use” mean in this context? </w:t>
      </w:r>
      <w:r w:rsidR="008E7A28">
        <w:rPr>
          <w:szCs w:val="22"/>
        </w:rPr>
        <w:t xml:space="preserve"> </w:t>
      </w:r>
      <w:r w:rsidR="00A067CF">
        <w:rPr>
          <w:szCs w:val="22"/>
        </w:rPr>
        <w:t xml:space="preserve">How should it be measured? </w:t>
      </w:r>
      <w:r w:rsidR="008E7A28">
        <w:rPr>
          <w:szCs w:val="22"/>
        </w:rPr>
        <w:t xml:space="preserve"> </w:t>
      </w:r>
      <w:r w:rsidR="00C8546F">
        <w:rPr>
          <w:szCs w:val="22"/>
        </w:rPr>
        <w:t xml:space="preserve">How would such dynamically changing rights be enforced?  </w:t>
      </w:r>
      <w:r w:rsidR="005A5426">
        <w:rPr>
          <w:szCs w:val="22"/>
        </w:rPr>
        <w:t>Commenters should identify any costs and benefits associated with any proposed implementation approach.</w:t>
      </w:r>
    </w:p>
    <w:p w:rsidR="007301E1" w:rsidRPr="008348A7" w:rsidRDefault="00E33ECA" w:rsidP="00257EBC">
      <w:pPr>
        <w:pStyle w:val="ParaNum"/>
        <w:widowControl/>
        <w:rPr>
          <w:szCs w:val="22"/>
        </w:rPr>
      </w:pPr>
      <w:r w:rsidRPr="00B6445F">
        <w:rPr>
          <w:szCs w:val="22"/>
        </w:rPr>
        <w:t>We also envis</w:t>
      </w:r>
      <w:r w:rsidR="004A7224">
        <w:rPr>
          <w:szCs w:val="22"/>
        </w:rPr>
        <w:t>ion</w:t>
      </w:r>
      <w:r w:rsidRPr="00B6445F">
        <w:rPr>
          <w:szCs w:val="22"/>
        </w:rPr>
        <w:t xml:space="preserve"> that, in place of a static channel model, the SAS would dynamically assign specific frequencies</w:t>
      </w:r>
      <w:r w:rsidR="00B3433A">
        <w:rPr>
          <w:szCs w:val="22"/>
        </w:rPr>
        <w:t xml:space="preserve"> within given geographic areas</w:t>
      </w:r>
      <w:r w:rsidRPr="00B6445F">
        <w:rPr>
          <w:szCs w:val="22"/>
        </w:rPr>
        <w:t>.</w:t>
      </w:r>
      <w:r w:rsidRPr="00B6445F">
        <w:rPr>
          <w:rStyle w:val="FootnoteReference"/>
          <w:szCs w:val="22"/>
        </w:rPr>
        <w:footnoteReference w:id="57"/>
      </w:r>
      <w:r w:rsidRPr="00B6445F">
        <w:rPr>
          <w:szCs w:val="22"/>
        </w:rPr>
        <w:t xml:space="preserve"> </w:t>
      </w:r>
      <w:r w:rsidR="00D81E92">
        <w:rPr>
          <w:szCs w:val="22"/>
        </w:rPr>
        <w:t xml:space="preserve"> </w:t>
      </w:r>
      <w:r w:rsidR="007654BC">
        <w:rPr>
          <w:szCs w:val="22"/>
        </w:rPr>
        <w:t xml:space="preserve">The SAS would assign </w:t>
      </w:r>
      <w:r w:rsidRPr="00B6445F">
        <w:rPr>
          <w:szCs w:val="22"/>
        </w:rPr>
        <w:t>GAA</w:t>
      </w:r>
      <w:r w:rsidR="007654BC">
        <w:rPr>
          <w:szCs w:val="22"/>
        </w:rPr>
        <w:t xml:space="preserve"> users</w:t>
      </w:r>
      <w:r w:rsidRPr="00B6445F">
        <w:rPr>
          <w:szCs w:val="22"/>
        </w:rPr>
        <w:t xml:space="preserve"> and Priority Access licensees </w:t>
      </w:r>
      <w:r w:rsidR="000E7FB8">
        <w:rPr>
          <w:szCs w:val="22"/>
        </w:rPr>
        <w:t>share</w:t>
      </w:r>
      <w:r w:rsidR="007654BC">
        <w:rPr>
          <w:szCs w:val="22"/>
        </w:rPr>
        <w:t>s</w:t>
      </w:r>
      <w:r w:rsidR="000E7FB8" w:rsidRPr="00B6445F">
        <w:rPr>
          <w:szCs w:val="22"/>
        </w:rPr>
        <w:t xml:space="preserve"> </w:t>
      </w:r>
      <w:r w:rsidRPr="00B6445F">
        <w:rPr>
          <w:szCs w:val="22"/>
        </w:rPr>
        <w:t xml:space="preserve">of the band but the exact spectral location of a given </w:t>
      </w:r>
      <w:r w:rsidR="00E604B9" w:rsidRPr="00B6445F">
        <w:rPr>
          <w:szCs w:val="22"/>
        </w:rPr>
        <w:t>transmission</w:t>
      </w:r>
      <w:r w:rsidR="00E604B9">
        <w:rPr>
          <w:szCs w:val="22"/>
        </w:rPr>
        <w:t xml:space="preserve"> </w:t>
      </w:r>
      <w:r w:rsidR="00E604B9">
        <w:rPr>
          <w:szCs w:val="22"/>
        </w:rPr>
        <w:lastRenderedPageBreak/>
        <w:t xml:space="preserve">authorization </w:t>
      </w:r>
      <w:r w:rsidRPr="00B6445F">
        <w:rPr>
          <w:szCs w:val="22"/>
        </w:rPr>
        <w:t xml:space="preserve">within the band would not be fixed.  For example, a licensee might have Priority Access rights for a single </w:t>
      </w:r>
      <w:r w:rsidR="00865E83">
        <w:rPr>
          <w:szCs w:val="22"/>
        </w:rPr>
        <w:t>PAL</w:t>
      </w:r>
      <w:r w:rsidRPr="00B6445F">
        <w:rPr>
          <w:szCs w:val="22"/>
        </w:rPr>
        <w:t>, as defined above, but the specific frequencies assigned to that user would be managed by the SAS and could be reassigned from time to time</w:t>
      </w:r>
      <w:r w:rsidR="00E604B9">
        <w:rPr>
          <w:szCs w:val="22"/>
        </w:rPr>
        <w:t xml:space="preserve"> (</w:t>
      </w:r>
      <w:r w:rsidR="00E604B9">
        <w:rPr>
          <w:i/>
          <w:szCs w:val="22"/>
        </w:rPr>
        <w:t>e.g.</w:t>
      </w:r>
      <w:r w:rsidR="007F669E">
        <w:rPr>
          <w:szCs w:val="22"/>
        </w:rPr>
        <w:t>,</w:t>
      </w:r>
      <w:r w:rsidR="00E604B9">
        <w:rPr>
          <w:szCs w:val="22"/>
        </w:rPr>
        <w:t xml:space="preserve"> </w:t>
      </w:r>
      <w:r w:rsidR="00BC643F">
        <w:rPr>
          <w:szCs w:val="22"/>
        </w:rPr>
        <w:t xml:space="preserve">from 3550-3560 MHz to </w:t>
      </w:r>
      <w:r w:rsidR="00E604B9">
        <w:rPr>
          <w:szCs w:val="22"/>
        </w:rPr>
        <w:t>3630-3640 MHz)</w:t>
      </w:r>
      <w:r w:rsidRPr="00B6445F">
        <w:rPr>
          <w:szCs w:val="22"/>
        </w:rPr>
        <w:t>.  The SAS would assign and maintain appropriate frequency assignments and ensur</w:t>
      </w:r>
      <w:r w:rsidR="004A7224">
        <w:rPr>
          <w:szCs w:val="22"/>
        </w:rPr>
        <w:t>e</w:t>
      </w:r>
      <w:r w:rsidRPr="00B6445F">
        <w:rPr>
          <w:szCs w:val="22"/>
        </w:rPr>
        <w:t xml:space="preserve"> that lower tier users do not interfere with higher tier users</w:t>
      </w:r>
      <w:r w:rsidR="000E7FB8">
        <w:rPr>
          <w:szCs w:val="22"/>
        </w:rPr>
        <w:t xml:space="preserve"> and to minimize interference among users</w:t>
      </w:r>
      <w:r w:rsidR="007654BC">
        <w:rPr>
          <w:szCs w:val="22"/>
        </w:rPr>
        <w:t xml:space="preserve"> in the same tier</w:t>
      </w:r>
      <w:r w:rsidRPr="00B6445F">
        <w:rPr>
          <w:szCs w:val="22"/>
        </w:rPr>
        <w:t xml:space="preserve">.  </w:t>
      </w:r>
      <w:r w:rsidR="00624CF6">
        <w:rPr>
          <w:szCs w:val="22"/>
        </w:rPr>
        <w:t>Under this approach</w:t>
      </w:r>
      <w:r w:rsidRPr="00B6445F">
        <w:rPr>
          <w:szCs w:val="22"/>
        </w:rPr>
        <w:t xml:space="preserve">, </w:t>
      </w:r>
      <w:r w:rsidR="008348A7">
        <w:rPr>
          <w:szCs w:val="22"/>
        </w:rPr>
        <w:t xml:space="preserve">we ask whether </w:t>
      </w:r>
      <w:r w:rsidRPr="00B6445F">
        <w:rPr>
          <w:szCs w:val="22"/>
        </w:rPr>
        <w:t xml:space="preserve">authorized base stations, handsets, and other </w:t>
      </w:r>
      <w:r w:rsidR="008348A7">
        <w:rPr>
          <w:szCs w:val="22"/>
        </w:rPr>
        <w:t>user equipment sh</w:t>
      </w:r>
      <w:r w:rsidRPr="00B6445F">
        <w:rPr>
          <w:szCs w:val="22"/>
        </w:rPr>
        <w:t xml:space="preserve">ould be required to be capable of operating </w:t>
      </w:r>
      <w:r w:rsidR="008348A7">
        <w:rPr>
          <w:szCs w:val="22"/>
        </w:rPr>
        <w:t>across the entire 3.5 GHz Band.  How would a requirement to include capability to operate across the entire band affect equipment design, performance and cost?</w:t>
      </w:r>
    </w:p>
    <w:p w:rsidR="00E0537F" w:rsidRDefault="00E0537F" w:rsidP="00257EBC">
      <w:pPr>
        <w:pStyle w:val="ParaNum"/>
        <w:widowControl/>
        <w:rPr>
          <w:szCs w:val="22"/>
        </w:rPr>
      </w:pPr>
      <w:r>
        <w:rPr>
          <w:szCs w:val="22"/>
        </w:rPr>
        <w:t xml:space="preserve">We acknowledge that there may be benefits for Priority Access </w:t>
      </w:r>
      <w:r w:rsidR="00030698">
        <w:rPr>
          <w:szCs w:val="22"/>
        </w:rPr>
        <w:t>tier</w:t>
      </w:r>
      <w:r>
        <w:rPr>
          <w:szCs w:val="22"/>
        </w:rPr>
        <w:t xml:space="preserve"> licensees and GAA users to ensuring that contiguous blocks of spectrum are made available for each tier and even individual licensees with multiple </w:t>
      </w:r>
      <w:r w:rsidR="00865E83">
        <w:rPr>
          <w:szCs w:val="22"/>
        </w:rPr>
        <w:t>PAL</w:t>
      </w:r>
      <w:r>
        <w:rPr>
          <w:szCs w:val="22"/>
        </w:rPr>
        <w:t xml:space="preserve">s in a given geographic area. </w:t>
      </w:r>
      <w:r w:rsidR="008E7A28">
        <w:rPr>
          <w:szCs w:val="22"/>
        </w:rPr>
        <w:t xml:space="preserve"> </w:t>
      </w:r>
      <w:r>
        <w:rPr>
          <w:szCs w:val="22"/>
        </w:rPr>
        <w:t xml:space="preserve">We seek comment on whether it would be technologically feasible and in the public interest to ensure that contiguous spectrum is made available on a tier-by-tier and licensee-by-licensee basis. </w:t>
      </w:r>
    </w:p>
    <w:p w:rsidR="00E33ECA" w:rsidRPr="00B6445F" w:rsidRDefault="00E33ECA" w:rsidP="00257EBC">
      <w:pPr>
        <w:pStyle w:val="ParaNum"/>
        <w:widowControl/>
        <w:rPr>
          <w:szCs w:val="22"/>
        </w:rPr>
      </w:pPr>
      <w:r w:rsidRPr="00B6445F">
        <w:rPr>
          <w:szCs w:val="22"/>
        </w:rPr>
        <w:t xml:space="preserve">We seek comment on this dynamic approach to frequency assignment. </w:t>
      </w:r>
      <w:r w:rsidR="008E7A28">
        <w:rPr>
          <w:szCs w:val="22"/>
        </w:rPr>
        <w:t xml:space="preserve"> </w:t>
      </w:r>
      <w:r w:rsidR="007301E1">
        <w:rPr>
          <w:szCs w:val="22"/>
        </w:rPr>
        <w:t>We acknowledge that this</w:t>
      </w:r>
      <w:r w:rsidR="00E604B9">
        <w:rPr>
          <w:szCs w:val="22"/>
        </w:rPr>
        <w:t xml:space="preserve"> interactive</w:t>
      </w:r>
      <w:r w:rsidR="007301E1">
        <w:rPr>
          <w:szCs w:val="22"/>
        </w:rPr>
        <w:t xml:space="preserve"> approach would require </w:t>
      </w:r>
      <w:r w:rsidR="00DF2BAE">
        <w:rPr>
          <w:szCs w:val="22"/>
        </w:rPr>
        <w:t xml:space="preserve">the SAS to go well beyond the parameters of the current TV White Spaces databases to manage multiple users on a dynamic, real time or near real time basis.  </w:t>
      </w:r>
      <w:r w:rsidRPr="00B6445F">
        <w:rPr>
          <w:szCs w:val="22"/>
        </w:rPr>
        <w:t xml:space="preserve">Is </w:t>
      </w:r>
      <w:r w:rsidR="007301E1">
        <w:rPr>
          <w:szCs w:val="22"/>
        </w:rPr>
        <w:t>th</w:t>
      </w:r>
      <w:r w:rsidR="00DA0D6E">
        <w:rPr>
          <w:szCs w:val="22"/>
        </w:rPr>
        <w:t xml:space="preserve">is </w:t>
      </w:r>
      <w:r w:rsidR="007301E1">
        <w:rPr>
          <w:szCs w:val="22"/>
        </w:rPr>
        <w:t xml:space="preserve">spectrum management </w:t>
      </w:r>
      <w:r w:rsidR="00DA0D6E">
        <w:rPr>
          <w:szCs w:val="22"/>
        </w:rPr>
        <w:t xml:space="preserve">approach </w:t>
      </w:r>
      <w:r w:rsidRPr="00B6445F">
        <w:rPr>
          <w:szCs w:val="22"/>
        </w:rPr>
        <w:t>feasible</w:t>
      </w:r>
      <w:r w:rsidR="00DF2BAE">
        <w:rPr>
          <w:szCs w:val="22"/>
        </w:rPr>
        <w:t xml:space="preserve"> </w:t>
      </w:r>
      <w:r w:rsidR="007301E1">
        <w:rPr>
          <w:szCs w:val="22"/>
        </w:rPr>
        <w:t>u</w:t>
      </w:r>
      <w:r w:rsidR="00DF2BAE">
        <w:rPr>
          <w:szCs w:val="22"/>
        </w:rPr>
        <w:t>s</w:t>
      </w:r>
      <w:r w:rsidR="007301E1">
        <w:rPr>
          <w:szCs w:val="22"/>
        </w:rPr>
        <w:t>ing current or develop</w:t>
      </w:r>
      <w:r w:rsidR="00DA0D6E">
        <w:rPr>
          <w:szCs w:val="22"/>
        </w:rPr>
        <w:t>ing</w:t>
      </w:r>
      <w:r w:rsidR="007301E1">
        <w:rPr>
          <w:szCs w:val="22"/>
        </w:rPr>
        <w:t xml:space="preserve"> technologies</w:t>
      </w:r>
      <w:r w:rsidRPr="00B6445F">
        <w:rPr>
          <w:szCs w:val="22"/>
        </w:rPr>
        <w:t>?</w:t>
      </w:r>
      <w:r w:rsidR="008E7A28">
        <w:rPr>
          <w:szCs w:val="22"/>
        </w:rPr>
        <w:t xml:space="preserve"> </w:t>
      </w:r>
      <w:r w:rsidRPr="00B6445F">
        <w:rPr>
          <w:szCs w:val="22"/>
        </w:rPr>
        <w:t xml:space="preserve"> Are there any technical </w:t>
      </w:r>
      <w:r w:rsidR="004A7224">
        <w:rPr>
          <w:szCs w:val="22"/>
        </w:rPr>
        <w:t>parameters</w:t>
      </w:r>
      <w:r w:rsidR="004A7224" w:rsidRPr="00B6445F">
        <w:rPr>
          <w:szCs w:val="22"/>
        </w:rPr>
        <w:t xml:space="preserve"> </w:t>
      </w:r>
      <w:r w:rsidRPr="00B6445F">
        <w:rPr>
          <w:szCs w:val="22"/>
        </w:rPr>
        <w:t xml:space="preserve">that would need to be </w:t>
      </w:r>
      <w:r w:rsidR="004A7224">
        <w:rPr>
          <w:szCs w:val="22"/>
        </w:rPr>
        <w:t>codified</w:t>
      </w:r>
      <w:r w:rsidRPr="00B6445F">
        <w:rPr>
          <w:szCs w:val="22"/>
        </w:rPr>
        <w:t xml:space="preserve"> in </w:t>
      </w:r>
      <w:r w:rsidR="00DA0D6E">
        <w:rPr>
          <w:szCs w:val="22"/>
        </w:rPr>
        <w:t xml:space="preserve">Commission </w:t>
      </w:r>
      <w:r w:rsidRPr="00B6445F">
        <w:rPr>
          <w:szCs w:val="22"/>
        </w:rPr>
        <w:t xml:space="preserve">rules? </w:t>
      </w:r>
      <w:r w:rsidR="00310901">
        <w:rPr>
          <w:szCs w:val="22"/>
        </w:rPr>
        <w:t xml:space="preserve"> </w:t>
      </w:r>
      <w:r w:rsidRPr="00B6445F">
        <w:rPr>
          <w:szCs w:val="22"/>
        </w:rPr>
        <w:t>How do</w:t>
      </w:r>
      <w:r w:rsidR="00DA0D6E">
        <w:rPr>
          <w:szCs w:val="22"/>
        </w:rPr>
        <w:t xml:space="preserve"> the public interest benefits of such an approach</w:t>
      </w:r>
      <w:r w:rsidRPr="00B6445F">
        <w:rPr>
          <w:szCs w:val="22"/>
        </w:rPr>
        <w:t xml:space="preserve"> compare to a more traditional channel block band plan? </w:t>
      </w:r>
      <w:r w:rsidR="008E7A28">
        <w:rPr>
          <w:szCs w:val="22"/>
        </w:rPr>
        <w:t xml:space="preserve"> </w:t>
      </w:r>
      <w:r w:rsidRPr="00B6445F">
        <w:rPr>
          <w:szCs w:val="22"/>
        </w:rPr>
        <w:t xml:space="preserve">Commenters should </w:t>
      </w:r>
      <w:r w:rsidR="005A5426">
        <w:rPr>
          <w:szCs w:val="22"/>
        </w:rPr>
        <w:t>identify any costs or benefits and include a detailed technical analysis to support</w:t>
      </w:r>
      <w:r w:rsidR="00030698">
        <w:rPr>
          <w:szCs w:val="22"/>
        </w:rPr>
        <w:t xml:space="preserve"> their</w:t>
      </w:r>
      <w:r w:rsidR="005A5426" w:rsidRPr="00B6445F">
        <w:rPr>
          <w:szCs w:val="22"/>
        </w:rPr>
        <w:t xml:space="preserve"> </w:t>
      </w:r>
      <w:r w:rsidR="005A5426">
        <w:rPr>
          <w:szCs w:val="22"/>
        </w:rPr>
        <w:t>positions on dynamic assignment of frequency bands.</w:t>
      </w:r>
    </w:p>
    <w:p w:rsidR="007F11E7" w:rsidRPr="00B6445F" w:rsidRDefault="007F11E7" w:rsidP="00257EBC">
      <w:pPr>
        <w:pStyle w:val="Heading2"/>
        <w:widowControl/>
        <w:rPr>
          <w:szCs w:val="22"/>
        </w:rPr>
      </w:pPr>
      <w:bookmarkStart w:id="63" w:name="_Toc364956235"/>
      <w:bookmarkStart w:id="64" w:name="_Toc365040868"/>
      <w:bookmarkStart w:id="65" w:name="_Toc365381564"/>
      <w:bookmarkStart w:id="66" w:name="_Toc365539320"/>
      <w:bookmarkStart w:id="67" w:name="_Toc366145032"/>
      <w:bookmarkStart w:id="68" w:name="_Toc366157657"/>
      <w:bookmarkStart w:id="69" w:name="_Toc366159769"/>
      <w:bookmarkStart w:id="70" w:name="_Toc367261118"/>
      <w:r w:rsidRPr="00B6445F">
        <w:rPr>
          <w:szCs w:val="22"/>
        </w:rPr>
        <w:t xml:space="preserve">Ensuring </w:t>
      </w:r>
      <w:r w:rsidR="000E7FB8">
        <w:rPr>
          <w:szCs w:val="22"/>
        </w:rPr>
        <w:t>Productive</w:t>
      </w:r>
      <w:r w:rsidR="000E7FB8" w:rsidRPr="00B6445F">
        <w:rPr>
          <w:szCs w:val="22"/>
        </w:rPr>
        <w:t xml:space="preserve"> </w:t>
      </w:r>
      <w:r w:rsidRPr="00B6445F">
        <w:rPr>
          <w:szCs w:val="22"/>
        </w:rPr>
        <w:t>Spectrum</w:t>
      </w:r>
      <w:r w:rsidR="004A7224">
        <w:rPr>
          <w:szCs w:val="22"/>
        </w:rPr>
        <w:t xml:space="preserve"> Use</w:t>
      </w:r>
      <w:bookmarkEnd w:id="63"/>
      <w:bookmarkEnd w:id="64"/>
      <w:bookmarkEnd w:id="65"/>
      <w:bookmarkEnd w:id="66"/>
      <w:bookmarkEnd w:id="67"/>
      <w:bookmarkEnd w:id="68"/>
      <w:bookmarkEnd w:id="69"/>
      <w:bookmarkEnd w:id="70"/>
    </w:p>
    <w:p w:rsidR="007F11E7" w:rsidRPr="007654BC" w:rsidRDefault="007F11E7" w:rsidP="00257EBC">
      <w:pPr>
        <w:pStyle w:val="ParaNum"/>
        <w:widowControl/>
        <w:rPr>
          <w:szCs w:val="22"/>
        </w:rPr>
      </w:pPr>
      <w:r w:rsidRPr="00B6445F">
        <w:rPr>
          <w:szCs w:val="22"/>
        </w:rPr>
        <w:t xml:space="preserve">The </w:t>
      </w:r>
      <w:r w:rsidR="0037434C">
        <w:rPr>
          <w:szCs w:val="22"/>
        </w:rPr>
        <w:t>Revised Framework</w:t>
      </w:r>
      <w:r w:rsidRPr="00B6445F">
        <w:rPr>
          <w:szCs w:val="22"/>
        </w:rPr>
        <w:t xml:space="preserve"> leverages the unique characteristics of small cells and the capabilities of modern database technologies </w:t>
      </w:r>
      <w:r w:rsidR="004A7224">
        <w:rPr>
          <w:szCs w:val="22"/>
        </w:rPr>
        <w:t xml:space="preserve">to </w:t>
      </w:r>
      <w:r w:rsidRPr="00B6445F">
        <w:rPr>
          <w:szCs w:val="22"/>
        </w:rPr>
        <w:t xml:space="preserve">ensure that the 3.5 GHz Band is used </w:t>
      </w:r>
      <w:r w:rsidR="00DA0D6E">
        <w:rPr>
          <w:szCs w:val="22"/>
        </w:rPr>
        <w:t xml:space="preserve">intensively </w:t>
      </w:r>
      <w:r w:rsidRPr="00B6445F">
        <w:rPr>
          <w:szCs w:val="22"/>
        </w:rPr>
        <w:t xml:space="preserve">for a wide variety of potential applications.  </w:t>
      </w:r>
      <w:r w:rsidR="00511FBD">
        <w:rPr>
          <w:szCs w:val="22"/>
        </w:rPr>
        <w:t>We seek comment on whether t</w:t>
      </w:r>
      <w:r w:rsidR="00C04061">
        <w:rPr>
          <w:szCs w:val="22"/>
        </w:rPr>
        <w:t>he</w:t>
      </w:r>
      <w:r w:rsidRPr="00B6445F">
        <w:rPr>
          <w:szCs w:val="22"/>
        </w:rPr>
        <w:t xml:space="preserve"> </w:t>
      </w:r>
      <w:r w:rsidR="00865E83">
        <w:rPr>
          <w:szCs w:val="22"/>
        </w:rPr>
        <w:t>PAL</w:t>
      </w:r>
      <w:r w:rsidR="004A7224">
        <w:rPr>
          <w:szCs w:val="22"/>
        </w:rPr>
        <w:t>-</w:t>
      </w:r>
      <w:r w:rsidRPr="00B6445F">
        <w:rPr>
          <w:szCs w:val="22"/>
        </w:rPr>
        <w:t xml:space="preserve">based allocation model outlined above </w:t>
      </w:r>
      <w:r w:rsidR="00C04061">
        <w:rPr>
          <w:szCs w:val="22"/>
        </w:rPr>
        <w:t>c</w:t>
      </w:r>
      <w:r w:rsidR="00C04061" w:rsidRPr="00B6445F">
        <w:rPr>
          <w:szCs w:val="22"/>
        </w:rPr>
        <w:t>ould</w:t>
      </w:r>
      <w:r w:rsidR="00EA0541">
        <w:rPr>
          <w:szCs w:val="22"/>
        </w:rPr>
        <w:t>, by assigning priority spectrum rights in a targeted and dynamic fashion,</w:t>
      </w:r>
      <w:r w:rsidR="00C04061" w:rsidRPr="00B6445F">
        <w:rPr>
          <w:szCs w:val="22"/>
        </w:rPr>
        <w:t xml:space="preserve"> </w:t>
      </w:r>
      <w:r w:rsidR="00EA0541">
        <w:rPr>
          <w:szCs w:val="22"/>
        </w:rPr>
        <w:t xml:space="preserve">help to </w:t>
      </w:r>
      <w:r w:rsidRPr="00B6445F">
        <w:rPr>
          <w:szCs w:val="22"/>
        </w:rPr>
        <w:t>ensure</w:t>
      </w:r>
      <w:r w:rsidR="00EA0541">
        <w:rPr>
          <w:szCs w:val="22"/>
        </w:rPr>
        <w:t xml:space="preserve"> </w:t>
      </w:r>
      <w:r w:rsidRPr="00B6445F">
        <w:rPr>
          <w:szCs w:val="22"/>
        </w:rPr>
        <w:t>that Priority Access rights are allocated to the parties that would make the most productive use of quality</w:t>
      </w:r>
      <w:r w:rsidR="004A7224">
        <w:rPr>
          <w:szCs w:val="22"/>
        </w:rPr>
        <w:t>-</w:t>
      </w:r>
      <w:r w:rsidRPr="00B6445F">
        <w:rPr>
          <w:szCs w:val="22"/>
        </w:rPr>
        <w:t xml:space="preserve">assured spectrum </w:t>
      </w:r>
      <w:r w:rsidR="00B3433A">
        <w:rPr>
          <w:szCs w:val="22"/>
        </w:rPr>
        <w:t>within a given geographic area</w:t>
      </w:r>
      <w:r w:rsidRPr="00B6445F">
        <w:rPr>
          <w:szCs w:val="22"/>
        </w:rPr>
        <w:t xml:space="preserve">.  Moreover, </w:t>
      </w:r>
      <w:proofErr w:type="gramStart"/>
      <w:r w:rsidRPr="00B6445F">
        <w:rPr>
          <w:szCs w:val="22"/>
        </w:rPr>
        <w:t>short term</w:t>
      </w:r>
      <w:proofErr w:type="gramEnd"/>
      <w:r w:rsidRPr="00B6445F">
        <w:rPr>
          <w:szCs w:val="22"/>
        </w:rPr>
        <w:t xml:space="preserve"> licenses with no renewal expectancy</w:t>
      </w:r>
      <w:r w:rsidR="004F0E52" w:rsidRPr="00B6445F">
        <w:rPr>
          <w:szCs w:val="22"/>
        </w:rPr>
        <w:t xml:space="preserve"> would</w:t>
      </w:r>
      <w:r w:rsidRPr="00B6445F">
        <w:rPr>
          <w:szCs w:val="22"/>
        </w:rPr>
        <w:t xml:space="preserve"> </w:t>
      </w:r>
      <w:r w:rsidR="00493852">
        <w:rPr>
          <w:szCs w:val="22"/>
        </w:rPr>
        <w:t>provide</w:t>
      </w:r>
      <w:r w:rsidR="00493852" w:rsidRPr="00B6445F">
        <w:rPr>
          <w:szCs w:val="22"/>
        </w:rPr>
        <w:t xml:space="preserve"> </w:t>
      </w:r>
      <w:r w:rsidRPr="00B6445F">
        <w:rPr>
          <w:szCs w:val="22"/>
        </w:rPr>
        <w:t xml:space="preserve">licensees </w:t>
      </w:r>
      <w:r w:rsidR="00493852">
        <w:rPr>
          <w:szCs w:val="22"/>
        </w:rPr>
        <w:t xml:space="preserve">with incentives </w:t>
      </w:r>
      <w:r w:rsidRPr="00B6445F">
        <w:rPr>
          <w:szCs w:val="22"/>
        </w:rPr>
        <w:t xml:space="preserve">to make actual </w:t>
      </w:r>
      <w:r w:rsidR="004A7224">
        <w:rPr>
          <w:szCs w:val="22"/>
        </w:rPr>
        <w:t xml:space="preserve">and consistent </w:t>
      </w:r>
      <w:r w:rsidRPr="00B6445F">
        <w:rPr>
          <w:szCs w:val="22"/>
        </w:rPr>
        <w:t>use of the spectrum</w:t>
      </w:r>
      <w:r w:rsidR="004F0E52" w:rsidRPr="00B6445F">
        <w:rPr>
          <w:szCs w:val="22"/>
        </w:rPr>
        <w:t xml:space="preserve"> and significantly reduce the risk of spectrum warehousing.  This </w:t>
      </w:r>
      <w:r w:rsidR="004A7224">
        <w:rPr>
          <w:szCs w:val="22"/>
        </w:rPr>
        <w:t xml:space="preserve">paradigm </w:t>
      </w:r>
      <w:r w:rsidR="00493852">
        <w:rPr>
          <w:szCs w:val="22"/>
        </w:rPr>
        <w:t>c</w:t>
      </w:r>
      <w:r w:rsidR="00493852" w:rsidRPr="00B6445F">
        <w:rPr>
          <w:szCs w:val="22"/>
        </w:rPr>
        <w:t xml:space="preserve">ould </w:t>
      </w:r>
      <w:r w:rsidR="004F0E52" w:rsidRPr="00B6445F">
        <w:rPr>
          <w:szCs w:val="22"/>
        </w:rPr>
        <w:t xml:space="preserve">also </w:t>
      </w:r>
      <w:r w:rsidR="004A7224">
        <w:rPr>
          <w:szCs w:val="22"/>
        </w:rPr>
        <w:t xml:space="preserve">obviate </w:t>
      </w:r>
      <w:r w:rsidR="004F0E52" w:rsidRPr="00B6445F">
        <w:rPr>
          <w:szCs w:val="22"/>
        </w:rPr>
        <w:t xml:space="preserve">the need for performance and construction requirements </w:t>
      </w:r>
      <w:r w:rsidR="00C04061">
        <w:rPr>
          <w:szCs w:val="22"/>
        </w:rPr>
        <w:t xml:space="preserve">that </w:t>
      </w:r>
      <w:r w:rsidR="004A7224">
        <w:rPr>
          <w:szCs w:val="22"/>
        </w:rPr>
        <w:t>could be</w:t>
      </w:r>
      <w:r w:rsidR="00C04061">
        <w:rPr>
          <w:szCs w:val="22"/>
        </w:rPr>
        <w:t xml:space="preserve"> especially burdensome and </w:t>
      </w:r>
      <w:r w:rsidR="004A7224">
        <w:rPr>
          <w:szCs w:val="22"/>
        </w:rPr>
        <w:t xml:space="preserve">difficult </w:t>
      </w:r>
      <w:r w:rsidR="00C04061">
        <w:rPr>
          <w:szCs w:val="22"/>
        </w:rPr>
        <w:t>to administer in the small cell context</w:t>
      </w:r>
      <w:r w:rsidR="00477A24">
        <w:rPr>
          <w:szCs w:val="22"/>
        </w:rPr>
        <w:t>.</w:t>
      </w:r>
      <w:r w:rsidR="00EA0541" w:rsidRPr="00EA0541">
        <w:rPr>
          <w:szCs w:val="22"/>
        </w:rPr>
        <w:t xml:space="preserve"> </w:t>
      </w:r>
    </w:p>
    <w:p w:rsidR="004F0E52" w:rsidRPr="00B6445F" w:rsidRDefault="003F2143" w:rsidP="00257EBC">
      <w:pPr>
        <w:pStyle w:val="ParaNum"/>
        <w:widowControl/>
        <w:rPr>
          <w:szCs w:val="22"/>
        </w:rPr>
      </w:pPr>
      <w:r w:rsidRPr="00B6445F">
        <w:rPr>
          <w:szCs w:val="22"/>
        </w:rPr>
        <w:t xml:space="preserve">In the </w:t>
      </w:r>
      <w:r w:rsidR="0037434C">
        <w:rPr>
          <w:szCs w:val="22"/>
        </w:rPr>
        <w:t>Revised Framework</w:t>
      </w:r>
      <w:r w:rsidRPr="00B6445F">
        <w:rPr>
          <w:szCs w:val="22"/>
        </w:rPr>
        <w:t xml:space="preserve">, </w:t>
      </w:r>
      <w:r w:rsidR="004A7224">
        <w:rPr>
          <w:szCs w:val="22"/>
        </w:rPr>
        <w:t>t</w:t>
      </w:r>
      <w:r w:rsidR="004F0E52" w:rsidRPr="00B6445F">
        <w:rPr>
          <w:szCs w:val="22"/>
        </w:rPr>
        <w:t xml:space="preserve">he GAA </w:t>
      </w:r>
      <w:r w:rsidR="00030698">
        <w:rPr>
          <w:szCs w:val="22"/>
        </w:rPr>
        <w:t>tier</w:t>
      </w:r>
      <w:r w:rsidR="004F0E52" w:rsidRPr="00B6445F">
        <w:rPr>
          <w:szCs w:val="22"/>
        </w:rPr>
        <w:t xml:space="preserve"> plays </w:t>
      </w:r>
      <w:r w:rsidR="00257F3F">
        <w:rPr>
          <w:szCs w:val="22"/>
        </w:rPr>
        <w:t>an important</w:t>
      </w:r>
      <w:r w:rsidR="004F0E52" w:rsidRPr="00B6445F">
        <w:rPr>
          <w:szCs w:val="22"/>
        </w:rPr>
        <w:t xml:space="preserve"> role in</w:t>
      </w:r>
      <w:r w:rsidR="004A7224">
        <w:rPr>
          <w:szCs w:val="22"/>
        </w:rPr>
        <w:t xml:space="preserve"> </w:t>
      </w:r>
      <w:r w:rsidR="004F0E52" w:rsidRPr="00B6445F">
        <w:rPr>
          <w:szCs w:val="22"/>
        </w:rPr>
        <w:t xml:space="preserve">ensuring that </w:t>
      </w:r>
      <w:r w:rsidRPr="00B6445F">
        <w:rPr>
          <w:szCs w:val="22"/>
        </w:rPr>
        <w:t>the 3.5 GHz</w:t>
      </w:r>
      <w:r w:rsidR="004F0E52" w:rsidRPr="00B6445F">
        <w:rPr>
          <w:szCs w:val="22"/>
        </w:rPr>
        <w:t xml:space="preserve"> Band is </w:t>
      </w:r>
      <w:r w:rsidR="004A7224">
        <w:rPr>
          <w:szCs w:val="22"/>
        </w:rPr>
        <w:t>used consistent</w:t>
      </w:r>
      <w:r w:rsidR="00DA0D6E">
        <w:rPr>
          <w:szCs w:val="22"/>
        </w:rPr>
        <w:t>ly</w:t>
      </w:r>
      <w:r w:rsidR="004A7224">
        <w:rPr>
          <w:szCs w:val="22"/>
        </w:rPr>
        <w:t xml:space="preserve"> and productive</w:t>
      </w:r>
      <w:r w:rsidR="00DA0D6E">
        <w:rPr>
          <w:szCs w:val="22"/>
        </w:rPr>
        <w:t>ly</w:t>
      </w:r>
      <w:r w:rsidR="004F0E52" w:rsidRPr="00B6445F">
        <w:rPr>
          <w:szCs w:val="22"/>
        </w:rPr>
        <w:t>.</w:t>
      </w:r>
      <w:r w:rsidRPr="00B6445F">
        <w:rPr>
          <w:szCs w:val="22"/>
        </w:rPr>
        <w:t xml:space="preserve">  Ensuring that a significant GAA “floor” is maintained in all geographic areas where commercial use of the 3.5 GHz Band is permitted, </w:t>
      </w:r>
      <w:r w:rsidR="00511FBD">
        <w:rPr>
          <w:szCs w:val="22"/>
        </w:rPr>
        <w:t xml:space="preserve">regardless of the number of Priority Access tier users in the area, </w:t>
      </w:r>
      <w:r w:rsidRPr="00B6445F">
        <w:rPr>
          <w:szCs w:val="22"/>
        </w:rPr>
        <w:t>should encourage widespread deployment of base stations and handsets that would operate</w:t>
      </w:r>
      <w:r w:rsidR="004A7224">
        <w:rPr>
          <w:szCs w:val="22"/>
        </w:rPr>
        <w:t xml:space="preserve"> opportunistically</w:t>
      </w:r>
      <w:r w:rsidRPr="00B6445F">
        <w:rPr>
          <w:szCs w:val="22"/>
        </w:rPr>
        <w:t xml:space="preserve"> in th</w:t>
      </w:r>
      <w:r w:rsidR="00DA0D6E">
        <w:rPr>
          <w:szCs w:val="22"/>
        </w:rPr>
        <w:t>e</w:t>
      </w:r>
      <w:r w:rsidRPr="00B6445F">
        <w:rPr>
          <w:szCs w:val="22"/>
        </w:rPr>
        <w:t xml:space="preserve"> band</w:t>
      </w:r>
      <w:r w:rsidR="000E0A26">
        <w:rPr>
          <w:szCs w:val="22"/>
        </w:rPr>
        <w:t xml:space="preserve"> under the control of the SAS</w:t>
      </w:r>
      <w:r w:rsidRPr="00B6445F">
        <w:rPr>
          <w:szCs w:val="22"/>
        </w:rPr>
        <w:t xml:space="preserve">.  Moreover, under the </w:t>
      </w:r>
      <w:r w:rsidR="0037434C">
        <w:rPr>
          <w:szCs w:val="22"/>
        </w:rPr>
        <w:t>Revised Framework</w:t>
      </w:r>
      <w:r w:rsidRPr="00B6445F">
        <w:rPr>
          <w:szCs w:val="22"/>
        </w:rPr>
        <w:t xml:space="preserve">, </w:t>
      </w:r>
      <w:r w:rsidR="00865E83">
        <w:rPr>
          <w:szCs w:val="22"/>
        </w:rPr>
        <w:t>PAL</w:t>
      </w:r>
      <w:r w:rsidRPr="00B6445F">
        <w:rPr>
          <w:szCs w:val="22"/>
        </w:rPr>
        <w:t xml:space="preserve">s that are not in actual use would be </w:t>
      </w:r>
      <w:r w:rsidR="00F44993">
        <w:rPr>
          <w:szCs w:val="22"/>
        </w:rPr>
        <w:t xml:space="preserve">added to the pool of available </w:t>
      </w:r>
      <w:r w:rsidRPr="00B6445F">
        <w:rPr>
          <w:szCs w:val="22"/>
        </w:rPr>
        <w:t>GAA</w:t>
      </w:r>
      <w:r w:rsidR="00F44993">
        <w:rPr>
          <w:szCs w:val="22"/>
        </w:rPr>
        <w:t xml:space="preserve"> spectrum</w:t>
      </w:r>
      <w:r w:rsidRPr="00B6445F">
        <w:rPr>
          <w:szCs w:val="22"/>
        </w:rPr>
        <w:t xml:space="preserve">, as determined by the SAS.  Thus, the GAA </w:t>
      </w:r>
      <w:r w:rsidR="00030698">
        <w:rPr>
          <w:szCs w:val="22"/>
        </w:rPr>
        <w:t>tier</w:t>
      </w:r>
      <w:r w:rsidRPr="00B6445F">
        <w:rPr>
          <w:szCs w:val="22"/>
        </w:rPr>
        <w:t xml:space="preserve"> could be used to supplement the spectrum available to active Priority Access users and as </w:t>
      </w:r>
      <w:r w:rsidR="0041628A">
        <w:rPr>
          <w:szCs w:val="22"/>
        </w:rPr>
        <w:t>a</w:t>
      </w:r>
      <w:r w:rsidRPr="00B6445F">
        <w:rPr>
          <w:szCs w:val="22"/>
        </w:rPr>
        <w:t xml:space="preserve"> source of spectrum for opportunistic users</w:t>
      </w:r>
      <w:r w:rsidR="00DF2BAE">
        <w:rPr>
          <w:szCs w:val="22"/>
        </w:rPr>
        <w:t xml:space="preserve"> as determined by the SAS</w:t>
      </w:r>
      <w:r w:rsidRPr="00B6445F">
        <w:rPr>
          <w:szCs w:val="22"/>
        </w:rPr>
        <w:t>.  These complementary functions should maximize the utility of the 3.5 GHz Band for a diverse set of applications.</w:t>
      </w:r>
    </w:p>
    <w:p w:rsidR="003F2143" w:rsidRPr="00B6445F" w:rsidRDefault="003F2143" w:rsidP="00257EBC">
      <w:pPr>
        <w:pStyle w:val="ParaNum"/>
        <w:widowControl/>
        <w:rPr>
          <w:szCs w:val="22"/>
        </w:rPr>
      </w:pPr>
      <w:r w:rsidRPr="00B6445F">
        <w:rPr>
          <w:szCs w:val="22"/>
        </w:rPr>
        <w:t>We seek comment on this approach</w:t>
      </w:r>
      <w:r w:rsidR="00597BCD">
        <w:rPr>
          <w:szCs w:val="22"/>
        </w:rPr>
        <w:t xml:space="preserve"> </w:t>
      </w:r>
      <w:r w:rsidR="00257F3F">
        <w:rPr>
          <w:szCs w:val="22"/>
        </w:rPr>
        <w:t>to promoting</w:t>
      </w:r>
      <w:r w:rsidRPr="00B6445F">
        <w:rPr>
          <w:szCs w:val="22"/>
        </w:rPr>
        <w:t xml:space="preserve"> productive use of the 3.5 GHz Band</w:t>
      </w:r>
      <w:r w:rsidR="00DA0D6E">
        <w:rPr>
          <w:szCs w:val="22"/>
        </w:rPr>
        <w:t>.</w:t>
      </w:r>
      <w:r w:rsidRPr="00B6445F">
        <w:rPr>
          <w:szCs w:val="22"/>
        </w:rPr>
        <w:t xml:space="preserve">  </w:t>
      </w:r>
      <w:r w:rsidR="00257F3F">
        <w:rPr>
          <w:szCs w:val="22"/>
        </w:rPr>
        <w:t xml:space="preserve">Would the PAL concept provide strong incentives for licensees to productive use their priority rights? </w:t>
      </w:r>
      <w:r w:rsidR="000E7FB8">
        <w:rPr>
          <w:szCs w:val="22"/>
        </w:rPr>
        <w:t xml:space="preserve">What technical metrics are appropriate to measure “use” in a portion of or the entirety of </w:t>
      </w:r>
      <w:r w:rsidR="00A92637">
        <w:rPr>
          <w:szCs w:val="22"/>
        </w:rPr>
        <w:t>a</w:t>
      </w:r>
      <w:r w:rsidR="000E7FB8">
        <w:rPr>
          <w:szCs w:val="22"/>
        </w:rPr>
        <w:t xml:space="preserve"> </w:t>
      </w:r>
      <w:r w:rsidR="00865E83">
        <w:rPr>
          <w:szCs w:val="22"/>
        </w:rPr>
        <w:t>PAL</w:t>
      </w:r>
      <w:r w:rsidR="000E7FB8">
        <w:rPr>
          <w:szCs w:val="22"/>
        </w:rPr>
        <w:t>?</w:t>
      </w:r>
      <w:r w:rsidR="008E7A28">
        <w:rPr>
          <w:szCs w:val="22"/>
        </w:rPr>
        <w:t xml:space="preserve"> </w:t>
      </w:r>
      <w:r w:rsidR="000E7FB8">
        <w:rPr>
          <w:szCs w:val="22"/>
        </w:rPr>
        <w:t xml:space="preserve"> How can </w:t>
      </w:r>
      <w:r w:rsidR="00F44993">
        <w:rPr>
          <w:szCs w:val="22"/>
        </w:rPr>
        <w:t xml:space="preserve">the SAS effectively monitor actual use of the Priority Access tier to determine whether additional spectrum is available for GAA use?  </w:t>
      </w:r>
      <w:r w:rsidR="000E7FB8">
        <w:rPr>
          <w:szCs w:val="22"/>
        </w:rPr>
        <w:t xml:space="preserve"> </w:t>
      </w:r>
    </w:p>
    <w:p w:rsidR="000763BC" w:rsidRPr="00B6445F" w:rsidRDefault="000763BC" w:rsidP="00257EBC">
      <w:pPr>
        <w:pStyle w:val="Heading2"/>
        <w:widowControl/>
        <w:rPr>
          <w:szCs w:val="22"/>
        </w:rPr>
      </w:pPr>
      <w:bookmarkStart w:id="71" w:name="_Toc364956236"/>
      <w:bookmarkStart w:id="72" w:name="_Toc365040869"/>
      <w:bookmarkStart w:id="73" w:name="_Toc365381565"/>
      <w:bookmarkStart w:id="74" w:name="_Toc365539321"/>
      <w:bookmarkStart w:id="75" w:name="_Toc366145033"/>
      <w:bookmarkStart w:id="76" w:name="_Toc366157658"/>
      <w:bookmarkStart w:id="77" w:name="_Toc366159770"/>
      <w:bookmarkStart w:id="78" w:name="_Toc367261119"/>
      <w:r w:rsidRPr="00B6445F">
        <w:rPr>
          <w:szCs w:val="22"/>
        </w:rPr>
        <w:t>Localized Critical Access Use</w:t>
      </w:r>
      <w:bookmarkEnd w:id="71"/>
      <w:bookmarkEnd w:id="72"/>
      <w:bookmarkEnd w:id="73"/>
      <w:bookmarkEnd w:id="74"/>
      <w:bookmarkEnd w:id="75"/>
      <w:bookmarkEnd w:id="76"/>
      <w:bookmarkEnd w:id="77"/>
      <w:bookmarkEnd w:id="78"/>
    </w:p>
    <w:p w:rsidR="00B55558" w:rsidRPr="00B6445F" w:rsidRDefault="00274EA2" w:rsidP="00257EBC">
      <w:pPr>
        <w:pStyle w:val="ParaNum"/>
        <w:widowControl/>
        <w:rPr>
          <w:szCs w:val="22"/>
        </w:rPr>
      </w:pPr>
      <w:r w:rsidRPr="00B6445F">
        <w:rPr>
          <w:szCs w:val="22"/>
        </w:rPr>
        <w:t xml:space="preserve">As </w:t>
      </w:r>
      <w:r w:rsidR="000E0A26">
        <w:rPr>
          <w:szCs w:val="22"/>
        </w:rPr>
        <w:t xml:space="preserve">explained </w:t>
      </w:r>
      <w:r w:rsidRPr="00B6445F">
        <w:rPr>
          <w:szCs w:val="22"/>
        </w:rPr>
        <w:t xml:space="preserve">in the NPRM, a variety of </w:t>
      </w:r>
      <w:r w:rsidR="00F43A8B" w:rsidRPr="00B6445F">
        <w:rPr>
          <w:szCs w:val="22"/>
        </w:rPr>
        <w:t>critical</w:t>
      </w:r>
      <w:r w:rsidRPr="00B6445F">
        <w:rPr>
          <w:szCs w:val="22"/>
        </w:rPr>
        <w:t xml:space="preserve"> services in the United States </w:t>
      </w:r>
      <w:r w:rsidR="00F43A8B" w:rsidRPr="00B6445F">
        <w:rPr>
          <w:szCs w:val="22"/>
        </w:rPr>
        <w:t xml:space="preserve">have urgent </w:t>
      </w:r>
      <w:r w:rsidR="00F43A8B" w:rsidRPr="00B6445F">
        <w:rPr>
          <w:szCs w:val="22"/>
        </w:rPr>
        <w:lastRenderedPageBreak/>
        <w:t xml:space="preserve">current </w:t>
      </w:r>
      <w:r w:rsidR="00DA0D6E">
        <w:rPr>
          <w:szCs w:val="22"/>
        </w:rPr>
        <w:t xml:space="preserve">as well as </w:t>
      </w:r>
      <w:r w:rsidR="00F43A8B" w:rsidRPr="00B6445F">
        <w:rPr>
          <w:szCs w:val="22"/>
        </w:rPr>
        <w:t>future spectrum needs.</w:t>
      </w:r>
      <w:r w:rsidR="00F43A8B" w:rsidRPr="00B6445F">
        <w:rPr>
          <w:rStyle w:val="FootnoteReference"/>
          <w:szCs w:val="22"/>
        </w:rPr>
        <w:footnoteReference w:id="58"/>
      </w:r>
      <w:r w:rsidR="00F43A8B" w:rsidRPr="00B6445F">
        <w:rPr>
          <w:szCs w:val="22"/>
        </w:rPr>
        <w:t xml:space="preserve">  </w:t>
      </w:r>
      <w:r w:rsidR="00FA761C" w:rsidRPr="00B6445F">
        <w:rPr>
          <w:szCs w:val="22"/>
        </w:rPr>
        <w:t>Wh</w:t>
      </w:r>
      <w:r w:rsidRPr="00B6445F">
        <w:rPr>
          <w:szCs w:val="22"/>
        </w:rPr>
        <w:t xml:space="preserve">ile there is </w:t>
      </w:r>
      <w:r w:rsidR="000E0A26">
        <w:rPr>
          <w:szCs w:val="22"/>
        </w:rPr>
        <w:t>currently insufficient</w:t>
      </w:r>
      <w:r w:rsidRPr="00B6445F">
        <w:rPr>
          <w:szCs w:val="22"/>
        </w:rPr>
        <w:t xml:space="preserve"> spectrum available to efficiently allocate dedicated spectrum bands to all of these users, we</w:t>
      </w:r>
      <w:r w:rsidR="007E1907" w:rsidRPr="00B6445F">
        <w:rPr>
          <w:szCs w:val="22"/>
        </w:rPr>
        <w:t xml:space="preserve"> continue to</w:t>
      </w:r>
      <w:r w:rsidRPr="00B6445F">
        <w:rPr>
          <w:szCs w:val="22"/>
        </w:rPr>
        <w:t xml:space="preserve"> believe that the 3.5 GHz Band can be used to provide localized, protected spectrum to </w:t>
      </w:r>
      <w:r w:rsidR="00511FBD">
        <w:rPr>
          <w:szCs w:val="22"/>
        </w:rPr>
        <w:t>entities with a need for reliable, interference protected</w:t>
      </w:r>
      <w:r w:rsidRPr="00B6445F">
        <w:rPr>
          <w:szCs w:val="22"/>
        </w:rPr>
        <w:t xml:space="preserve"> </w:t>
      </w:r>
      <w:r w:rsidR="00511FBD">
        <w:rPr>
          <w:szCs w:val="22"/>
        </w:rPr>
        <w:t>spectrum access</w:t>
      </w:r>
      <w:r w:rsidRPr="00B6445F">
        <w:rPr>
          <w:szCs w:val="22"/>
        </w:rPr>
        <w:t xml:space="preserve"> throughout much of the country.</w:t>
      </w:r>
      <w:r w:rsidR="00D028BD" w:rsidRPr="00B6445F">
        <w:rPr>
          <w:rStyle w:val="FootnoteReference"/>
          <w:szCs w:val="22"/>
        </w:rPr>
        <w:footnoteReference w:id="59"/>
      </w:r>
      <w:r w:rsidRPr="00B6445F">
        <w:rPr>
          <w:szCs w:val="22"/>
        </w:rPr>
        <w:t xml:space="preserve">  </w:t>
      </w:r>
      <w:r w:rsidR="002667CA" w:rsidRPr="00B6445F">
        <w:rPr>
          <w:szCs w:val="22"/>
        </w:rPr>
        <w:t>M</w:t>
      </w:r>
      <w:r w:rsidRPr="00B6445F">
        <w:rPr>
          <w:szCs w:val="22"/>
        </w:rPr>
        <w:t xml:space="preserve">any </w:t>
      </w:r>
      <w:r w:rsidR="002667CA" w:rsidRPr="00B6445F">
        <w:rPr>
          <w:szCs w:val="22"/>
        </w:rPr>
        <w:t xml:space="preserve">parties, including Motorola Solutions, </w:t>
      </w:r>
      <w:r w:rsidR="00D440ED">
        <w:rPr>
          <w:szCs w:val="22"/>
        </w:rPr>
        <w:t>UTI, EEI, and</w:t>
      </w:r>
      <w:r w:rsidR="007654BC">
        <w:rPr>
          <w:szCs w:val="22"/>
        </w:rPr>
        <w:t xml:space="preserve"> </w:t>
      </w:r>
      <w:r w:rsidR="002667CA" w:rsidRPr="00B6445F">
        <w:rPr>
          <w:szCs w:val="22"/>
        </w:rPr>
        <w:t xml:space="preserve">Microsoft submitted comments supporting </w:t>
      </w:r>
      <w:r w:rsidR="00511FBD">
        <w:rPr>
          <w:szCs w:val="22"/>
        </w:rPr>
        <w:t>such</w:t>
      </w:r>
      <w:r w:rsidR="002667CA" w:rsidRPr="00B6445F">
        <w:rPr>
          <w:szCs w:val="22"/>
        </w:rPr>
        <w:t xml:space="preserve"> access to the 3.5 GHz Band for various critical access users.</w:t>
      </w:r>
      <w:r w:rsidR="00D028BD" w:rsidRPr="00B6445F">
        <w:rPr>
          <w:rStyle w:val="FootnoteReference"/>
          <w:szCs w:val="22"/>
        </w:rPr>
        <w:footnoteReference w:id="60"/>
      </w:r>
      <w:r w:rsidR="002667CA" w:rsidRPr="00B6445F">
        <w:rPr>
          <w:szCs w:val="22"/>
        </w:rPr>
        <w:t xml:space="preserve">  Even as we </w:t>
      </w:r>
      <w:r w:rsidR="00530AA1" w:rsidRPr="00B6445F">
        <w:rPr>
          <w:szCs w:val="22"/>
        </w:rPr>
        <w:t>explore methods for</w:t>
      </w:r>
      <w:r w:rsidR="002667CA" w:rsidRPr="00B6445F">
        <w:rPr>
          <w:szCs w:val="22"/>
        </w:rPr>
        <w:t xml:space="preserve"> expanding access to the Priority Access tier, we continue to believe that “the high spatial reuse characteristics of low-power 3.5 GHz transmissions, combined with access management facilitated by the SAS, should allow the 3.5 GHz Band to be utilized on a shared, licensed basis by a variety of critical users to provide high quality services to localized facilities.”</w:t>
      </w:r>
      <w:r w:rsidR="00D028BD" w:rsidRPr="00B6445F">
        <w:rPr>
          <w:rStyle w:val="FootnoteReference"/>
          <w:szCs w:val="22"/>
        </w:rPr>
        <w:footnoteReference w:id="61"/>
      </w:r>
    </w:p>
    <w:p w:rsidR="00B55558" w:rsidRPr="00B6445F" w:rsidRDefault="00E25332" w:rsidP="00257EBC">
      <w:pPr>
        <w:pStyle w:val="ParaNum"/>
        <w:widowControl/>
        <w:rPr>
          <w:szCs w:val="22"/>
        </w:rPr>
      </w:pPr>
      <w:r w:rsidRPr="00B6445F">
        <w:rPr>
          <w:szCs w:val="22"/>
        </w:rPr>
        <w:t xml:space="preserve">Under the authorization method described </w:t>
      </w:r>
      <w:r w:rsidR="000E0A26">
        <w:rPr>
          <w:szCs w:val="22"/>
        </w:rPr>
        <w:t>above</w:t>
      </w:r>
      <w:r w:rsidRPr="00B6445F">
        <w:rPr>
          <w:szCs w:val="22"/>
        </w:rPr>
        <w:t>, critical access users would be eligible to register and, in the case of mutually exclusive applications, bid for access to Prior</w:t>
      </w:r>
      <w:r w:rsidR="00030698">
        <w:rPr>
          <w:szCs w:val="22"/>
        </w:rPr>
        <w:t xml:space="preserve">ity Access </w:t>
      </w:r>
      <w:r w:rsidR="00C80135" w:rsidRPr="00B6445F">
        <w:rPr>
          <w:szCs w:val="22"/>
        </w:rPr>
        <w:t xml:space="preserve">tier </w:t>
      </w:r>
      <w:r w:rsidR="00865E83">
        <w:rPr>
          <w:szCs w:val="22"/>
        </w:rPr>
        <w:t>PAL</w:t>
      </w:r>
      <w:r w:rsidR="00C80135" w:rsidRPr="00B6445F">
        <w:rPr>
          <w:szCs w:val="22"/>
        </w:rPr>
        <w:t xml:space="preserve">s.  </w:t>
      </w:r>
      <w:r w:rsidRPr="00B6445F">
        <w:rPr>
          <w:szCs w:val="22"/>
        </w:rPr>
        <w:t xml:space="preserve"> However, many such facilities (</w:t>
      </w:r>
      <w:r w:rsidR="00D028BD" w:rsidRPr="00585D5F">
        <w:rPr>
          <w:i/>
          <w:szCs w:val="22"/>
        </w:rPr>
        <w:t>e.g.</w:t>
      </w:r>
      <w:r w:rsidR="00677D7D">
        <w:rPr>
          <w:i/>
          <w:szCs w:val="22"/>
        </w:rPr>
        <w:t>,</w:t>
      </w:r>
      <w:r w:rsidR="00D028BD" w:rsidRPr="00B6445F">
        <w:rPr>
          <w:szCs w:val="22"/>
        </w:rPr>
        <w:t xml:space="preserve"> </w:t>
      </w:r>
      <w:r w:rsidRPr="00B6445F">
        <w:rPr>
          <w:szCs w:val="22"/>
        </w:rPr>
        <w:t xml:space="preserve">hospitals) </w:t>
      </w:r>
      <w:r w:rsidR="00A067CF">
        <w:rPr>
          <w:szCs w:val="22"/>
        </w:rPr>
        <w:t>generally only need access within specific buildings</w:t>
      </w:r>
      <w:r w:rsidRPr="00B6445F">
        <w:rPr>
          <w:szCs w:val="22"/>
        </w:rPr>
        <w:t xml:space="preserve"> </w:t>
      </w:r>
      <w:r w:rsidR="00A067CF">
        <w:rPr>
          <w:szCs w:val="22"/>
        </w:rPr>
        <w:t xml:space="preserve">and therefore </w:t>
      </w:r>
      <w:r w:rsidR="005F7EBE">
        <w:rPr>
          <w:szCs w:val="22"/>
        </w:rPr>
        <w:t xml:space="preserve">may not require </w:t>
      </w:r>
      <w:r w:rsidRPr="00B6445F">
        <w:rPr>
          <w:szCs w:val="22"/>
        </w:rPr>
        <w:t xml:space="preserve">exclusive access to even a </w:t>
      </w:r>
      <w:r w:rsidR="00030698">
        <w:rPr>
          <w:szCs w:val="22"/>
        </w:rPr>
        <w:t>full census tract of Priority Access tier spectrum</w:t>
      </w:r>
      <w:r w:rsidRPr="00B6445F">
        <w:rPr>
          <w:szCs w:val="22"/>
        </w:rPr>
        <w:t xml:space="preserve">.  Moreover, these </w:t>
      </w:r>
      <w:r w:rsidR="00F9435B">
        <w:rPr>
          <w:szCs w:val="22"/>
        </w:rPr>
        <w:t xml:space="preserve">users </w:t>
      </w:r>
      <w:r w:rsidRPr="00B6445F">
        <w:rPr>
          <w:szCs w:val="22"/>
        </w:rPr>
        <w:t xml:space="preserve">would likely be unable to outbid </w:t>
      </w:r>
      <w:proofErr w:type="gramStart"/>
      <w:r w:rsidRPr="00B6445F">
        <w:rPr>
          <w:szCs w:val="22"/>
        </w:rPr>
        <w:t>well capitalized</w:t>
      </w:r>
      <w:proofErr w:type="gramEnd"/>
      <w:r w:rsidRPr="00B6445F">
        <w:rPr>
          <w:szCs w:val="22"/>
        </w:rPr>
        <w:t xml:space="preserve"> commercial interests for competitive </w:t>
      </w:r>
      <w:r w:rsidR="00865E83">
        <w:rPr>
          <w:szCs w:val="22"/>
        </w:rPr>
        <w:t>PAL</w:t>
      </w:r>
      <w:r w:rsidRPr="00B6445F">
        <w:rPr>
          <w:szCs w:val="22"/>
        </w:rPr>
        <w:t>s.  As such, we seek comment on whether it would be possible to</w:t>
      </w:r>
      <w:r w:rsidR="00A067CF">
        <w:rPr>
          <w:szCs w:val="22"/>
        </w:rPr>
        <w:t xml:space="preserve"> allow </w:t>
      </w:r>
      <w:r w:rsidR="00665433">
        <w:rPr>
          <w:szCs w:val="22"/>
        </w:rPr>
        <w:t xml:space="preserve">such </w:t>
      </w:r>
      <w:r w:rsidR="00A067CF">
        <w:rPr>
          <w:szCs w:val="22"/>
        </w:rPr>
        <w:t xml:space="preserve">critical users to receive interference protections, akin to Priority Access users, within </w:t>
      </w:r>
      <w:r w:rsidR="005A144F" w:rsidRPr="00B6445F">
        <w:rPr>
          <w:szCs w:val="22"/>
        </w:rPr>
        <w:t>a limited</w:t>
      </w:r>
      <w:r w:rsidRPr="00B6445F">
        <w:rPr>
          <w:szCs w:val="22"/>
        </w:rPr>
        <w:t xml:space="preserve"> portion (</w:t>
      </w:r>
      <w:r w:rsidR="000E0A26">
        <w:rPr>
          <w:i/>
          <w:szCs w:val="22"/>
        </w:rPr>
        <w:t>e.g.</w:t>
      </w:r>
      <w:r w:rsidR="005F7EBE">
        <w:rPr>
          <w:i/>
          <w:szCs w:val="22"/>
        </w:rPr>
        <w:t>,</w:t>
      </w:r>
      <w:r w:rsidR="00D028BD" w:rsidRPr="00B6445F">
        <w:rPr>
          <w:szCs w:val="22"/>
        </w:rPr>
        <w:t xml:space="preserve"> </w:t>
      </w:r>
      <w:r w:rsidR="008348A7">
        <w:rPr>
          <w:szCs w:val="22"/>
        </w:rPr>
        <w:t>20 megahertz</w:t>
      </w:r>
      <w:r w:rsidRPr="00B6445F">
        <w:rPr>
          <w:szCs w:val="22"/>
        </w:rPr>
        <w:t xml:space="preserve">) of the GAA pool </w:t>
      </w:r>
      <w:r w:rsidR="00A067CF">
        <w:rPr>
          <w:szCs w:val="22"/>
        </w:rPr>
        <w:t>inside the confines of their facilities</w:t>
      </w:r>
      <w:r w:rsidRPr="00B6445F">
        <w:rPr>
          <w:szCs w:val="22"/>
        </w:rPr>
        <w:t>.</w:t>
      </w:r>
    </w:p>
    <w:p w:rsidR="00B55558" w:rsidRPr="00B6445F" w:rsidRDefault="00E25332" w:rsidP="00257EBC">
      <w:pPr>
        <w:pStyle w:val="ParaNum"/>
        <w:widowControl/>
        <w:rPr>
          <w:szCs w:val="22"/>
        </w:rPr>
      </w:pPr>
      <w:r w:rsidRPr="00B6445F">
        <w:rPr>
          <w:szCs w:val="22"/>
        </w:rPr>
        <w:t xml:space="preserve">Under </w:t>
      </w:r>
      <w:r w:rsidR="000E0A26">
        <w:rPr>
          <w:szCs w:val="22"/>
        </w:rPr>
        <w:t>this approach</w:t>
      </w:r>
      <w:r w:rsidRPr="00B6445F">
        <w:rPr>
          <w:szCs w:val="22"/>
        </w:rPr>
        <w:t>, qualified critical access facilities would be eligible to operate indoor small cell networks on a quality</w:t>
      </w:r>
      <w:r w:rsidR="005F7EBE">
        <w:rPr>
          <w:szCs w:val="22"/>
        </w:rPr>
        <w:t>-</w:t>
      </w:r>
      <w:r w:rsidRPr="00B6445F">
        <w:rPr>
          <w:szCs w:val="22"/>
        </w:rPr>
        <w:t xml:space="preserve">assured basis.  These </w:t>
      </w:r>
      <w:r w:rsidR="00F855DA">
        <w:rPr>
          <w:szCs w:val="22"/>
        </w:rPr>
        <w:t>licensees would be required to register their networks in the</w:t>
      </w:r>
      <w:r w:rsidRPr="00B6445F">
        <w:rPr>
          <w:szCs w:val="22"/>
        </w:rPr>
        <w:t xml:space="preserve"> SAS and </w:t>
      </w:r>
      <w:r w:rsidR="00F855DA">
        <w:rPr>
          <w:szCs w:val="22"/>
        </w:rPr>
        <w:t>comply</w:t>
      </w:r>
      <w:r w:rsidRPr="00B6445F">
        <w:rPr>
          <w:szCs w:val="22"/>
        </w:rPr>
        <w:t xml:space="preserve"> with applicable technical rules, including </w:t>
      </w:r>
      <w:r w:rsidR="00F855DA">
        <w:rPr>
          <w:szCs w:val="22"/>
        </w:rPr>
        <w:t xml:space="preserve">low </w:t>
      </w:r>
      <w:r w:rsidRPr="00B6445F">
        <w:rPr>
          <w:szCs w:val="22"/>
        </w:rPr>
        <w:t>power limits.</w:t>
      </w:r>
      <w:r w:rsidR="00C8546F">
        <w:rPr>
          <w:rStyle w:val="FootnoteReference"/>
          <w:szCs w:val="22"/>
        </w:rPr>
        <w:footnoteReference w:id="62"/>
      </w:r>
      <w:r w:rsidR="00C80135" w:rsidRPr="00B6445F">
        <w:rPr>
          <w:szCs w:val="22"/>
        </w:rPr>
        <w:t xml:space="preserve">  In addition, </w:t>
      </w:r>
      <w:r w:rsidR="005E4BBF">
        <w:rPr>
          <w:szCs w:val="22"/>
        </w:rPr>
        <w:t xml:space="preserve">while the SAS could manage GAA use in the area to provide a measure of protection for </w:t>
      </w:r>
      <w:r w:rsidR="00C80135" w:rsidRPr="00B6445F">
        <w:rPr>
          <w:szCs w:val="22"/>
        </w:rPr>
        <w:t>critical access users</w:t>
      </w:r>
      <w:r w:rsidR="005E4BBF">
        <w:rPr>
          <w:szCs w:val="22"/>
        </w:rPr>
        <w:t>, such</w:t>
      </w:r>
      <w:r w:rsidR="00C80135" w:rsidRPr="00B6445F">
        <w:rPr>
          <w:szCs w:val="22"/>
        </w:rPr>
        <w:t xml:space="preserve"> </w:t>
      </w:r>
      <w:r w:rsidR="005E4BBF">
        <w:rPr>
          <w:szCs w:val="22"/>
        </w:rPr>
        <w:t xml:space="preserve">users </w:t>
      </w:r>
      <w:r w:rsidR="000E7FB8">
        <w:rPr>
          <w:szCs w:val="22"/>
        </w:rPr>
        <w:t xml:space="preserve">might </w:t>
      </w:r>
      <w:r w:rsidR="005E4BBF">
        <w:rPr>
          <w:szCs w:val="22"/>
        </w:rPr>
        <w:t>also be required to employ</w:t>
      </w:r>
      <w:r w:rsidR="00C80135" w:rsidRPr="00B6445F">
        <w:rPr>
          <w:szCs w:val="22"/>
        </w:rPr>
        <w:t xml:space="preserve"> </w:t>
      </w:r>
      <w:r w:rsidR="005E4BBF">
        <w:rPr>
          <w:szCs w:val="22"/>
        </w:rPr>
        <w:t xml:space="preserve">interference </w:t>
      </w:r>
      <w:r w:rsidR="00C80135" w:rsidRPr="00B6445F">
        <w:rPr>
          <w:szCs w:val="22"/>
        </w:rPr>
        <w:t>mitigation techniques</w:t>
      </w:r>
      <w:r w:rsidR="005E4BBF">
        <w:rPr>
          <w:szCs w:val="22"/>
        </w:rPr>
        <w:t xml:space="preserve"> to ensure a properly interference</w:t>
      </w:r>
      <w:r w:rsidR="005F7EBE">
        <w:rPr>
          <w:szCs w:val="22"/>
        </w:rPr>
        <w:t>-</w:t>
      </w:r>
      <w:r w:rsidR="005E4BBF">
        <w:rPr>
          <w:szCs w:val="22"/>
        </w:rPr>
        <w:t>limited environment.</w:t>
      </w:r>
      <w:r w:rsidR="00C80135" w:rsidRPr="00B6445F">
        <w:rPr>
          <w:szCs w:val="22"/>
        </w:rPr>
        <w:t xml:space="preserve"> </w:t>
      </w:r>
      <w:r w:rsidR="008E7A28">
        <w:rPr>
          <w:szCs w:val="22"/>
        </w:rPr>
        <w:t xml:space="preserve"> </w:t>
      </w:r>
      <w:r w:rsidR="00C80135" w:rsidRPr="00B6445F">
        <w:rPr>
          <w:szCs w:val="22"/>
        </w:rPr>
        <w:t>Such techniques could include physical shielding or building modifications</w:t>
      </w:r>
      <w:r w:rsidR="00F855DA">
        <w:rPr>
          <w:szCs w:val="22"/>
        </w:rPr>
        <w:t xml:space="preserve"> around eligible facilities</w:t>
      </w:r>
      <w:r w:rsidR="00C80135" w:rsidRPr="00B6445F">
        <w:rPr>
          <w:szCs w:val="22"/>
        </w:rPr>
        <w:t>.</w:t>
      </w:r>
      <w:r w:rsidR="00242941" w:rsidRPr="00B6445F">
        <w:rPr>
          <w:szCs w:val="22"/>
        </w:rPr>
        <w:t xml:space="preserve"> </w:t>
      </w:r>
      <w:r w:rsidR="007654BC">
        <w:rPr>
          <w:szCs w:val="22"/>
        </w:rPr>
        <w:t xml:space="preserve"> </w:t>
      </w:r>
      <w:r w:rsidR="00242941" w:rsidRPr="00B6445F">
        <w:rPr>
          <w:szCs w:val="22"/>
        </w:rPr>
        <w:t xml:space="preserve">Alternatively, </w:t>
      </w:r>
      <w:r w:rsidR="00E232F9">
        <w:rPr>
          <w:szCs w:val="22"/>
        </w:rPr>
        <w:t>there may be standard</w:t>
      </w:r>
      <w:r w:rsidR="00242941" w:rsidRPr="00B6445F">
        <w:rPr>
          <w:szCs w:val="22"/>
        </w:rPr>
        <w:t xml:space="preserve"> specification</w:t>
      </w:r>
      <w:r w:rsidR="00E232F9">
        <w:rPr>
          <w:szCs w:val="22"/>
        </w:rPr>
        <w:t>s</w:t>
      </w:r>
      <w:r w:rsidR="00242941" w:rsidRPr="00B6445F">
        <w:rPr>
          <w:szCs w:val="22"/>
        </w:rPr>
        <w:t xml:space="preserve"> for building efficiency or </w:t>
      </w:r>
      <w:r w:rsidR="00251CF0">
        <w:rPr>
          <w:szCs w:val="22"/>
        </w:rPr>
        <w:t>radio frequency (</w:t>
      </w:r>
      <w:r w:rsidR="00242941" w:rsidRPr="00B6445F">
        <w:rPr>
          <w:szCs w:val="22"/>
        </w:rPr>
        <w:t>RF</w:t>
      </w:r>
      <w:r w:rsidR="00251CF0">
        <w:rPr>
          <w:szCs w:val="22"/>
        </w:rPr>
        <w:t>)</w:t>
      </w:r>
      <w:r w:rsidR="00242941" w:rsidRPr="00B6445F">
        <w:rPr>
          <w:szCs w:val="22"/>
        </w:rPr>
        <w:t xml:space="preserve"> shielding </w:t>
      </w:r>
      <w:r w:rsidR="00E232F9">
        <w:rPr>
          <w:szCs w:val="22"/>
        </w:rPr>
        <w:t xml:space="preserve">that </w:t>
      </w:r>
      <w:r w:rsidR="0037693B">
        <w:rPr>
          <w:szCs w:val="22"/>
        </w:rPr>
        <w:t xml:space="preserve">go beyond those applicable to normal construction that </w:t>
      </w:r>
      <w:r w:rsidR="00E232F9">
        <w:rPr>
          <w:szCs w:val="22"/>
        </w:rPr>
        <w:t xml:space="preserve">could </w:t>
      </w:r>
      <w:r w:rsidR="00242941" w:rsidRPr="00B6445F">
        <w:rPr>
          <w:szCs w:val="22"/>
        </w:rPr>
        <w:t>provide enough certainty against interference from surrounding</w:t>
      </w:r>
      <w:r w:rsidR="00A80DE2">
        <w:rPr>
          <w:szCs w:val="22"/>
        </w:rPr>
        <w:t xml:space="preserve"> Priority Access or</w:t>
      </w:r>
      <w:r w:rsidR="00242941" w:rsidRPr="00B6445F">
        <w:rPr>
          <w:szCs w:val="22"/>
        </w:rPr>
        <w:t xml:space="preserve"> GAA use </w:t>
      </w:r>
      <w:r w:rsidR="00E232F9">
        <w:rPr>
          <w:szCs w:val="22"/>
        </w:rPr>
        <w:t xml:space="preserve">so </w:t>
      </w:r>
      <w:r w:rsidR="00242941" w:rsidRPr="00B6445F">
        <w:rPr>
          <w:szCs w:val="22"/>
        </w:rPr>
        <w:t xml:space="preserve">as to </w:t>
      </w:r>
      <w:r w:rsidR="00E232F9">
        <w:rPr>
          <w:szCs w:val="22"/>
        </w:rPr>
        <w:t>provide</w:t>
      </w:r>
      <w:r w:rsidR="00E232F9" w:rsidRPr="00B6445F">
        <w:rPr>
          <w:szCs w:val="22"/>
        </w:rPr>
        <w:t xml:space="preserve"> </w:t>
      </w:r>
      <w:r w:rsidR="00242941" w:rsidRPr="00B6445F">
        <w:rPr>
          <w:szCs w:val="22"/>
        </w:rPr>
        <w:t>a</w:t>
      </w:r>
      <w:r w:rsidR="00E232F9">
        <w:rPr>
          <w:szCs w:val="22"/>
        </w:rPr>
        <w:t>n interference</w:t>
      </w:r>
      <w:r w:rsidR="00242941" w:rsidRPr="00B6445F">
        <w:rPr>
          <w:szCs w:val="22"/>
        </w:rPr>
        <w:t xml:space="preserve"> “safe harbor” for those seeking critical access protections.</w:t>
      </w:r>
      <w:r w:rsidR="00122126">
        <w:rPr>
          <w:rStyle w:val="FootnoteReference"/>
          <w:szCs w:val="22"/>
        </w:rPr>
        <w:footnoteReference w:id="63"/>
      </w:r>
      <w:r w:rsidR="00251CF0">
        <w:rPr>
          <w:szCs w:val="22"/>
        </w:rPr>
        <w:t xml:space="preserve">  We</w:t>
      </w:r>
      <w:r w:rsidR="00422828">
        <w:rPr>
          <w:szCs w:val="22"/>
        </w:rPr>
        <w:t xml:space="preserve"> note that some modern building standards may incorporate materials that result in </w:t>
      </w:r>
      <w:r w:rsidR="00251CF0">
        <w:rPr>
          <w:szCs w:val="22"/>
        </w:rPr>
        <w:t>some degree of RF shielding.</w:t>
      </w:r>
    </w:p>
    <w:p w:rsidR="00B55558" w:rsidRPr="00B6445F" w:rsidRDefault="00C80135" w:rsidP="00257EBC">
      <w:pPr>
        <w:pStyle w:val="ParaNum"/>
        <w:widowControl/>
        <w:rPr>
          <w:szCs w:val="22"/>
        </w:rPr>
      </w:pPr>
      <w:r w:rsidRPr="00B6445F">
        <w:rPr>
          <w:szCs w:val="22"/>
        </w:rPr>
        <w:t>We seek comment on method</w:t>
      </w:r>
      <w:r w:rsidR="00E232F9">
        <w:rPr>
          <w:szCs w:val="22"/>
        </w:rPr>
        <w:t>s</w:t>
      </w:r>
      <w:r w:rsidRPr="00B6445F">
        <w:rPr>
          <w:szCs w:val="22"/>
        </w:rPr>
        <w:t xml:space="preserve"> </w:t>
      </w:r>
      <w:r w:rsidR="00E232F9">
        <w:rPr>
          <w:szCs w:val="22"/>
        </w:rPr>
        <w:t>to</w:t>
      </w:r>
      <w:r w:rsidRPr="00B6445F">
        <w:rPr>
          <w:szCs w:val="22"/>
        </w:rPr>
        <w:t xml:space="preserve"> provid</w:t>
      </w:r>
      <w:r w:rsidR="00E232F9">
        <w:rPr>
          <w:szCs w:val="22"/>
        </w:rPr>
        <w:t>e</w:t>
      </w:r>
      <w:r w:rsidRPr="00B6445F">
        <w:rPr>
          <w:szCs w:val="22"/>
        </w:rPr>
        <w:t xml:space="preserve"> quality</w:t>
      </w:r>
      <w:r w:rsidR="00E232F9">
        <w:rPr>
          <w:szCs w:val="22"/>
        </w:rPr>
        <w:t>-</w:t>
      </w:r>
      <w:r w:rsidRPr="00B6445F">
        <w:rPr>
          <w:szCs w:val="22"/>
        </w:rPr>
        <w:t xml:space="preserve">assured spectrum for critical </w:t>
      </w:r>
      <w:r w:rsidR="00F9435B">
        <w:rPr>
          <w:szCs w:val="22"/>
        </w:rPr>
        <w:t>a</w:t>
      </w:r>
      <w:r w:rsidRPr="00B6445F">
        <w:rPr>
          <w:szCs w:val="22"/>
        </w:rPr>
        <w:t>ccess users.  Does th</w:t>
      </w:r>
      <w:r w:rsidR="00F9435B">
        <w:rPr>
          <w:szCs w:val="22"/>
        </w:rPr>
        <w:t>e Revised Framework</w:t>
      </w:r>
      <w:r w:rsidRPr="00B6445F">
        <w:rPr>
          <w:szCs w:val="22"/>
        </w:rPr>
        <w:t xml:space="preserve"> adequately address the needs of</w:t>
      </w:r>
      <w:r w:rsidR="00665433">
        <w:rPr>
          <w:szCs w:val="22"/>
        </w:rPr>
        <w:t xml:space="preserve"> such</w:t>
      </w:r>
      <w:r w:rsidRPr="00B6445F">
        <w:rPr>
          <w:szCs w:val="22"/>
        </w:rPr>
        <w:t xml:space="preserve"> critical access users?  Would the SAS be able to effectively manage</w:t>
      </w:r>
      <w:r w:rsidR="005F7EBE">
        <w:rPr>
          <w:szCs w:val="22"/>
        </w:rPr>
        <w:t xml:space="preserve"> spectrum us</w:t>
      </w:r>
      <w:r w:rsidR="00C60E49">
        <w:rPr>
          <w:szCs w:val="22"/>
        </w:rPr>
        <w:t>e</w:t>
      </w:r>
      <w:r w:rsidR="005F7EBE">
        <w:rPr>
          <w:szCs w:val="22"/>
        </w:rPr>
        <w:t xml:space="preserve"> by</w:t>
      </w:r>
      <w:r w:rsidRPr="00B6445F">
        <w:rPr>
          <w:szCs w:val="22"/>
        </w:rPr>
        <w:t xml:space="preserve"> a large number of </w:t>
      </w:r>
      <w:proofErr w:type="spellStart"/>
      <w:r w:rsidRPr="00B6445F">
        <w:rPr>
          <w:szCs w:val="22"/>
        </w:rPr>
        <w:t>microtargeted</w:t>
      </w:r>
      <w:proofErr w:type="spellEnd"/>
      <w:r w:rsidRPr="00B6445F">
        <w:rPr>
          <w:szCs w:val="22"/>
        </w:rPr>
        <w:t xml:space="preserve"> facilities?  What interference mitigation techniques should be required to ensure that these facilities do not interfere with </w:t>
      </w:r>
      <w:r w:rsidR="00665433">
        <w:rPr>
          <w:szCs w:val="22"/>
        </w:rPr>
        <w:t xml:space="preserve">or receive interference from </w:t>
      </w:r>
      <w:r w:rsidRPr="00B6445F">
        <w:rPr>
          <w:szCs w:val="22"/>
        </w:rPr>
        <w:t xml:space="preserve">other 3.5 GHz Band users?  </w:t>
      </w:r>
      <w:r w:rsidR="00D95BEC" w:rsidRPr="00B6445F">
        <w:rPr>
          <w:szCs w:val="22"/>
        </w:rPr>
        <w:t xml:space="preserve">How would compliance with technical rules and interference mitigation requirements be managed?  </w:t>
      </w:r>
      <w:r w:rsidR="00F44993">
        <w:rPr>
          <w:szCs w:val="22"/>
        </w:rPr>
        <w:t>What RF emission limits would be</w:t>
      </w:r>
      <w:r w:rsidR="005A144F" w:rsidRPr="00B6445F">
        <w:rPr>
          <w:szCs w:val="22"/>
        </w:rPr>
        <w:t xml:space="preserve"> </w:t>
      </w:r>
      <w:r w:rsidR="00FD1C4C" w:rsidRPr="00B6445F">
        <w:rPr>
          <w:szCs w:val="22"/>
        </w:rPr>
        <w:t>appropriate for</w:t>
      </w:r>
      <w:r w:rsidR="005A144F" w:rsidRPr="00B6445F">
        <w:rPr>
          <w:szCs w:val="22"/>
        </w:rPr>
        <w:t xml:space="preserve"> </w:t>
      </w:r>
      <w:r w:rsidR="00FD1C4C" w:rsidRPr="00B6445F">
        <w:rPr>
          <w:szCs w:val="22"/>
        </w:rPr>
        <w:t>a</w:t>
      </w:r>
      <w:r w:rsidR="005A144F" w:rsidRPr="00B6445F">
        <w:rPr>
          <w:szCs w:val="22"/>
        </w:rPr>
        <w:t xml:space="preserve"> </w:t>
      </w:r>
      <w:r w:rsidR="005A144F" w:rsidRPr="005F7EBE">
        <w:rPr>
          <w:szCs w:val="22"/>
        </w:rPr>
        <w:t>“safe harbor”</w:t>
      </w:r>
      <w:r w:rsidR="005A144F" w:rsidRPr="00B6445F">
        <w:rPr>
          <w:szCs w:val="22"/>
        </w:rPr>
        <w:t xml:space="preserve"> </w:t>
      </w:r>
      <w:r w:rsidR="00F9435B">
        <w:rPr>
          <w:szCs w:val="22"/>
        </w:rPr>
        <w:t xml:space="preserve">as </w:t>
      </w:r>
      <w:r w:rsidR="00FD1C4C" w:rsidRPr="00B6445F">
        <w:rPr>
          <w:szCs w:val="22"/>
        </w:rPr>
        <w:t>described above</w:t>
      </w:r>
      <w:r w:rsidR="003B2DF0" w:rsidRPr="00B6445F">
        <w:rPr>
          <w:szCs w:val="22"/>
        </w:rPr>
        <w:t>?</w:t>
      </w:r>
      <w:r w:rsidR="006E14D4" w:rsidRPr="00B6445F">
        <w:rPr>
          <w:szCs w:val="22"/>
        </w:rPr>
        <w:t xml:space="preserve"> </w:t>
      </w:r>
      <w:r w:rsidR="00F9435B">
        <w:rPr>
          <w:szCs w:val="22"/>
        </w:rPr>
        <w:t xml:space="preserve"> </w:t>
      </w:r>
      <w:r w:rsidRPr="00B6445F">
        <w:rPr>
          <w:szCs w:val="22"/>
        </w:rPr>
        <w:t xml:space="preserve">Would this plan unacceptably encumber GAA spectrum?  We ask that </w:t>
      </w:r>
      <w:r w:rsidRPr="00B6445F">
        <w:rPr>
          <w:szCs w:val="22"/>
        </w:rPr>
        <w:lastRenderedPageBreak/>
        <w:t xml:space="preserve">commenters </w:t>
      </w:r>
      <w:r w:rsidR="005A5426">
        <w:rPr>
          <w:szCs w:val="22"/>
        </w:rPr>
        <w:t>identify any costs and benefits and provide a detailed technical analysis to support their arguments.</w:t>
      </w:r>
    </w:p>
    <w:p w:rsidR="00B55558" w:rsidRPr="00B6445F" w:rsidRDefault="00C80135" w:rsidP="00257EBC">
      <w:pPr>
        <w:pStyle w:val="ParaNum"/>
        <w:widowControl/>
        <w:rPr>
          <w:szCs w:val="22"/>
        </w:rPr>
      </w:pPr>
      <w:r w:rsidRPr="00B6445F">
        <w:rPr>
          <w:szCs w:val="22"/>
        </w:rPr>
        <w:t>We also as</w:t>
      </w:r>
      <w:r w:rsidR="00D95BEC" w:rsidRPr="00B6445F">
        <w:rPr>
          <w:szCs w:val="22"/>
        </w:rPr>
        <w:t>k</w:t>
      </w:r>
      <w:r w:rsidRPr="00B6445F">
        <w:rPr>
          <w:szCs w:val="22"/>
        </w:rPr>
        <w:t xml:space="preserve"> </w:t>
      </w:r>
      <w:r w:rsidR="00D95BEC" w:rsidRPr="00B6445F">
        <w:rPr>
          <w:szCs w:val="22"/>
        </w:rPr>
        <w:t>whether this approach should be limited to “critical access” facilities</w:t>
      </w:r>
      <w:r w:rsidR="00F855DA">
        <w:rPr>
          <w:szCs w:val="22"/>
        </w:rPr>
        <w:t xml:space="preserve">.  Could </w:t>
      </w:r>
      <w:proofErr w:type="gramStart"/>
      <w:r w:rsidR="00F855DA">
        <w:rPr>
          <w:szCs w:val="22"/>
        </w:rPr>
        <w:t xml:space="preserve">quality assured, </w:t>
      </w:r>
      <w:proofErr w:type="spellStart"/>
      <w:r w:rsidR="00F855DA">
        <w:rPr>
          <w:szCs w:val="22"/>
        </w:rPr>
        <w:t>micro</w:t>
      </w:r>
      <w:r w:rsidR="00D95BEC" w:rsidRPr="00B6445F">
        <w:rPr>
          <w:szCs w:val="22"/>
        </w:rPr>
        <w:t>targeted</w:t>
      </w:r>
      <w:proofErr w:type="spellEnd"/>
      <w:r w:rsidR="00D95BEC" w:rsidRPr="00B6445F">
        <w:rPr>
          <w:szCs w:val="22"/>
        </w:rPr>
        <w:t xml:space="preserve"> indoor networks be employed generally by property owners subject to appropriate technical and interference mitigation requirements</w:t>
      </w:r>
      <w:proofErr w:type="gramEnd"/>
      <w:r w:rsidR="00D95BEC" w:rsidRPr="00B6445F">
        <w:rPr>
          <w:szCs w:val="22"/>
        </w:rPr>
        <w:t xml:space="preserve">?  What types of </w:t>
      </w:r>
      <w:r w:rsidR="0011557A">
        <w:rPr>
          <w:szCs w:val="22"/>
        </w:rPr>
        <w:t>mitigation techniques</w:t>
      </w:r>
      <w:r w:rsidR="00D95BEC" w:rsidRPr="00B6445F">
        <w:rPr>
          <w:szCs w:val="22"/>
        </w:rPr>
        <w:t xml:space="preserve"> would such buildings need to employ to effectively </w:t>
      </w:r>
      <w:r w:rsidR="0011557A">
        <w:rPr>
          <w:szCs w:val="22"/>
        </w:rPr>
        <w:t>prevent</w:t>
      </w:r>
      <w:r w:rsidR="0011557A" w:rsidRPr="00B6445F">
        <w:rPr>
          <w:szCs w:val="22"/>
        </w:rPr>
        <w:t xml:space="preserve"> </w:t>
      </w:r>
      <w:r w:rsidR="00D95BEC" w:rsidRPr="00B6445F">
        <w:rPr>
          <w:szCs w:val="22"/>
        </w:rPr>
        <w:t xml:space="preserve">exterior interference? </w:t>
      </w:r>
      <w:r w:rsidR="008E7A28">
        <w:rPr>
          <w:szCs w:val="22"/>
        </w:rPr>
        <w:t xml:space="preserve"> </w:t>
      </w:r>
      <w:r w:rsidR="00D95BEC" w:rsidRPr="00B6445F">
        <w:rPr>
          <w:szCs w:val="22"/>
        </w:rPr>
        <w:t>Could such buildings coexist in close proximity without unacceptably interfering with one another?  Would</w:t>
      </w:r>
      <w:r w:rsidR="00AB32F5">
        <w:rPr>
          <w:szCs w:val="22"/>
        </w:rPr>
        <w:t xml:space="preserve"> </w:t>
      </w:r>
      <w:r w:rsidR="00F63D64">
        <w:rPr>
          <w:szCs w:val="22"/>
        </w:rPr>
        <w:t xml:space="preserve">an </w:t>
      </w:r>
      <w:r w:rsidR="00F63D64" w:rsidRPr="00B6445F">
        <w:rPr>
          <w:szCs w:val="22"/>
        </w:rPr>
        <w:t>SAS</w:t>
      </w:r>
      <w:r w:rsidR="00D95BEC" w:rsidRPr="00B6445F">
        <w:rPr>
          <w:szCs w:val="22"/>
        </w:rPr>
        <w:t xml:space="preserve"> be able to effectively manage a large number of these </w:t>
      </w:r>
      <w:r w:rsidR="000E7FB8">
        <w:rPr>
          <w:szCs w:val="22"/>
        </w:rPr>
        <w:t>locations</w:t>
      </w:r>
      <w:r w:rsidR="00D95BEC" w:rsidRPr="00B6445F">
        <w:rPr>
          <w:szCs w:val="22"/>
        </w:rPr>
        <w:t>?</w:t>
      </w:r>
    </w:p>
    <w:p w:rsidR="000763BC" w:rsidRPr="00B6445F" w:rsidRDefault="000763BC" w:rsidP="00257EBC">
      <w:pPr>
        <w:pStyle w:val="Heading2"/>
        <w:widowControl/>
        <w:rPr>
          <w:szCs w:val="22"/>
        </w:rPr>
      </w:pPr>
      <w:bookmarkStart w:id="79" w:name="_Toc364956237"/>
      <w:bookmarkStart w:id="80" w:name="_Toc365040870"/>
      <w:bookmarkStart w:id="81" w:name="_Toc365381566"/>
      <w:bookmarkStart w:id="82" w:name="_Toc365539322"/>
      <w:bookmarkStart w:id="83" w:name="_Toc366145034"/>
      <w:bookmarkStart w:id="84" w:name="_Toc366157659"/>
      <w:bookmarkStart w:id="85" w:name="_Toc366159771"/>
      <w:bookmarkStart w:id="86" w:name="_Toc367261120"/>
      <w:r w:rsidRPr="00B6445F">
        <w:rPr>
          <w:szCs w:val="22"/>
        </w:rPr>
        <w:t>Technical Issues</w:t>
      </w:r>
      <w:bookmarkEnd w:id="79"/>
      <w:bookmarkEnd w:id="80"/>
      <w:bookmarkEnd w:id="81"/>
      <w:bookmarkEnd w:id="82"/>
      <w:bookmarkEnd w:id="83"/>
      <w:bookmarkEnd w:id="84"/>
      <w:bookmarkEnd w:id="85"/>
      <w:bookmarkEnd w:id="86"/>
    </w:p>
    <w:p w:rsidR="00FE30FC" w:rsidRDefault="00043182" w:rsidP="00257EBC">
      <w:pPr>
        <w:pStyle w:val="ParaNum"/>
        <w:widowControl/>
        <w:rPr>
          <w:szCs w:val="22"/>
        </w:rPr>
      </w:pPr>
      <w:r>
        <w:rPr>
          <w:szCs w:val="22"/>
        </w:rPr>
        <w:t xml:space="preserve">While we expect that the SAS would </w:t>
      </w:r>
      <w:r w:rsidR="00251CF0">
        <w:rPr>
          <w:szCs w:val="22"/>
        </w:rPr>
        <w:t>coordinate</w:t>
      </w:r>
      <w:r>
        <w:rPr>
          <w:szCs w:val="22"/>
        </w:rPr>
        <w:t xml:space="preserve"> much of the interaction between disparate users in the 3.5 GHz Band, some minimal technical requirements will be necessary to ensure that multiple networks can effectively coexist in the band.  </w:t>
      </w:r>
      <w:r w:rsidR="007E6970">
        <w:rPr>
          <w:szCs w:val="22"/>
        </w:rPr>
        <w:t>As such,</w:t>
      </w:r>
      <w:r>
        <w:rPr>
          <w:szCs w:val="22"/>
        </w:rPr>
        <w:t xml:space="preserve"> </w:t>
      </w:r>
      <w:r w:rsidR="00FE30FC">
        <w:rPr>
          <w:szCs w:val="22"/>
        </w:rPr>
        <w:t xml:space="preserve">we seek comment on </w:t>
      </w:r>
      <w:r>
        <w:rPr>
          <w:szCs w:val="22"/>
        </w:rPr>
        <w:t xml:space="preserve">certain </w:t>
      </w:r>
      <w:r w:rsidR="00FE30FC">
        <w:rPr>
          <w:szCs w:val="22"/>
        </w:rPr>
        <w:t xml:space="preserve">technical issues related to implementing the Revised </w:t>
      </w:r>
      <w:r w:rsidR="009E2DC9">
        <w:rPr>
          <w:szCs w:val="22"/>
        </w:rPr>
        <w:t>F</w:t>
      </w:r>
      <w:r w:rsidR="00FE30FC">
        <w:rPr>
          <w:szCs w:val="22"/>
        </w:rPr>
        <w:t>ramework</w:t>
      </w:r>
      <w:r>
        <w:rPr>
          <w:szCs w:val="22"/>
        </w:rPr>
        <w:t xml:space="preserve">.  </w:t>
      </w:r>
      <w:r w:rsidR="007E6970">
        <w:rPr>
          <w:szCs w:val="22"/>
        </w:rPr>
        <w:t>I</w:t>
      </w:r>
      <w:r w:rsidR="009E2DC9">
        <w:rPr>
          <w:szCs w:val="22"/>
        </w:rPr>
        <w:t xml:space="preserve">n responding to questions in this section, </w:t>
      </w:r>
      <w:r w:rsidR="009E2DC9">
        <w:t xml:space="preserve">we ask that commenters identify any costs and benefits and provide detailed technical analysis to support their proposals.  </w:t>
      </w:r>
      <w:r>
        <w:rPr>
          <w:szCs w:val="22"/>
        </w:rPr>
        <w:t>We</w:t>
      </w:r>
      <w:r w:rsidR="007E6970">
        <w:rPr>
          <w:szCs w:val="22"/>
        </w:rPr>
        <w:t xml:space="preserve"> also</w:t>
      </w:r>
      <w:r>
        <w:rPr>
          <w:szCs w:val="22"/>
        </w:rPr>
        <w:t xml:space="preserve"> recognize that these issues may need to be explored in greater depth in the future and, to that end, we may seek additional comment on specific technical rules in future notices.</w:t>
      </w:r>
      <w:r w:rsidR="00FE30FC">
        <w:rPr>
          <w:szCs w:val="22"/>
        </w:rPr>
        <w:t xml:space="preserve"> </w:t>
      </w:r>
    </w:p>
    <w:p w:rsidR="00FE30FC" w:rsidRPr="00B6445F" w:rsidRDefault="00FE30FC" w:rsidP="00257EBC">
      <w:pPr>
        <w:pStyle w:val="Heading3"/>
        <w:widowControl/>
      </w:pPr>
      <w:bookmarkStart w:id="87" w:name="_Toc365539323"/>
      <w:bookmarkStart w:id="88" w:name="_Toc366145035"/>
      <w:bookmarkStart w:id="89" w:name="_Toc366157660"/>
      <w:bookmarkStart w:id="90" w:name="_Toc366159772"/>
      <w:bookmarkStart w:id="91" w:name="_Toc367261121"/>
      <w:r>
        <w:t>Technical Implementation of the Revised Framework</w:t>
      </w:r>
      <w:bookmarkEnd w:id="87"/>
      <w:bookmarkEnd w:id="88"/>
      <w:bookmarkEnd w:id="89"/>
      <w:bookmarkEnd w:id="90"/>
      <w:bookmarkEnd w:id="91"/>
    </w:p>
    <w:p w:rsidR="00383E6C" w:rsidRDefault="00FE30FC" w:rsidP="00257EBC">
      <w:pPr>
        <w:pStyle w:val="ParaNum"/>
        <w:widowControl/>
      </w:pPr>
      <w:r w:rsidRPr="0023488F">
        <w:t xml:space="preserve">The effectiveness of dynamic spectrum sharing depends on the proper application of interference mitigation and spectrum management </w:t>
      </w:r>
      <w:r w:rsidR="00251CF0">
        <w:t>techniques for</w:t>
      </w:r>
      <w:r w:rsidRPr="0023488F">
        <w:t xml:space="preserve"> operating in the shared band.  </w:t>
      </w:r>
      <w:r w:rsidR="009C52CC" w:rsidRPr="00544D69">
        <w:t>The Commission addressed som</w:t>
      </w:r>
      <w:r w:rsidR="007E6970">
        <w:t>e of the technical features of small c</w:t>
      </w:r>
      <w:r w:rsidR="009C52CC" w:rsidRPr="00544D69">
        <w:t>ells in the NPRM, including allowable power limits for small cell base stations, and solicited comment on these and other potential technical rules.</w:t>
      </w:r>
      <w:r w:rsidR="009C52CC" w:rsidRPr="00B6445F">
        <w:rPr>
          <w:rStyle w:val="FootnoteReference"/>
          <w:szCs w:val="22"/>
        </w:rPr>
        <w:footnoteReference w:id="64"/>
      </w:r>
      <w:r w:rsidR="009C52CC" w:rsidRPr="00544D69">
        <w:t xml:space="preserve">  </w:t>
      </w:r>
      <w:r w:rsidR="00747C2B">
        <w:t>Below, we</w:t>
      </w:r>
      <w:r>
        <w:t xml:space="preserve"> seek additional comment on technical rules </w:t>
      </w:r>
      <w:r w:rsidR="00747C2B">
        <w:t xml:space="preserve">and assumptions </w:t>
      </w:r>
      <w:r>
        <w:t xml:space="preserve">appropriate to implementing the Revised Framework or variations supported by commenters.  </w:t>
      </w:r>
      <w:r w:rsidR="00747C2B" w:rsidRPr="00B6445F">
        <w:t xml:space="preserve">We ask that commenters </w:t>
      </w:r>
      <w:r w:rsidR="00747C2B">
        <w:t xml:space="preserve">identify any </w:t>
      </w:r>
      <w:r w:rsidR="009B1892">
        <w:t>costs and benefits and provide</w:t>
      </w:r>
      <w:r w:rsidR="00747C2B">
        <w:t xml:space="preserve"> detailed technical analysis to support their proposals</w:t>
      </w:r>
      <w:r w:rsidR="00383E6C">
        <w:t>.</w:t>
      </w:r>
    </w:p>
    <w:p w:rsidR="00383E6C" w:rsidRPr="00383E6C" w:rsidRDefault="00383E6C" w:rsidP="00257EBC">
      <w:pPr>
        <w:pStyle w:val="ParaNum"/>
        <w:widowControl/>
        <w:rPr>
          <w:szCs w:val="22"/>
        </w:rPr>
      </w:pPr>
      <w:r>
        <w:t xml:space="preserve">Building on the approach taken in the TV White Space proceeding, we expect that the SAS would manage and configure the use of authorized spectrum and policy related parameters, and communicate updates regarding spectrum availability and operational requirements to existing and new users.  The SAS could extend the TV White Spaces paradigm with a greater degree of dynamism – by incorporating information about spectrum utilization from other Citizen’s Broadband users to manage access to the band on a real-time or near-real time basis.  For example, infrastructure nodes, such as base stations, access points, or core network elements could interact with the SAS and provide end user devices with operational parameters and recent changes.  Given these factors, we seek comment on the essential high-level requirements for the SAS and the nature of its interactions with the different technologies and network topologies in the 3.5 GHz Band. </w:t>
      </w:r>
    </w:p>
    <w:p w:rsidR="009C52CC" w:rsidRPr="007654BC" w:rsidRDefault="00015CA3" w:rsidP="00257EBC">
      <w:pPr>
        <w:pStyle w:val="ParaNum"/>
        <w:widowControl/>
        <w:rPr>
          <w:szCs w:val="22"/>
        </w:rPr>
      </w:pPr>
      <w:r>
        <w:rPr>
          <w:szCs w:val="22"/>
        </w:rPr>
        <w:t xml:space="preserve">Compared to typical </w:t>
      </w:r>
      <w:proofErr w:type="spellStart"/>
      <w:r>
        <w:rPr>
          <w:szCs w:val="22"/>
        </w:rPr>
        <w:t>macrocell</w:t>
      </w:r>
      <w:proofErr w:type="spellEnd"/>
      <w:r>
        <w:rPr>
          <w:szCs w:val="22"/>
        </w:rPr>
        <w:t xml:space="preserve"> deployments, s</w:t>
      </w:r>
      <w:r w:rsidR="00B208F7" w:rsidRPr="00F27BD1">
        <w:rPr>
          <w:szCs w:val="22"/>
        </w:rPr>
        <w:t>mall</w:t>
      </w:r>
      <w:r>
        <w:rPr>
          <w:szCs w:val="22"/>
        </w:rPr>
        <w:t xml:space="preserve"> cell networks </w:t>
      </w:r>
      <w:r w:rsidR="00B208F7" w:rsidRPr="00015615">
        <w:rPr>
          <w:szCs w:val="22"/>
        </w:rPr>
        <w:t xml:space="preserve">are </w:t>
      </w:r>
      <w:r>
        <w:rPr>
          <w:szCs w:val="22"/>
        </w:rPr>
        <w:t xml:space="preserve">generally </w:t>
      </w:r>
      <w:r w:rsidR="00B208F7" w:rsidRPr="00015615">
        <w:rPr>
          <w:szCs w:val="22"/>
        </w:rPr>
        <w:t>characterized by</w:t>
      </w:r>
      <w:r>
        <w:rPr>
          <w:szCs w:val="22"/>
        </w:rPr>
        <w:t xml:space="preserve">: </w:t>
      </w:r>
      <w:r w:rsidR="00B208F7" w:rsidRPr="00015615">
        <w:rPr>
          <w:szCs w:val="22"/>
        </w:rPr>
        <w:t>low</w:t>
      </w:r>
      <w:r>
        <w:rPr>
          <w:szCs w:val="22"/>
        </w:rPr>
        <w:t>er transmit power</w:t>
      </w:r>
      <w:r w:rsidR="00A92637">
        <w:rPr>
          <w:szCs w:val="22"/>
        </w:rPr>
        <w:t>, lower</w:t>
      </w:r>
      <w:r>
        <w:rPr>
          <w:szCs w:val="22"/>
        </w:rPr>
        <w:t xml:space="preserve"> </w:t>
      </w:r>
      <w:r w:rsidR="00B208F7" w:rsidRPr="00015615">
        <w:rPr>
          <w:szCs w:val="22"/>
        </w:rPr>
        <w:t>local RF transmissions</w:t>
      </w:r>
      <w:r w:rsidR="00360546">
        <w:rPr>
          <w:szCs w:val="22"/>
        </w:rPr>
        <w:t xml:space="preserve">, </w:t>
      </w:r>
      <w:r w:rsidR="00B208F7" w:rsidRPr="00015615">
        <w:rPr>
          <w:szCs w:val="22"/>
        </w:rPr>
        <w:t>and</w:t>
      </w:r>
      <w:r>
        <w:rPr>
          <w:szCs w:val="22"/>
        </w:rPr>
        <w:t xml:space="preserve"> </w:t>
      </w:r>
      <w:r w:rsidR="00360546">
        <w:rPr>
          <w:szCs w:val="22"/>
        </w:rPr>
        <w:t xml:space="preserve">an </w:t>
      </w:r>
      <w:r>
        <w:rPr>
          <w:szCs w:val="22"/>
        </w:rPr>
        <w:t>ability to operate in a relatively high</w:t>
      </w:r>
      <w:r w:rsidR="00B208F7" w:rsidRPr="00015615">
        <w:rPr>
          <w:szCs w:val="22"/>
        </w:rPr>
        <w:t xml:space="preserve"> interference environment</w:t>
      </w:r>
      <w:r w:rsidR="00B208F7">
        <w:rPr>
          <w:szCs w:val="22"/>
        </w:rPr>
        <w:t xml:space="preserve"> (relative to thermal noise; Interference-over-Thermal (</w:t>
      </w:r>
      <w:proofErr w:type="spellStart"/>
      <w:r w:rsidR="00B208F7">
        <w:rPr>
          <w:szCs w:val="22"/>
        </w:rPr>
        <w:t>IoT</w:t>
      </w:r>
      <w:proofErr w:type="spellEnd"/>
      <w:r w:rsidR="00B208F7">
        <w:rPr>
          <w:szCs w:val="22"/>
        </w:rPr>
        <w:t>))</w:t>
      </w:r>
      <w:r w:rsidR="00B208F7" w:rsidRPr="00015615">
        <w:rPr>
          <w:szCs w:val="22"/>
        </w:rPr>
        <w:t>.  I</w:t>
      </w:r>
      <w:r w:rsidR="00B208F7">
        <w:rPr>
          <w:szCs w:val="22"/>
        </w:rPr>
        <w:t>n</w:t>
      </w:r>
      <w:r w:rsidR="00B208F7" w:rsidRPr="00015615">
        <w:rPr>
          <w:szCs w:val="22"/>
        </w:rPr>
        <w:t xml:space="preserve"> addition</w:t>
      </w:r>
      <w:r w:rsidR="00B208F7">
        <w:rPr>
          <w:szCs w:val="22"/>
        </w:rPr>
        <w:t>,</w:t>
      </w:r>
      <w:r w:rsidR="00B208F7" w:rsidRPr="00015615">
        <w:rPr>
          <w:szCs w:val="22"/>
        </w:rPr>
        <w:t xml:space="preserve"> recent advancements in network self-organization and interference management technologies </w:t>
      </w:r>
      <w:r w:rsidR="00B208F7">
        <w:rPr>
          <w:szCs w:val="22"/>
        </w:rPr>
        <w:t>are expected to</w:t>
      </w:r>
      <w:r w:rsidR="00B208F7" w:rsidRPr="00015615">
        <w:rPr>
          <w:szCs w:val="22"/>
        </w:rPr>
        <w:t xml:space="preserve"> allow for new spectrum sharing paradigms, which are difficult to implement or impractical in </w:t>
      </w:r>
      <w:r w:rsidR="00B208F7">
        <w:rPr>
          <w:szCs w:val="22"/>
        </w:rPr>
        <w:t>traditional</w:t>
      </w:r>
      <w:r w:rsidR="00B208F7" w:rsidRPr="00015615">
        <w:rPr>
          <w:szCs w:val="22"/>
        </w:rPr>
        <w:t xml:space="preserve"> noise-limited environments.</w:t>
      </w:r>
      <w:r w:rsidR="008E7A28">
        <w:rPr>
          <w:szCs w:val="22"/>
        </w:rPr>
        <w:t xml:space="preserve"> </w:t>
      </w:r>
      <w:r w:rsidR="00B208F7" w:rsidRPr="00015615">
        <w:rPr>
          <w:szCs w:val="22"/>
        </w:rPr>
        <w:t xml:space="preserve"> Given the variety of </w:t>
      </w:r>
      <w:r>
        <w:rPr>
          <w:szCs w:val="22"/>
        </w:rPr>
        <w:t xml:space="preserve">possible network </w:t>
      </w:r>
      <w:r w:rsidR="00B208F7" w:rsidRPr="00015615">
        <w:rPr>
          <w:szCs w:val="22"/>
        </w:rPr>
        <w:t xml:space="preserve">deployments and </w:t>
      </w:r>
      <w:r>
        <w:rPr>
          <w:szCs w:val="22"/>
        </w:rPr>
        <w:t xml:space="preserve">the </w:t>
      </w:r>
      <w:r w:rsidR="00B208F7" w:rsidRPr="00015615">
        <w:rPr>
          <w:szCs w:val="22"/>
        </w:rPr>
        <w:t xml:space="preserve">wide range of </w:t>
      </w:r>
      <w:r>
        <w:rPr>
          <w:szCs w:val="22"/>
        </w:rPr>
        <w:t xml:space="preserve">potential network </w:t>
      </w:r>
      <w:r w:rsidR="00B208F7" w:rsidRPr="00015615">
        <w:rPr>
          <w:szCs w:val="22"/>
        </w:rPr>
        <w:t xml:space="preserve">parameters and RF configurations, </w:t>
      </w:r>
      <w:r>
        <w:rPr>
          <w:szCs w:val="22"/>
        </w:rPr>
        <w:t>we anticipate that many of the parameters of systems operating in the 3.5 GHz Band will be managed</w:t>
      </w:r>
      <w:r w:rsidR="00B208F7" w:rsidRPr="00015615">
        <w:rPr>
          <w:szCs w:val="22"/>
        </w:rPr>
        <w:t xml:space="preserve"> by </w:t>
      </w:r>
      <w:r w:rsidR="00B208F7">
        <w:rPr>
          <w:szCs w:val="22"/>
        </w:rPr>
        <w:t xml:space="preserve">the </w:t>
      </w:r>
      <w:r w:rsidR="00B208F7" w:rsidRPr="00015615">
        <w:rPr>
          <w:szCs w:val="22"/>
        </w:rPr>
        <w:t xml:space="preserve">SAS. </w:t>
      </w:r>
      <w:r>
        <w:rPr>
          <w:szCs w:val="22"/>
        </w:rPr>
        <w:t xml:space="preserve"> </w:t>
      </w:r>
      <w:r w:rsidR="00B208F7" w:rsidRPr="00015615">
        <w:rPr>
          <w:szCs w:val="22"/>
        </w:rPr>
        <w:t xml:space="preserve">However, </w:t>
      </w:r>
      <w:r w:rsidR="00B208F7">
        <w:rPr>
          <w:szCs w:val="22"/>
        </w:rPr>
        <w:t xml:space="preserve">some </w:t>
      </w:r>
      <w:r w:rsidR="00B208F7" w:rsidRPr="00015615">
        <w:rPr>
          <w:szCs w:val="22"/>
        </w:rPr>
        <w:t xml:space="preserve">preliminary estimated values for </w:t>
      </w:r>
      <w:r w:rsidR="00B208F7">
        <w:rPr>
          <w:szCs w:val="22"/>
        </w:rPr>
        <w:t>transmission</w:t>
      </w:r>
      <w:r w:rsidR="00B208F7" w:rsidRPr="00015615">
        <w:rPr>
          <w:szCs w:val="22"/>
        </w:rPr>
        <w:t xml:space="preserve"> power levels, </w:t>
      </w:r>
      <w:r w:rsidR="00C936B8">
        <w:rPr>
          <w:szCs w:val="22"/>
        </w:rPr>
        <w:t xml:space="preserve">whether field strength or power flux density </w:t>
      </w:r>
      <w:r w:rsidR="00DB3A09">
        <w:rPr>
          <w:szCs w:val="22"/>
        </w:rPr>
        <w:t xml:space="preserve">(PFD) </w:t>
      </w:r>
      <w:r w:rsidR="00C936B8">
        <w:rPr>
          <w:szCs w:val="22"/>
        </w:rPr>
        <w:t>limits should be imposed</w:t>
      </w:r>
      <w:r w:rsidR="007654BC">
        <w:rPr>
          <w:szCs w:val="22"/>
        </w:rPr>
        <w:t xml:space="preserve">.  </w:t>
      </w:r>
      <w:r w:rsidR="009C52CC" w:rsidRPr="007654BC">
        <w:rPr>
          <w:szCs w:val="22"/>
        </w:rPr>
        <w:t xml:space="preserve">With regard to the Revised Framework, the </w:t>
      </w:r>
      <w:r w:rsidR="00251CF0">
        <w:rPr>
          <w:szCs w:val="22"/>
        </w:rPr>
        <w:t>key</w:t>
      </w:r>
      <w:r w:rsidR="009C52CC" w:rsidRPr="007654BC">
        <w:rPr>
          <w:szCs w:val="22"/>
        </w:rPr>
        <w:t xml:space="preserve"> technical considerations include: (1) base station transmit power; </w:t>
      </w:r>
      <w:r w:rsidR="00C845DD" w:rsidRPr="007654BC">
        <w:rPr>
          <w:szCs w:val="22"/>
        </w:rPr>
        <w:t>(2) acceptable interference environment</w:t>
      </w:r>
      <w:r w:rsidR="00360546" w:rsidRPr="007654BC">
        <w:rPr>
          <w:szCs w:val="22"/>
        </w:rPr>
        <w:t>; and</w:t>
      </w:r>
      <w:r w:rsidR="009C52CC" w:rsidRPr="007654BC">
        <w:rPr>
          <w:szCs w:val="22"/>
        </w:rPr>
        <w:t xml:space="preserve"> </w:t>
      </w:r>
      <w:r w:rsidR="00A62B92" w:rsidRPr="007654BC">
        <w:rPr>
          <w:szCs w:val="22"/>
        </w:rPr>
        <w:t>(</w:t>
      </w:r>
      <w:r w:rsidR="00360546" w:rsidRPr="007654BC">
        <w:rPr>
          <w:szCs w:val="22"/>
        </w:rPr>
        <w:t>3</w:t>
      </w:r>
      <w:r w:rsidR="00A62B92" w:rsidRPr="007654BC">
        <w:rPr>
          <w:szCs w:val="22"/>
        </w:rPr>
        <w:t xml:space="preserve">) technical </w:t>
      </w:r>
      <w:r w:rsidR="00A62B92" w:rsidRPr="007654BC">
        <w:rPr>
          <w:szCs w:val="22"/>
        </w:rPr>
        <w:lastRenderedPageBreak/>
        <w:t>flexibility</w:t>
      </w:r>
      <w:r w:rsidR="009C52CC" w:rsidRPr="007654BC">
        <w:rPr>
          <w:szCs w:val="22"/>
        </w:rPr>
        <w:t>.  In light of the Re</w:t>
      </w:r>
      <w:r w:rsidR="00251CF0">
        <w:rPr>
          <w:szCs w:val="22"/>
        </w:rPr>
        <w:t>vised Framework described here</w:t>
      </w:r>
      <w:r w:rsidR="009C52CC" w:rsidRPr="007654BC">
        <w:rPr>
          <w:szCs w:val="22"/>
        </w:rPr>
        <w:t xml:space="preserve"> and additional staff analysis, we seek comment on some preliminary values defining some of these technical parameters and criteria.  </w:t>
      </w:r>
    </w:p>
    <w:p w:rsidR="00251CF0" w:rsidRDefault="00B208F7" w:rsidP="00257EBC">
      <w:pPr>
        <w:pStyle w:val="ParaNum"/>
        <w:widowControl/>
        <w:rPr>
          <w:szCs w:val="22"/>
        </w:rPr>
      </w:pPr>
      <w:r>
        <w:rPr>
          <w:i/>
          <w:szCs w:val="22"/>
        </w:rPr>
        <w:t xml:space="preserve">Base Station </w:t>
      </w:r>
      <w:r w:rsidRPr="00F27BD1">
        <w:rPr>
          <w:i/>
          <w:szCs w:val="22"/>
        </w:rPr>
        <w:t xml:space="preserve">Transmit </w:t>
      </w:r>
      <w:r w:rsidRPr="00B208F7">
        <w:rPr>
          <w:i/>
          <w:szCs w:val="22"/>
        </w:rPr>
        <w:t>Power</w:t>
      </w:r>
      <w:r>
        <w:rPr>
          <w:szCs w:val="22"/>
        </w:rPr>
        <w:t xml:space="preserve">. </w:t>
      </w:r>
      <w:r w:rsidR="009C52CC" w:rsidRPr="00B6445F">
        <w:rPr>
          <w:szCs w:val="22"/>
        </w:rPr>
        <w:t xml:space="preserve">As a baseline, we </w:t>
      </w:r>
      <w:r w:rsidR="00A23CB8">
        <w:rPr>
          <w:szCs w:val="22"/>
        </w:rPr>
        <w:t>seek comment on</w:t>
      </w:r>
      <w:r w:rsidR="009C52CC" w:rsidRPr="00B6445F">
        <w:rPr>
          <w:szCs w:val="22"/>
        </w:rPr>
        <w:t xml:space="preserve"> </w:t>
      </w:r>
      <w:r w:rsidR="002847B3">
        <w:rPr>
          <w:szCs w:val="22"/>
        </w:rPr>
        <w:t xml:space="preserve">limiting small cell base stations operating in the 3.5 GHz Band to </w:t>
      </w:r>
      <w:r w:rsidR="009C52CC">
        <w:rPr>
          <w:szCs w:val="22"/>
        </w:rPr>
        <w:t xml:space="preserve">a </w:t>
      </w:r>
      <w:r w:rsidR="002847B3">
        <w:rPr>
          <w:szCs w:val="22"/>
        </w:rPr>
        <w:t xml:space="preserve">maximum </w:t>
      </w:r>
      <w:r w:rsidR="009C52CC" w:rsidRPr="00B6445F">
        <w:rPr>
          <w:szCs w:val="22"/>
        </w:rPr>
        <w:t>24dBm transmit power along with maximum antenna gain of 6dBi</w:t>
      </w:r>
      <w:r w:rsidR="002847B3">
        <w:rPr>
          <w:szCs w:val="22"/>
        </w:rPr>
        <w:t xml:space="preserve">.  These </w:t>
      </w:r>
      <w:r w:rsidR="00251CF0">
        <w:rPr>
          <w:szCs w:val="22"/>
        </w:rPr>
        <w:t xml:space="preserve">values </w:t>
      </w:r>
      <w:r w:rsidR="002847B3">
        <w:rPr>
          <w:szCs w:val="22"/>
        </w:rPr>
        <w:t xml:space="preserve">are </w:t>
      </w:r>
      <w:r w:rsidR="009C52CC" w:rsidRPr="00B6445F">
        <w:rPr>
          <w:szCs w:val="22"/>
        </w:rPr>
        <w:t xml:space="preserve">consistent with </w:t>
      </w:r>
      <w:r w:rsidR="002847B3">
        <w:rPr>
          <w:szCs w:val="22"/>
        </w:rPr>
        <w:t xml:space="preserve">the 30dBm </w:t>
      </w:r>
      <w:proofErr w:type="spellStart"/>
      <w:r w:rsidR="002847B3">
        <w:rPr>
          <w:szCs w:val="22"/>
        </w:rPr>
        <w:t>EiRP</w:t>
      </w:r>
      <w:proofErr w:type="spellEnd"/>
      <w:r w:rsidR="002847B3">
        <w:rPr>
          <w:szCs w:val="22"/>
        </w:rPr>
        <w:t xml:space="preserve"> commonly assumed</w:t>
      </w:r>
      <w:r w:rsidR="009C52CC" w:rsidRPr="00B6445F">
        <w:rPr>
          <w:szCs w:val="22"/>
        </w:rPr>
        <w:t xml:space="preserve"> in various studies for small cell base stations. </w:t>
      </w:r>
      <w:r w:rsidR="00251CF0">
        <w:rPr>
          <w:szCs w:val="22"/>
        </w:rPr>
        <w:t xml:space="preserve"> </w:t>
      </w:r>
      <w:r w:rsidR="00A23CB8">
        <w:rPr>
          <w:szCs w:val="22"/>
        </w:rPr>
        <w:t>The</w:t>
      </w:r>
      <w:r w:rsidR="009C52CC" w:rsidRPr="00B6445F">
        <w:rPr>
          <w:szCs w:val="22"/>
        </w:rPr>
        <w:t xml:space="preserve"> maximum operational </w:t>
      </w:r>
      <w:proofErr w:type="spellStart"/>
      <w:r w:rsidR="009C52CC" w:rsidRPr="00B6445F">
        <w:rPr>
          <w:szCs w:val="22"/>
        </w:rPr>
        <w:t>EiRP</w:t>
      </w:r>
      <w:proofErr w:type="spellEnd"/>
      <w:r w:rsidR="009C52CC" w:rsidRPr="00B6445F">
        <w:rPr>
          <w:szCs w:val="22"/>
        </w:rPr>
        <w:t xml:space="preserve"> of individual base stations </w:t>
      </w:r>
      <w:r w:rsidR="00A23CB8">
        <w:rPr>
          <w:szCs w:val="22"/>
        </w:rPr>
        <w:t>might</w:t>
      </w:r>
      <w:r w:rsidR="00A23CB8" w:rsidRPr="00B6445F">
        <w:rPr>
          <w:szCs w:val="22"/>
        </w:rPr>
        <w:t xml:space="preserve"> </w:t>
      </w:r>
      <w:r w:rsidR="009C52CC" w:rsidRPr="00B6445F">
        <w:rPr>
          <w:szCs w:val="22"/>
        </w:rPr>
        <w:t xml:space="preserve">be </w:t>
      </w:r>
      <w:r w:rsidR="00C845DD">
        <w:rPr>
          <w:szCs w:val="22"/>
        </w:rPr>
        <w:t>reduced by the</w:t>
      </w:r>
      <w:r w:rsidR="009C52CC" w:rsidRPr="00B6445F">
        <w:rPr>
          <w:szCs w:val="22"/>
        </w:rPr>
        <w:t xml:space="preserve"> SAS to prevent interference and promote efficient network operation. </w:t>
      </w:r>
      <w:r w:rsidR="008E7A28">
        <w:rPr>
          <w:szCs w:val="22"/>
        </w:rPr>
        <w:t xml:space="preserve"> </w:t>
      </w:r>
      <w:r w:rsidR="0033481B">
        <w:rPr>
          <w:szCs w:val="22"/>
        </w:rPr>
        <w:t>In addition</w:t>
      </w:r>
      <w:r w:rsidR="00C845DD">
        <w:rPr>
          <w:szCs w:val="22"/>
        </w:rPr>
        <w:t>, we assume e</w:t>
      </w:r>
      <w:r w:rsidR="009C52CC" w:rsidRPr="00B6445F">
        <w:rPr>
          <w:szCs w:val="22"/>
        </w:rPr>
        <w:t xml:space="preserve">nd user devices to have configurable maximum power levels below typical 23dBm values and support </w:t>
      </w:r>
      <w:r w:rsidR="00C845DD">
        <w:rPr>
          <w:szCs w:val="22"/>
        </w:rPr>
        <w:t xml:space="preserve">for </w:t>
      </w:r>
      <w:r w:rsidR="009C52CC" w:rsidRPr="00B6445F">
        <w:rPr>
          <w:szCs w:val="22"/>
        </w:rPr>
        <w:t xml:space="preserve">some form of power control to ensure effective spectrum sharing. </w:t>
      </w:r>
    </w:p>
    <w:p w:rsidR="009C52CC" w:rsidRDefault="002847B3" w:rsidP="00257EBC">
      <w:pPr>
        <w:pStyle w:val="ParaNum"/>
        <w:widowControl/>
        <w:rPr>
          <w:szCs w:val="22"/>
        </w:rPr>
      </w:pPr>
      <w:r>
        <w:rPr>
          <w:szCs w:val="22"/>
        </w:rPr>
        <w:t xml:space="preserve">We seek </w:t>
      </w:r>
      <w:r w:rsidR="00592DAE">
        <w:rPr>
          <w:szCs w:val="22"/>
        </w:rPr>
        <w:t>comment</w:t>
      </w:r>
      <w:r w:rsidR="009C52CC">
        <w:rPr>
          <w:szCs w:val="22"/>
        </w:rPr>
        <w:t xml:space="preserve"> on the power </w:t>
      </w:r>
      <w:proofErr w:type="gramStart"/>
      <w:r w:rsidR="009C52CC">
        <w:rPr>
          <w:szCs w:val="22"/>
        </w:rPr>
        <w:t>levels which</w:t>
      </w:r>
      <w:proofErr w:type="gramEnd"/>
      <w:r w:rsidR="009C52CC">
        <w:rPr>
          <w:szCs w:val="22"/>
        </w:rPr>
        <w:t xml:space="preserve"> should be considered as a baseline for spectrum sharing evaluation and if </w:t>
      </w:r>
      <w:r w:rsidR="00251CF0">
        <w:rPr>
          <w:szCs w:val="22"/>
        </w:rPr>
        <w:t>the</w:t>
      </w:r>
      <w:r w:rsidR="009C52CC">
        <w:rPr>
          <w:szCs w:val="22"/>
        </w:rPr>
        <w:t xml:space="preserve"> SAS can regulate the use of such power levels.</w:t>
      </w:r>
      <w:r w:rsidR="003638E7">
        <w:rPr>
          <w:szCs w:val="22"/>
        </w:rPr>
        <w:t xml:space="preserve"> </w:t>
      </w:r>
      <w:r w:rsidR="008E7A28">
        <w:rPr>
          <w:szCs w:val="22"/>
        </w:rPr>
        <w:t xml:space="preserve"> </w:t>
      </w:r>
      <w:r w:rsidR="003638E7">
        <w:rPr>
          <w:szCs w:val="22"/>
        </w:rPr>
        <w:t>We also seek comment on the degree to which power levels in excess of 2</w:t>
      </w:r>
      <w:r w:rsidR="006D0BF3">
        <w:rPr>
          <w:szCs w:val="22"/>
        </w:rPr>
        <w:t>4</w:t>
      </w:r>
      <w:r w:rsidR="003638E7">
        <w:rPr>
          <w:szCs w:val="22"/>
        </w:rPr>
        <w:t xml:space="preserve"> </w:t>
      </w:r>
      <w:proofErr w:type="spellStart"/>
      <w:r w:rsidR="003638E7">
        <w:rPr>
          <w:szCs w:val="22"/>
        </w:rPr>
        <w:t>dBm</w:t>
      </w:r>
      <w:proofErr w:type="spellEnd"/>
      <w:r w:rsidR="003638E7">
        <w:rPr>
          <w:szCs w:val="22"/>
        </w:rPr>
        <w:t xml:space="preserve"> may be appropriate to enable other use cases, such as the rural coverage case contemplated in our NPRM.</w:t>
      </w:r>
      <w:r w:rsidR="003638E7">
        <w:rPr>
          <w:rStyle w:val="FootnoteReference"/>
          <w:szCs w:val="22"/>
        </w:rPr>
        <w:footnoteReference w:id="65"/>
      </w:r>
      <w:r w:rsidR="00486B99" w:rsidRPr="00486B99">
        <w:t xml:space="preserve"> </w:t>
      </w:r>
      <w:r w:rsidR="00EB4D76">
        <w:t xml:space="preserve"> </w:t>
      </w:r>
      <w:r w:rsidR="00486B99">
        <w:t>S</w:t>
      </w:r>
      <w:r w:rsidR="00486B99" w:rsidRPr="00B6445F">
        <w:t>hould we consider additional higher and lower base station (</w:t>
      </w:r>
      <w:r w:rsidR="00486B99" w:rsidRPr="00FF21F7">
        <w:rPr>
          <w:i/>
        </w:rPr>
        <w:t xml:space="preserve">e.g., </w:t>
      </w:r>
      <w:proofErr w:type="spellStart"/>
      <w:r w:rsidR="00486B99">
        <w:t>eNodeB</w:t>
      </w:r>
      <w:proofErr w:type="spellEnd"/>
      <w:r w:rsidR="00486B99">
        <w:t xml:space="preserve"> or Access Point</w:t>
      </w:r>
      <w:r w:rsidR="00486B99" w:rsidRPr="00B6445F">
        <w:t xml:space="preserve">) power classes for operation in </w:t>
      </w:r>
      <w:r w:rsidR="00251CF0">
        <w:t xml:space="preserve">the </w:t>
      </w:r>
      <w:r w:rsidR="00486B99" w:rsidRPr="00B6445F">
        <w:t>3.5</w:t>
      </w:r>
      <w:r w:rsidR="00486B99">
        <w:t xml:space="preserve"> </w:t>
      </w:r>
      <w:r w:rsidR="00486B99" w:rsidRPr="00B6445F">
        <w:t>GHz</w:t>
      </w:r>
      <w:r w:rsidR="00251CF0">
        <w:t xml:space="preserve"> Band</w:t>
      </w:r>
      <w:r w:rsidR="00486B99" w:rsidRPr="00B6445F">
        <w:t xml:space="preserve"> to address </w:t>
      </w:r>
      <w:r>
        <w:t xml:space="preserve">different network </w:t>
      </w:r>
      <w:r w:rsidR="00486B99" w:rsidRPr="00B6445F">
        <w:t>deployments?</w:t>
      </w:r>
      <w:r w:rsidR="00486B99">
        <w:t xml:space="preserve"> </w:t>
      </w:r>
      <w:r w:rsidR="00251CF0">
        <w:t xml:space="preserve"> </w:t>
      </w:r>
      <w:r w:rsidR="00486B99">
        <w:t>What values should be assumed</w:t>
      </w:r>
      <w:r w:rsidR="00486B99" w:rsidRPr="00B6445F">
        <w:t xml:space="preserve"> for E</w:t>
      </w:r>
      <w:r w:rsidR="00486B99">
        <w:t>I</w:t>
      </w:r>
      <w:r w:rsidR="00486B99" w:rsidRPr="00B6445F">
        <w:t>RP</w:t>
      </w:r>
      <w:r w:rsidR="00486B99">
        <w:t>?</w:t>
      </w:r>
      <w:r w:rsidR="00492F1F">
        <w:t xml:space="preserve"> </w:t>
      </w:r>
      <w:r w:rsidR="00251CF0">
        <w:t xml:space="preserve"> </w:t>
      </w:r>
      <w:r w:rsidR="00492F1F" w:rsidRPr="00B6445F">
        <w:t>Should power control function an</w:t>
      </w:r>
      <w:r w:rsidR="00492F1F">
        <w:t>d capability at the b</w:t>
      </w:r>
      <w:r w:rsidR="00492F1F" w:rsidRPr="00B6445F">
        <w:t xml:space="preserve">ase station and user device be service rule requirements?  </w:t>
      </w:r>
    </w:p>
    <w:p w:rsidR="009C52CC" w:rsidRPr="000E3708" w:rsidRDefault="00CC3C0C" w:rsidP="00257EBC">
      <w:pPr>
        <w:pStyle w:val="ParaNum"/>
        <w:widowControl/>
        <w:rPr>
          <w:szCs w:val="22"/>
        </w:rPr>
      </w:pPr>
      <w:r>
        <w:rPr>
          <w:i/>
          <w:szCs w:val="22"/>
        </w:rPr>
        <w:t xml:space="preserve">Acceptable Interference Environment. </w:t>
      </w:r>
      <w:r w:rsidR="006D0BF3">
        <w:rPr>
          <w:szCs w:val="22"/>
        </w:rPr>
        <w:t>Another key factor to consider is the acceptable interference environment in which multiple small cell networks would be able to coexist.</w:t>
      </w:r>
      <w:r w:rsidR="002847B3">
        <w:rPr>
          <w:szCs w:val="22"/>
        </w:rPr>
        <w:t xml:space="preserve">  </w:t>
      </w:r>
      <w:r w:rsidR="009C52CC">
        <w:rPr>
          <w:szCs w:val="22"/>
        </w:rPr>
        <w:t xml:space="preserve">The acceptable interference rise over thermal </w:t>
      </w:r>
      <w:r w:rsidR="003F5629">
        <w:rPr>
          <w:szCs w:val="22"/>
        </w:rPr>
        <w:t>noise for small deployments has</w:t>
      </w:r>
      <w:r w:rsidR="009C52CC">
        <w:rPr>
          <w:szCs w:val="22"/>
        </w:rPr>
        <w:t xml:space="preserve"> been studied with operational values around 20dB for </w:t>
      </w:r>
      <w:proofErr w:type="spellStart"/>
      <w:r w:rsidR="009C52CC">
        <w:rPr>
          <w:szCs w:val="22"/>
        </w:rPr>
        <w:t>picocell</w:t>
      </w:r>
      <w:r w:rsidR="00257F3F">
        <w:rPr>
          <w:szCs w:val="22"/>
        </w:rPr>
        <w:t>s</w:t>
      </w:r>
      <w:proofErr w:type="spellEnd"/>
      <w:r w:rsidR="009C52CC">
        <w:rPr>
          <w:szCs w:val="22"/>
        </w:rPr>
        <w:t xml:space="preserve"> and even higher </w:t>
      </w:r>
      <w:r w:rsidR="00A80DE2">
        <w:rPr>
          <w:szCs w:val="22"/>
        </w:rPr>
        <w:t>(</w:t>
      </w:r>
      <w:r w:rsidR="00A80DE2">
        <w:rPr>
          <w:i/>
          <w:szCs w:val="22"/>
        </w:rPr>
        <w:t>e.g.</w:t>
      </w:r>
      <w:r w:rsidR="009515A2">
        <w:rPr>
          <w:szCs w:val="22"/>
        </w:rPr>
        <w:t>,</w:t>
      </w:r>
      <w:r w:rsidR="009C52CC">
        <w:rPr>
          <w:szCs w:val="22"/>
        </w:rPr>
        <w:t xml:space="preserve"> greater than 40dB</w:t>
      </w:r>
      <w:r w:rsidR="00257F3F">
        <w:rPr>
          <w:szCs w:val="22"/>
        </w:rPr>
        <w:t>)</w:t>
      </w:r>
      <w:r w:rsidR="009C52CC">
        <w:rPr>
          <w:szCs w:val="22"/>
        </w:rPr>
        <w:t xml:space="preserve"> for </w:t>
      </w:r>
      <w:proofErr w:type="spellStart"/>
      <w:r w:rsidR="009C52CC">
        <w:rPr>
          <w:szCs w:val="22"/>
        </w:rPr>
        <w:t>femtocells</w:t>
      </w:r>
      <w:proofErr w:type="spellEnd"/>
      <w:r w:rsidR="009C52CC">
        <w:rPr>
          <w:szCs w:val="22"/>
        </w:rPr>
        <w:t>.</w:t>
      </w:r>
      <w:r w:rsidR="0033481B">
        <w:rPr>
          <w:rStyle w:val="FootnoteReference"/>
          <w:szCs w:val="22"/>
        </w:rPr>
        <w:footnoteReference w:id="66"/>
      </w:r>
      <w:r w:rsidR="009C52CC">
        <w:rPr>
          <w:szCs w:val="22"/>
        </w:rPr>
        <w:t xml:space="preserve"> </w:t>
      </w:r>
      <w:r w:rsidR="002847B3">
        <w:rPr>
          <w:szCs w:val="22"/>
        </w:rPr>
        <w:t xml:space="preserve"> </w:t>
      </w:r>
      <w:r w:rsidR="009C52CC">
        <w:rPr>
          <w:szCs w:val="22"/>
        </w:rPr>
        <w:t xml:space="preserve">A common understanding of tolerable </w:t>
      </w:r>
      <w:proofErr w:type="spellStart"/>
      <w:r w:rsidR="009C52CC">
        <w:rPr>
          <w:szCs w:val="22"/>
        </w:rPr>
        <w:t>IoT</w:t>
      </w:r>
      <w:proofErr w:type="spellEnd"/>
      <w:r w:rsidR="009C52CC">
        <w:rPr>
          <w:szCs w:val="22"/>
        </w:rPr>
        <w:t xml:space="preserve"> levels and extending them to estimate maximum acceptable intersystem co-channel interference and adjacent channel interfere</w:t>
      </w:r>
      <w:r w:rsidR="002847B3">
        <w:rPr>
          <w:szCs w:val="22"/>
        </w:rPr>
        <w:t xml:space="preserve">nce </w:t>
      </w:r>
      <w:r w:rsidR="00251CF0">
        <w:rPr>
          <w:szCs w:val="22"/>
        </w:rPr>
        <w:t>appear</w:t>
      </w:r>
      <w:r w:rsidR="002847B3">
        <w:rPr>
          <w:szCs w:val="22"/>
        </w:rPr>
        <w:t xml:space="preserve"> key to realizing</w:t>
      </w:r>
      <w:r w:rsidR="009C52CC">
        <w:rPr>
          <w:szCs w:val="22"/>
        </w:rPr>
        <w:t xml:space="preserve"> and quantify</w:t>
      </w:r>
      <w:r w:rsidR="002847B3">
        <w:rPr>
          <w:szCs w:val="22"/>
        </w:rPr>
        <w:t>ing</w:t>
      </w:r>
      <w:r w:rsidR="009C52CC">
        <w:rPr>
          <w:szCs w:val="22"/>
        </w:rPr>
        <w:t xml:space="preserve"> the potential in spectrum sharing. </w:t>
      </w:r>
      <w:r w:rsidR="002847B3">
        <w:rPr>
          <w:szCs w:val="22"/>
        </w:rPr>
        <w:t xml:space="preserve"> </w:t>
      </w:r>
      <w:r w:rsidR="00C936B8">
        <w:rPr>
          <w:szCs w:val="22"/>
        </w:rPr>
        <w:t xml:space="preserve">What are appropriate values for </w:t>
      </w:r>
      <w:proofErr w:type="spellStart"/>
      <w:r w:rsidR="00C936B8">
        <w:rPr>
          <w:szCs w:val="22"/>
        </w:rPr>
        <w:t>IoT</w:t>
      </w:r>
      <w:proofErr w:type="spellEnd"/>
      <w:r w:rsidR="00C936B8">
        <w:rPr>
          <w:szCs w:val="22"/>
        </w:rPr>
        <w:t xml:space="preserve"> given the</w:t>
      </w:r>
      <w:r w:rsidR="00251CF0">
        <w:rPr>
          <w:szCs w:val="22"/>
        </w:rPr>
        <w:t xml:space="preserve"> Revised F</w:t>
      </w:r>
      <w:r w:rsidR="00C936B8">
        <w:rPr>
          <w:szCs w:val="22"/>
        </w:rPr>
        <w:t>ramework we</w:t>
      </w:r>
      <w:r w:rsidR="00A80DE2">
        <w:rPr>
          <w:szCs w:val="22"/>
        </w:rPr>
        <w:t xml:space="preserve"> </w:t>
      </w:r>
      <w:r w:rsidR="00251CF0">
        <w:rPr>
          <w:szCs w:val="22"/>
        </w:rPr>
        <w:t>envision for the 3.5 GHz B</w:t>
      </w:r>
      <w:r w:rsidR="00C936B8">
        <w:rPr>
          <w:szCs w:val="22"/>
        </w:rPr>
        <w:t>and?  In addressing this question, commenters should focus not only on interference issues between similar type systems (</w:t>
      </w:r>
      <w:r w:rsidR="00C936B8">
        <w:rPr>
          <w:i/>
          <w:szCs w:val="22"/>
        </w:rPr>
        <w:t>e.g.</w:t>
      </w:r>
      <w:r w:rsidR="00C936B8">
        <w:rPr>
          <w:szCs w:val="22"/>
        </w:rPr>
        <w:t>, LTE to LTE), but also on coexistence issues between disparate systems (</w:t>
      </w:r>
      <w:r w:rsidR="00C936B8">
        <w:rPr>
          <w:i/>
          <w:szCs w:val="22"/>
        </w:rPr>
        <w:t>e.g.</w:t>
      </w:r>
      <w:r w:rsidR="00C936B8">
        <w:rPr>
          <w:szCs w:val="22"/>
        </w:rPr>
        <w:t xml:space="preserve">, LTE to Wi-Fi).  Are different considerations necessary for each of these situations?   Can such an approach be integrated with the imposition of some minimal receiver standards on equipment in the band?  How could such policies be implemented and enforced at licensees’ </w:t>
      </w:r>
      <w:r w:rsidR="00360546">
        <w:rPr>
          <w:szCs w:val="22"/>
        </w:rPr>
        <w:t xml:space="preserve">geographic </w:t>
      </w:r>
      <w:r w:rsidR="00C936B8">
        <w:rPr>
          <w:szCs w:val="22"/>
        </w:rPr>
        <w:t>boundary for a</w:t>
      </w:r>
      <w:r w:rsidR="00360546">
        <w:rPr>
          <w:szCs w:val="22"/>
        </w:rPr>
        <w:t xml:space="preserve"> single</w:t>
      </w:r>
      <w:r w:rsidR="009C52CC">
        <w:rPr>
          <w:szCs w:val="22"/>
        </w:rPr>
        <w:t xml:space="preserve"> </w:t>
      </w:r>
      <w:r w:rsidR="00865E83">
        <w:rPr>
          <w:szCs w:val="22"/>
        </w:rPr>
        <w:t>PAL</w:t>
      </w:r>
      <w:r w:rsidR="009C52CC">
        <w:rPr>
          <w:szCs w:val="22"/>
        </w:rPr>
        <w:t xml:space="preserve"> or </w:t>
      </w:r>
      <w:r w:rsidR="00360546">
        <w:rPr>
          <w:szCs w:val="22"/>
        </w:rPr>
        <w:t xml:space="preserve">a collection of aggregated </w:t>
      </w:r>
      <w:r w:rsidR="00865E83">
        <w:rPr>
          <w:szCs w:val="22"/>
        </w:rPr>
        <w:t>PAL</w:t>
      </w:r>
      <w:r w:rsidR="00C936B8">
        <w:rPr>
          <w:szCs w:val="22"/>
        </w:rPr>
        <w:t>s?</w:t>
      </w:r>
      <w:r w:rsidR="009C52CC">
        <w:rPr>
          <w:szCs w:val="22"/>
        </w:rPr>
        <w:t xml:space="preserve"> </w:t>
      </w:r>
      <w:r w:rsidR="002847B3">
        <w:rPr>
          <w:szCs w:val="22"/>
        </w:rPr>
        <w:t xml:space="preserve"> </w:t>
      </w:r>
      <w:r w:rsidR="009C52CC" w:rsidRPr="00B6445F">
        <w:rPr>
          <w:szCs w:val="22"/>
        </w:rPr>
        <w:t>Similarly</w:t>
      </w:r>
      <w:r w:rsidR="00251CF0">
        <w:rPr>
          <w:szCs w:val="22"/>
        </w:rPr>
        <w:t>,</w:t>
      </w:r>
      <w:r w:rsidR="009C52CC" w:rsidRPr="00B6445F">
        <w:rPr>
          <w:szCs w:val="22"/>
        </w:rPr>
        <w:t xml:space="preserve"> </w:t>
      </w:r>
      <w:r w:rsidR="009C52CC">
        <w:rPr>
          <w:szCs w:val="22"/>
        </w:rPr>
        <w:t xml:space="preserve">one can estimate </w:t>
      </w:r>
      <w:r w:rsidR="009C52CC" w:rsidRPr="00B6445F">
        <w:rPr>
          <w:szCs w:val="22"/>
        </w:rPr>
        <w:t>the maximum signal level received from each system in adjacent channels.</w:t>
      </w:r>
      <w:r w:rsidR="00A56220">
        <w:t xml:space="preserve">  We </w:t>
      </w:r>
      <w:r w:rsidR="00B81F5A">
        <w:t xml:space="preserve">seek comment on </w:t>
      </w:r>
      <w:r w:rsidR="0017273D" w:rsidRPr="00B6445F">
        <w:t>noise figures</w:t>
      </w:r>
      <w:r w:rsidR="002847B3">
        <w:t xml:space="preserve">, </w:t>
      </w:r>
      <w:r w:rsidR="0033481B">
        <w:t>aggregate and intra and inter-system</w:t>
      </w:r>
      <w:r w:rsidR="0033481B" w:rsidRPr="00B6445F">
        <w:t xml:space="preserve"> </w:t>
      </w:r>
      <w:proofErr w:type="spellStart"/>
      <w:r w:rsidR="0017273D" w:rsidRPr="00B6445F">
        <w:t>IoT</w:t>
      </w:r>
      <w:proofErr w:type="spellEnd"/>
      <w:r w:rsidR="0017273D">
        <w:t xml:space="preserve"> thresholds</w:t>
      </w:r>
      <w:r w:rsidR="0033481B">
        <w:t>,</w:t>
      </w:r>
      <w:r w:rsidR="0017273D">
        <w:t xml:space="preserve"> and receiver desensitization with focus on </w:t>
      </w:r>
      <w:r w:rsidR="0017273D" w:rsidRPr="00B6445F">
        <w:t>3.5</w:t>
      </w:r>
      <w:r w:rsidR="0017273D">
        <w:t xml:space="preserve"> </w:t>
      </w:r>
      <w:r w:rsidR="0033481B">
        <w:t xml:space="preserve">GHz </w:t>
      </w:r>
      <w:r w:rsidR="00251CF0">
        <w:t xml:space="preserve">Band </w:t>
      </w:r>
      <w:r w:rsidR="0033481B">
        <w:t>small cells.</w:t>
      </w:r>
      <w:r w:rsidR="0017273D" w:rsidRPr="00B6445F">
        <w:t xml:space="preserve">  </w:t>
      </w:r>
      <w:r w:rsidR="00C936B8">
        <w:t xml:space="preserve">In addition, we seek comment on whether an approach based on field strength or PFD </w:t>
      </w:r>
      <w:r w:rsidR="00251CF0">
        <w:t>would be more appropriate and</w:t>
      </w:r>
      <w:r w:rsidR="00C936B8">
        <w:t xml:space="preserve"> easier to administer and comply with.  If so, at what location(s) should such limits be imposed (</w:t>
      </w:r>
      <w:r w:rsidR="00C936B8" w:rsidRPr="00CC318A">
        <w:rPr>
          <w:i/>
        </w:rPr>
        <w:t>e.g</w:t>
      </w:r>
      <w:r w:rsidR="00C936B8">
        <w:t xml:space="preserve">., at ground level, at some height above ground)?  </w:t>
      </w:r>
      <w:r w:rsidR="0033481B">
        <w:t>What additional</w:t>
      </w:r>
      <w:r w:rsidR="00251CF0">
        <w:t xml:space="preserve"> consideration is needed if </w:t>
      </w:r>
      <w:r w:rsidR="0033481B">
        <w:t>two adjacent system</w:t>
      </w:r>
      <w:r w:rsidR="00251CF0">
        <w:t>s</w:t>
      </w:r>
      <w:r w:rsidR="0033481B">
        <w:t xml:space="preserve"> use differen</w:t>
      </w:r>
      <w:r w:rsidR="00251CF0">
        <w:t xml:space="preserve">t radio access technologies </w:t>
      </w:r>
      <w:r w:rsidR="0033481B">
        <w:t xml:space="preserve">or have no or poor synchronization?  </w:t>
      </w:r>
    </w:p>
    <w:p w:rsidR="00C936B8" w:rsidRDefault="00360546" w:rsidP="00257EBC">
      <w:pPr>
        <w:pStyle w:val="ParaNum"/>
        <w:widowControl/>
      </w:pPr>
      <w:r>
        <w:rPr>
          <w:i/>
        </w:rPr>
        <w:lastRenderedPageBreak/>
        <w:t xml:space="preserve">Technical Flexibility. </w:t>
      </w:r>
      <w:r w:rsidR="00487F2F">
        <w:t>The Revised Framework is designed to flexibly accommodate different types of end users and a variety of use cases.  T</w:t>
      </w:r>
      <w:r w:rsidR="00C55FF6">
        <w:t>o what extent c</w:t>
      </w:r>
      <w:r w:rsidR="00487F2F">
        <w:t>ould</w:t>
      </w:r>
      <w:r w:rsidR="00C55FF6">
        <w:t xml:space="preserve"> </w:t>
      </w:r>
      <w:r w:rsidR="00487F2F">
        <w:t xml:space="preserve">technical </w:t>
      </w:r>
      <w:r w:rsidR="00C55FF6">
        <w:t xml:space="preserve">rules </w:t>
      </w:r>
      <w:r w:rsidR="00487F2F">
        <w:t xml:space="preserve">facilitate the effective coexistence of disparate technologies and network topologies in the band? </w:t>
      </w:r>
      <w:r w:rsidR="00C55FF6">
        <w:t xml:space="preserve"> </w:t>
      </w:r>
      <w:r w:rsidR="009E2DC9" w:rsidRPr="00CB240B">
        <w:t>Should</w:t>
      </w:r>
      <w:r w:rsidR="009E2DC9">
        <w:t xml:space="preserve"> we also accommodate point to multipoint radios for wireless backhaul and WISP applications</w:t>
      </w:r>
      <w:r w:rsidR="008A3B96">
        <w:t xml:space="preserve"> as suggested by some commenters</w:t>
      </w:r>
      <w:r w:rsidR="009E2DC9">
        <w:t>?</w:t>
      </w:r>
      <w:r w:rsidR="008A3B96">
        <w:rPr>
          <w:rStyle w:val="FootnoteReference"/>
        </w:rPr>
        <w:footnoteReference w:id="67"/>
      </w:r>
      <w:r w:rsidR="009E2DC9">
        <w:t xml:space="preserve"> </w:t>
      </w:r>
      <w:r w:rsidR="008E7A28">
        <w:t xml:space="preserve"> </w:t>
      </w:r>
      <w:r w:rsidR="009E2DC9">
        <w:t>If so, how would their coexistence with small cells in nearby locations or adjacent channels be managed?</w:t>
      </w:r>
      <w:r w:rsidR="009E2DC9">
        <w:rPr>
          <w:szCs w:val="22"/>
        </w:rPr>
        <w:t xml:space="preserve">  </w:t>
      </w:r>
      <w:r w:rsidR="009E2DC9">
        <w:t xml:space="preserve">Could </w:t>
      </w:r>
      <w:r w:rsidR="00716CE2">
        <w:t>spectrum coordination</w:t>
      </w:r>
      <w:r w:rsidR="00487F2F">
        <w:t xml:space="preserve"> be</w:t>
      </w:r>
      <w:r w:rsidR="009E2DC9">
        <w:t>tween different networks and technologies</w:t>
      </w:r>
      <w:r w:rsidR="00487F2F">
        <w:t xml:space="preserve"> </w:t>
      </w:r>
      <w:r w:rsidR="009E2DC9">
        <w:t xml:space="preserve">be </w:t>
      </w:r>
      <w:r w:rsidR="00487F2F">
        <w:t>automated</w:t>
      </w:r>
      <w:r w:rsidR="009E2DC9">
        <w:t xml:space="preserve"> in whole or in part and managed by the SAS?</w:t>
      </w:r>
      <w:r w:rsidR="00487F2F">
        <w:t xml:space="preserve"> </w:t>
      </w:r>
      <w:bookmarkStart w:id="92" w:name="_Toc364956238"/>
      <w:bookmarkStart w:id="93" w:name="_Toc365040871"/>
      <w:bookmarkStart w:id="94" w:name="_Toc365381567"/>
      <w:r w:rsidR="008E7A28">
        <w:t xml:space="preserve"> </w:t>
      </w:r>
      <w:r>
        <w:rPr>
          <w:szCs w:val="22"/>
        </w:rPr>
        <w:t xml:space="preserve">How can the SAS facilitate coexistence of disparate systems?  </w:t>
      </w:r>
    </w:p>
    <w:p w:rsidR="00485936" w:rsidRDefault="00485936" w:rsidP="00257EBC">
      <w:pPr>
        <w:pStyle w:val="Heading3"/>
        <w:widowControl/>
      </w:pPr>
      <w:bookmarkStart w:id="95" w:name="_Toc365539325"/>
      <w:bookmarkStart w:id="96" w:name="_Toc366145036"/>
      <w:bookmarkStart w:id="97" w:name="_Toc366157661"/>
      <w:bookmarkStart w:id="98" w:name="_Toc366159773"/>
      <w:bookmarkStart w:id="99" w:name="_Toc367261122"/>
      <w:r>
        <w:t>Additional Technical Considerations</w:t>
      </w:r>
      <w:bookmarkEnd w:id="95"/>
      <w:bookmarkEnd w:id="96"/>
      <w:bookmarkEnd w:id="97"/>
      <w:bookmarkEnd w:id="98"/>
      <w:bookmarkEnd w:id="99"/>
    </w:p>
    <w:p w:rsidR="00B55833" w:rsidRPr="007E6970" w:rsidRDefault="00D51A0C" w:rsidP="00257EBC">
      <w:pPr>
        <w:pStyle w:val="ParaNum"/>
        <w:widowControl/>
      </w:pPr>
      <w:r>
        <w:t xml:space="preserve">We acknowledge that there may be additional technical considerations beyond those addressed in the NPRM and this Public Notice that </w:t>
      </w:r>
      <w:r w:rsidR="007E6970">
        <w:t>would</w:t>
      </w:r>
      <w:r>
        <w:t xml:space="preserve"> need to be incorporated into any technical rules adopted in this proceeding</w:t>
      </w:r>
      <w:r w:rsidR="00C72EA0">
        <w:t xml:space="preserve">.  </w:t>
      </w:r>
      <w:r>
        <w:t xml:space="preserve">We seek comment on what additional </w:t>
      </w:r>
      <w:r w:rsidR="007E6970">
        <w:t xml:space="preserve">technical </w:t>
      </w:r>
      <w:r>
        <w:t>issues may need to be addressed</w:t>
      </w:r>
      <w:r w:rsidR="00950F19">
        <w:t xml:space="preserve"> in this proceeding to promote </w:t>
      </w:r>
      <w:r w:rsidR="00ED183D">
        <w:t>efficiency and intensive use of the 3.5 GHz Band</w:t>
      </w:r>
      <w:r w:rsidR="007E6970">
        <w:t xml:space="preserve">.  </w:t>
      </w:r>
      <w:r w:rsidR="00ED183D">
        <w:t>We encourage commenters to address</w:t>
      </w:r>
      <w:r w:rsidR="0043787F">
        <w:t xml:space="preserve"> these issues as </w:t>
      </w:r>
      <w:r w:rsidR="00ED183D">
        <w:t xml:space="preserve">thoroughly </w:t>
      </w:r>
      <w:r w:rsidR="0043787F">
        <w:t xml:space="preserve">as possible. </w:t>
      </w:r>
      <w:r w:rsidR="008E7A28">
        <w:t xml:space="preserve"> </w:t>
      </w:r>
      <w:r w:rsidR="0043787F">
        <w:t xml:space="preserve">To the extent we see commenters identify common issues that require further discussion, we may seek additional comment as appropriate. </w:t>
      </w:r>
      <w:r w:rsidR="00257F3F">
        <w:t>As noted above, we envision holding a workshop on the technical aspects of the SAS in the near future. The Bureaus will solicit further input on SAS requirements in conjunction with that event.</w:t>
      </w:r>
    </w:p>
    <w:p w:rsidR="00B55833" w:rsidRPr="00134B07" w:rsidRDefault="00C936B8" w:rsidP="00257EBC">
      <w:pPr>
        <w:pStyle w:val="ParaNum"/>
        <w:widowControl/>
      </w:pPr>
      <w:r>
        <w:rPr>
          <w:szCs w:val="22"/>
        </w:rPr>
        <w:t xml:space="preserve">We note that the FCC’s Technological Advisory Council (TAC) has been studying spectrum interference policy and receiver standards in general, and </w:t>
      </w:r>
      <w:r w:rsidR="00A80DE2">
        <w:rPr>
          <w:szCs w:val="22"/>
        </w:rPr>
        <w:t xml:space="preserve">it </w:t>
      </w:r>
      <w:r>
        <w:rPr>
          <w:szCs w:val="22"/>
        </w:rPr>
        <w:t>recommends that the Commission consider forming one or more multi-stakeholder groups to study such standards and interference limits policy at suitable service boundaries, such as those related to the 3.5 GHz band.</w:t>
      </w:r>
      <w:r>
        <w:rPr>
          <w:rStyle w:val="FootnoteReference"/>
          <w:szCs w:val="22"/>
        </w:rPr>
        <w:footnoteReference w:id="68"/>
      </w:r>
      <w:r>
        <w:rPr>
          <w:szCs w:val="22"/>
        </w:rPr>
        <w:t xml:space="preserve"> </w:t>
      </w:r>
      <w:r w:rsidR="008E7A28">
        <w:rPr>
          <w:szCs w:val="22"/>
        </w:rPr>
        <w:t xml:space="preserve"> </w:t>
      </w:r>
      <w:r>
        <w:rPr>
          <w:szCs w:val="22"/>
        </w:rPr>
        <w:t xml:space="preserve">Should the Commission encourage the formation of one or more </w:t>
      </w:r>
      <w:r w:rsidR="00ED183D">
        <w:rPr>
          <w:szCs w:val="22"/>
        </w:rPr>
        <w:t>groups</w:t>
      </w:r>
      <w:r>
        <w:rPr>
          <w:szCs w:val="22"/>
        </w:rPr>
        <w:t xml:space="preserve"> to</w:t>
      </w:r>
      <w:r w:rsidR="00ED183D">
        <w:rPr>
          <w:szCs w:val="22"/>
        </w:rPr>
        <w:t xml:space="preserve"> investigate interference limit</w:t>
      </w:r>
      <w:r>
        <w:rPr>
          <w:szCs w:val="22"/>
        </w:rPr>
        <w:t xml:space="preserve"> policy for the 3.5 GHz band? </w:t>
      </w:r>
      <w:r w:rsidR="008E7A28">
        <w:rPr>
          <w:szCs w:val="22"/>
        </w:rPr>
        <w:t xml:space="preserve"> </w:t>
      </w:r>
      <w:r>
        <w:rPr>
          <w:szCs w:val="22"/>
        </w:rPr>
        <w:t>If so, what should be the scope of such a group or groups?</w:t>
      </w:r>
      <w:r>
        <w:rPr>
          <w:rStyle w:val="FootnoteReference"/>
          <w:szCs w:val="22"/>
        </w:rPr>
        <w:footnoteReference w:id="69"/>
      </w:r>
      <w:r>
        <w:rPr>
          <w:szCs w:val="22"/>
        </w:rPr>
        <w:t xml:space="preserve">  </w:t>
      </w:r>
    </w:p>
    <w:p w:rsidR="00026230" w:rsidRPr="00B6445F" w:rsidRDefault="00026230" w:rsidP="00257EBC">
      <w:pPr>
        <w:pStyle w:val="Heading2"/>
        <w:widowControl/>
        <w:rPr>
          <w:szCs w:val="22"/>
        </w:rPr>
      </w:pPr>
      <w:bookmarkStart w:id="100" w:name="_Toc365539326"/>
      <w:bookmarkStart w:id="101" w:name="_Toc366145037"/>
      <w:bookmarkStart w:id="102" w:name="_Toc366157662"/>
      <w:bookmarkStart w:id="103" w:name="_Toc366159774"/>
      <w:bookmarkStart w:id="104" w:name="_Toc367261123"/>
      <w:r w:rsidRPr="00B6445F">
        <w:rPr>
          <w:szCs w:val="22"/>
        </w:rPr>
        <w:t xml:space="preserve">Extension of </w:t>
      </w:r>
      <w:r w:rsidR="00ED183D">
        <w:rPr>
          <w:szCs w:val="22"/>
        </w:rPr>
        <w:t xml:space="preserve">Revised </w:t>
      </w:r>
      <w:r w:rsidRPr="00B6445F">
        <w:rPr>
          <w:szCs w:val="22"/>
        </w:rPr>
        <w:t>Framework to the 3650-3700 MHz Band</w:t>
      </w:r>
      <w:bookmarkEnd w:id="92"/>
      <w:bookmarkEnd w:id="93"/>
      <w:bookmarkEnd w:id="94"/>
      <w:bookmarkEnd w:id="100"/>
      <w:bookmarkEnd w:id="101"/>
      <w:bookmarkEnd w:id="102"/>
      <w:bookmarkEnd w:id="103"/>
      <w:bookmarkEnd w:id="104"/>
    </w:p>
    <w:p w:rsidR="00026230" w:rsidRPr="00B6445F" w:rsidRDefault="00026230" w:rsidP="00257EBC">
      <w:pPr>
        <w:pStyle w:val="ParaNum"/>
        <w:widowControl/>
        <w:rPr>
          <w:szCs w:val="22"/>
        </w:rPr>
      </w:pPr>
      <w:r w:rsidRPr="00B6445F">
        <w:rPr>
          <w:szCs w:val="22"/>
        </w:rPr>
        <w:t xml:space="preserve">The NPRM described </w:t>
      </w:r>
      <w:r w:rsidR="003B79CD">
        <w:rPr>
          <w:szCs w:val="22"/>
        </w:rPr>
        <w:t xml:space="preserve">the </w:t>
      </w:r>
      <w:r w:rsidRPr="00B6445F">
        <w:rPr>
          <w:szCs w:val="22"/>
        </w:rPr>
        <w:t>possibi</w:t>
      </w:r>
      <w:r w:rsidR="00ED183D">
        <w:rPr>
          <w:szCs w:val="22"/>
        </w:rPr>
        <w:t xml:space="preserve">lity of extending </w:t>
      </w:r>
      <w:r w:rsidR="007E11D9" w:rsidRPr="00B6445F">
        <w:rPr>
          <w:szCs w:val="22"/>
        </w:rPr>
        <w:t>the proposed licensing framework to the 3650-3700 MHz band.</w:t>
      </w:r>
      <w:r w:rsidR="007E11D9" w:rsidRPr="00B6445F">
        <w:rPr>
          <w:rStyle w:val="FootnoteReference"/>
          <w:szCs w:val="22"/>
        </w:rPr>
        <w:footnoteReference w:id="70"/>
      </w:r>
      <w:r w:rsidR="007E11D9" w:rsidRPr="00B6445F">
        <w:rPr>
          <w:szCs w:val="22"/>
        </w:rPr>
        <w:t xml:space="preserve">  </w:t>
      </w:r>
      <w:r w:rsidRPr="00B6445F">
        <w:rPr>
          <w:szCs w:val="22"/>
        </w:rPr>
        <w:t>Several commenters</w:t>
      </w:r>
      <w:r w:rsidR="007E11D9" w:rsidRPr="00B6445F">
        <w:rPr>
          <w:szCs w:val="22"/>
        </w:rPr>
        <w:t>, including wireless Internet service providers, commerc</w:t>
      </w:r>
      <w:r w:rsidR="00ED183D">
        <w:rPr>
          <w:szCs w:val="22"/>
        </w:rPr>
        <w:t xml:space="preserve">ial carriers, and others commented </w:t>
      </w:r>
      <w:r w:rsidR="007E11D9" w:rsidRPr="00B6445F">
        <w:rPr>
          <w:szCs w:val="22"/>
        </w:rPr>
        <w:t>on the advisability of adopting the supplemental proposal</w:t>
      </w:r>
      <w:r w:rsidRPr="00B6445F">
        <w:rPr>
          <w:szCs w:val="22"/>
        </w:rPr>
        <w:t>.</w:t>
      </w:r>
      <w:r w:rsidR="007E11D9" w:rsidRPr="00B6445F">
        <w:rPr>
          <w:rStyle w:val="FootnoteReference"/>
          <w:szCs w:val="22"/>
        </w:rPr>
        <w:footnoteReference w:id="71"/>
      </w:r>
      <w:r w:rsidR="007E11D9" w:rsidRPr="00B6445F">
        <w:rPr>
          <w:szCs w:val="22"/>
        </w:rPr>
        <w:t xml:space="preserve">  </w:t>
      </w:r>
      <w:r w:rsidRPr="00B6445F">
        <w:rPr>
          <w:szCs w:val="22"/>
        </w:rPr>
        <w:t>Although our primar</w:t>
      </w:r>
      <w:r w:rsidR="007E11D9" w:rsidRPr="00B6445F">
        <w:rPr>
          <w:szCs w:val="22"/>
        </w:rPr>
        <w:t xml:space="preserve">y objective here is to describe how the </w:t>
      </w:r>
      <w:r w:rsidR="0037434C">
        <w:rPr>
          <w:szCs w:val="22"/>
        </w:rPr>
        <w:t>Revised Framework</w:t>
      </w:r>
      <w:r w:rsidR="007E11D9" w:rsidRPr="00B6445F">
        <w:rPr>
          <w:szCs w:val="22"/>
        </w:rPr>
        <w:t xml:space="preserve"> would operate in the context of the 3.5 GHz Band, </w:t>
      </w:r>
      <w:r w:rsidRPr="00B6445F">
        <w:rPr>
          <w:szCs w:val="22"/>
        </w:rPr>
        <w:t>we also seek comment on whether and how it could</w:t>
      </w:r>
      <w:r w:rsidR="007E11D9" w:rsidRPr="00B6445F">
        <w:rPr>
          <w:szCs w:val="22"/>
        </w:rPr>
        <w:t xml:space="preserve"> be extended to </w:t>
      </w:r>
      <w:r w:rsidR="003B79CD">
        <w:rPr>
          <w:szCs w:val="22"/>
        </w:rPr>
        <w:t xml:space="preserve">the </w:t>
      </w:r>
      <w:r w:rsidR="007E11D9" w:rsidRPr="00B6445F">
        <w:rPr>
          <w:szCs w:val="22"/>
        </w:rPr>
        <w:t xml:space="preserve">3650-3700 MHz band.  What, if any, </w:t>
      </w:r>
      <w:r w:rsidR="00ED183D">
        <w:rPr>
          <w:szCs w:val="22"/>
        </w:rPr>
        <w:t xml:space="preserve">additional considerations </w:t>
      </w:r>
      <w:r w:rsidR="007E11D9" w:rsidRPr="00B6445F">
        <w:rPr>
          <w:szCs w:val="22"/>
        </w:rPr>
        <w:t xml:space="preserve">would apply if the </w:t>
      </w:r>
      <w:r w:rsidR="0037434C">
        <w:rPr>
          <w:szCs w:val="22"/>
        </w:rPr>
        <w:t>Revised Framework</w:t>
      </w:r>
      <w:r w:rsidR="007E11D9" w:rsidRPr="00B6445F">
        <w:rPr>
          <w:szCs w:val="22"/>
        </w:rPr>
        <w:t xml:space="preserve"> </w:t>
      </w:r>
      <w:r w:rsidR="007E11D9" w:rsidRPr="00B6445F">
        <w:rPr>
          <w:szCs w:val="22"/>
        </w:rPr>
        <w:lastRenderedPageBreak/>
        <w:t>were to be applied to the 3650-3700 MHz band?  What provisions would need to be made for incumbent operators?  How much transition time would be required?</w:t>
      </w:r>
    </w:p>
    <w:p w:rsidR="00A80DE2" w:rsidRDefault="000763BC" w:rsidP="00257EBC">
      <w:pPr>
        <w:pStyle w:val="Heading1"/>
        <w:widowControl/>
        <w:rPr>
          <w:rFonts w:ascii="Times New Roman" w:hAnsi="Times New Roman"/>
          <w:szCs w:val="22"/>
        </w:rPr>
      </w:pPr>
      <w:bookmarkStart w:id="105" w:name="_Toc366145038"/>
      <w:bookmarkStart w:id="106" w:name="_Toc366157663"/>
      <w:bookmarkStart w:id="107" w:name="_Toc366159775"/>
      <w:bookmarkStart w:id="108" w:name="_Toc367261124"/>
      <w:bookmarkStart w:id="109" w:name="_Toc364956239"/>
      <w:bookmarkStart w:id="110" w:name="_Toc365040872"/>
      <w:bookmarkStart w:id="111" w:name="_Toc365381568"/>
      <w:bookmarkStart w:id="112" w:name="_Toc365539327"/>
      <w:r w:rsidRPr="00456F6D">
        <w:rPr>
          <w:rFonts w:ascii="Times New Roman" w:hAnsi="Times New Roman"/>
          <w:szCs w:val="22"/>
        </w:rPr>
        <w:t xml:space="preserve">Procedural </w:t>
      </w:r>
      <w:r w:rsidR="00A80DE2">
        <w:rPr>
          <w:rFonts w:ascii="Times New Roman" w:hAnsi="Times New Roman"/>
          <w:szCs w:val="22"/>
        </w:rPr>
        <w:t>Matters</w:t>
      </w:r>
      <w:bookmarkEnd w:id="105"/>
      <w:bookmarkEnd w:id="106"/>
      <w:bookmarkEnd w:id="107"/>
      <w:bookmarkEnd w:id="108"/>
    </w:p>
    <w:p w:rsidR="00A80DE2" w:rsidRDefault="00A80DE2" w:rsidP="00257EBC">
      <w:pPr>
        <w:pStyle w:val="Heading2"/>
        <w:widowControl/>
      </w:pPr>
      <w:bookmarkStart w:id="113" w:name="_Toc366145039"/>
      <w:bookmarkStart w:id="114" w:name="_Toc366157664"/>
      <w:bookmarkStart w:id="115" w:name="_Toc366159776"/>
      <w:bookmarkStart w:id="116" w:name="_Toc367261125"/>
      <w:r>
        <w:rPr>
          <w:i/>
        </w:rPr>
        <w:t xml:space="preserve">Ex Parte </w:t>
      </w:r>
      <w:r>
        <w:t>Rules</w:t>
      </w:r>
      <w:bookmarkEnd w:id="113"/>
      <w:bookmarkEnd w:id="114"/>
      <w:bookmarkEnd w:id="115"/>
      <w:bookmarkEnd w:id="116"/>
    </w:p>
    <w:p w:rsidR="00A80DE2" w:rsidRDefault="00A80DE2" w:rsidP="00257EBC">
      <w:pPr>
        <w:pStyle w:val="ParaNum"/>
        <w:widowControl/>
        <w:rPr>
          <w:snapToGrid/>
          <w:szCs w:val="22"/>
        </w:rPr>
      </w:pPr>
      <w:r>
        <w:rPr>
          <w:snapToGrid/>
          <w:szCs w:val="22"/>
        </w:rPr>
        <w:t xml:space="preserve">As noted in the NPRM, this proceeding has been designated as a “permit-but-disclose” proceeding in accordance with the Commission’s </w:t>
      </w:r>
      <w:r w:rsidRPr="00ED183D">
        <w:rPr>
          <w:i/>
          <w:snapToGrid/>
          <w:szCs w:val="22"/>
        </w:rPr>
        <w:t>ex parte</w:t>
      </w:r>
      <w:r>
        <w:rPr>
          <w:snapToGrid/>
          <w:szCs w:val="22"/>
        </w:rPr>
        <w:t xml:space="preserve"> rules.</w:t>
      </w:r>
    </w:p>
    <w:p w:rsidR="000763BC" w:rsidRPr="00A1224C" w:rsidRDefault="00A80DE2" w:rsidP="00257EBC">
      <w:pPr>
        <w:pStyle w:val="Heading2"/>
        <w:widowControl/>
        <w:rPr>
          <w:snapToGrid/>
        </w:rPr>
      </w:pPr>
      <w:bookmarkStart w:id="117" w:name="_Toc366145040"/>
      <w:bookmarkStart w:id="118" w:name="_Toc366157665"/>
      <w:bookmarkStart w:id="119" w:name="_Toc366159777"/>
      <w:bookmarkStart w:id="120" w:name="_Toc367261126"/>
      <w:r>
        <w:rPr>
          <w:snapToGrid/>
        </w:rPr>
        <w:t>Filing Requirements</w:t>
      </w:r>
      <w:bookmarkEnd w:id="109"/>
      <w:bookmarkEnd w:id="110"/>
      <w:bookmarkEnd w:id="111"/>
      <w:bookmarkEnd w:id="112"/>
      <w:bookmarkEnd w:id="117"/>
      <w:bookmarkEnd w:id="118"/>
      <w:bookmarkEnd w:id="119"/>
      <w:bookmarkEnd w:id="120"/>
    </w:p>
    <w:p w:rsidR="003C6316" w:rsidRPr="003C6316" w:rsidRDefault="003C6316" w:rsidP="00257EBC">
      <w:pPr>
        <w:pStyle w:val="ParaNum"/>
        <w:widowControl/>
        <w:rPr>
          <w:snapToGrid/>
          <w:szCs w:val="22"/>
        </w:rPr>
      </w:pPr>
      <w:r w:rsidRPr="003C6316">
        <w:rPr>
          <w:snapToGrid/>
          <w:szCs w:val="22"/>
        </w:rPr>
        <w:t>Comments are due on or before</w:t>
      </w:r>
      <w:r>
        <w:rPr>
          <w:snapToGrid/>
          <w:szCs w:val="22"/>
        </w:rPr>
        <w:t xml:space="preserve"> </w:t>
      </w:r>
      <w:r w:rsidR="00B021BD">
        <w:rPr>
          <w:snapToGrid/>
          <w:szCs w:val="22"/>
        </w:rPr>
        <w:t>December 5, 2013</w:t>
      </w:r>
      <w:r w:rsidRPr="003C6316">
        <w:rPr>
          <w:snapToGrid/>
          <w:szCs w:val="22"/>
        </w:rPr>
        <w:t>, and reply comments are due on or before</w:t>
      </w:r>
      <w:r>
        <w:rPr>
          <w:snapToGrid/>
          <w:szCs w:val="22"/>
        </w:rPr>
        <w:t xml:space="preserve"> </w:t>
      </w:r>
      <w:r w:rsidR="00B021BD">
        <w:rPr>
          <w:snapToGrid/>
          <w:szCs w:val="22"/>
        </w:rPr>
        <w:t>December 20, 2013</w:t>
      </w:r>
      <w:r w:rsidRPr="003C6316">
        <w:rPr>
          <w:snapToGrid/>
          <w:szCs w:val="22"/>
        </w:rPr>
        <w:t xml:space="preserve">.  All filings must refer to </w:t>
      </w:r>
      <w:r>
        <w:rPr>
          <w:snapToGrid/>
          <w:szCs w:val="22"/>
        </w:rPr>
        <w:t>GN Docket No. 12-354</w:t>
      </w:r>
      <w:r w:rsidRPr="003C6316">
        <w:rPr>
          <w:snapToGrid/>
          <w:szCs w:val="22"/>
        </w:rPr>
        <w:t xml:space="preserve">.  </w:t>
      </w:r>
    </w:p>
    <w:p w:rsidR="00310901" w:rsidRPr="00F81A06" w:rsidRDefault="00310901" w:rsidP="00257EBC">
      <w:pPr>
        <w:pStyle w:val="ParaNum"/>
        <w:widowControl/>
        <w:rPr>
          <w:snapToGrid/>
          <w:szCs w:val="22"/>
        </w:rPr>
      </w:pPr>
      <w:r w:rsidRPr="00B33636">
        <w:rPr>
          <w:snapToGrid/>
          <w:szCs w:val="22"/>
        </w:rPr>
        <w:t>Pursuant to sections 1.415</w:t>
      </w:r>
      <w:r w:rsidR="00A80DE2">
        <w:rPr>
          <w:snapToGrid/>
          <w:szCs w:val="22"/>
        </w:rPr>
        <w:t>(d)</w:t>
      </w:r>
      <w:r w:rsidRPr="00B33636">
        <w:rPr>
          <w:snapToGrid/>
          <w:szCs w:val="22"/>
        </w:rPr>
        <w:t xml:space="preserve"> and 1.419 of the Commission’s rules, 47 CFR §§ 1.415</w:t>
      </w:r>
      <w:r w:rsidR="00A80DE2">
        <w:rPr>
          <w:snapToGrid/>
          <w:szCs w:val="22"/>
        </w:rPr>
        <w:t>(d)</w:t>
      </w:r>
      <w:r w:rsidRPr="00B33636">
        <w:rPr>
          <w:snapToGrid/>
          <w:szCs w:val="22"/>
        </w:rPr>
        <w:t xml:space="preserve">, 1.419, interested parties may file comments and reply comments on or before the dates indicated on the first page of this document.  Comments may be filed using the Commission’s Electronic Comment Filing System (ECFS).  </w:t>
      </w:r>
      <w:r w:rsidRPr="00B33636">
        <w:rPr>
          <w:i/>
          <w:snapToGrid/>
          <w:szCs w:val="22"/>
        </w:rPr>
        <w:t>See Electronic Filing of Documents in Rulemaking Proceedings</w:t>
      </w:r>
      <w:r w:rsidRPr="00B33636">
        <w:rPr>
          <w:snapToGrid/>
          <w:szCs w:val="22"/>
        </w:rPr>
        <w:t>, 63 FR 24121 (1998).</w:t>
      </w:r>
    </w:p>
    <w:p w:rsidR="00310901" w:rsidRPr="000165BB" w:rsidRDefault="00310901" w:rsidP="00257EBC">
      <w:pPr>
        <w:widowControl/>
        <w:rPr>
          <w:snapToGrid/>
          <w:kern w:val="0"/>
          <w:szCs w:val="22"/>
        </w:rPr>
      </w:pPr>
    </w:p>
    <w:p w:rsidR="00310901" w:rsidRPr="000165BB" w:rsidRDefault="00310901" w:rsidP="00257EBC">
      <w:pPr>
        <w:widowControl/>
        <w:numPr>
          <w:ilvl w:val="0"/>
          <w:numId w:val="15"/>
        </w:numPr>
        <w:rPr>
          <w:snapToGrid/>
          <w:kern w:val="0"/>
          <w:szCs w:val="22"/>
        </w:rPr>
      </w:pPr>
      <w:r w:rsidRPr="000165BB">
        <w:rPr>
          <w:snapToGrid/>
          <w:kern w:val="0"/>
          <w:szCs w:val="22"/>
        </w:rPr>
        <w:t xml:space="preserve">Electronic Filers:  Comments may be filed electronically using the Internet by accessing the ECFS:  http://fjallfoss.fcc.gov/ecfs2/.  </w:t>
      </w:r>
    </w:p>
    <w:p w:rsidR="00310901" w:rsidRPr="000165BB" w:rsidRDefault="00310901" w:rsidP="00257EBC">
      <w:pPr>
        <w:widowControl/>
        <w:rPr>
          <w:snapToGrid/>
          <w:kern w:val="0"/>
          <w:szCs w:val="22"/>
        </w:rPr>
      </w:pPr>
    </w:p>
    <w:p w:rsidR="00310901" w:rsidRPr="000165BB" w:rsidRDefault="00310901" w:rsidP="00257EBC">
      <w:pPr>
        <w:widowControl/>
        <w:numPr>
          <w:ilvl w:val="0"/>
          <w:numId w:val="12"/>
        </w:numPr>
        <w:rPr>
          <w:snapToGrid/>
          <w:kern w:val="0"/>
          <w:szCs w:val="22"/>
        </w:rPr>
      </w:pPr>
      <w:r w:rsidRPr="000165BB">
        <w:rPr>
          <w:snapToGrid/>
          <w:kern w:val="0"/>
          <w:szCs w:val="22"/>
        </w:rPr>
        <w:t xml:space="preserve">Paper Filers:  Parties who choose to file by paper must file an original </w:t>
      </w:r>
      <w:r w:rsidR="00F63D64" w:rsidRPr="000165BB">
        <w:rPr>
          <w:snapToGrid/>
          <w:kern w:val="0"/>
          <w:szCs w:val="22"/>
        </w:rPr>
        <w:t>and one</w:t>
      </w:r>
      <w:r w:rsidRPr="000165BB">
        <w:rPr>
          <w:snapToGrid/>
          <w:kern w:val="0"/>
          <w:szCs w:val="22"/>
        </w:rPr>
        <w:t xml:space="preserve"> copy of each filing.  If more than one docket or rulemaking number appears in the caption of this proceeding, filers must submit two additional copies for each additional docket or rulemaking number.</w:t>
      </w:r>
    </w:p>
    <w:p w:rsidR="00310901" w:rsidRPr="000165BB" w:rsidRDefault="00310901" w:rsidP="00257EBC">
      <w:pPr>
        <w:widowControl/>
        <w:rPr>
          <w:snapToGrid/>
          <w:kern w:val="0"/>
          <w:szCs w:val="22"/>
        </w:rPr>
      </w:pPr>
    </w:p>
    <w:p w:rsidR="00310901" w:rsidRPr="000165BB" w:rsidRDefault="00310901" w:rsidP="00257EBC">
      <w:pPr>
        <w:widowControl/>
        <w:ind w:left="720"/>
        <w:rPr>
          <w:snapToGrid/>
          <w:kern w:val="0"/>
          <w:szCs w:val="22"/>
        </w:rPr>
      </w:pPr>
      <w:r w:rsidRPr="000165BB">
        <w:rPr>
          <w:snapToGrid/>
          <w:kern w:val="0"/>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310901" w:rsidRPr="000165BB" w:rsidRDefault="00310901" w:rsidP="00257EBC">
      <w:pPr>
        <w:widowControl/>
        <w:rPr>
          <w:snapToGrid/>
          <w:kern w:val="0"/>
          <w:szCs w:val="22"/>
        </w:rPr>
      </w:pPr>
    </w:p>
    <w:p w:rsidR="00310901" w:rsidRPr="000165BB" w:rsidRDefault="00310901" w:rsidP="00257EBC">
      <w:pPr>
        <w:widowControl/>
        <w:numPr>
          <w:ilvl w:val="0"/>
          <w:numId w:val="14"/>
        </w:numPr>
        <w:rPr>
          <w:snapToGrid/>
          <w:kern w:val="0"/>
          <w:szCs w:val="22"/>
        </w:rPr>
      </w:pPr>
      <w:r w:rsidRPr="000165BB">
        <w:rPr>
          <w:snapToGrid/>
          <w:kern w:val="0"/>
          <w:szCs w:val="22"/>
        </w:rPr>
        <w:t>All hand-delivered or messenger-delivered paper filings for the Commission’s Secretary must be delivered to FCC Headquarters at 445 12</w:t>
      </w:r>
      <w:r w:rsidRPr="000165BB">
        <w:rPr>
          <w:snapToGrid/>
          <w:kern w:val="0"/>
          <w:szCs w:val="22"/>
          <w:vertAlign w:val="superscript"/>
        </w:rPr>
        <w:t>th</w:t>
      </w:r>
      <w:r w:rsidRPr="000165BB">
        <w:rPr>
          <w:snapToGrid/>
          <w:kern w:val="0"/>
          <w:szCs w:val="22"/>
        </w:rPr>
        <w:t xml:space="preserve"> St., SW, Room TW-A325, Washington, DC 20554.  The filing h</w:t>
      </w:r>
      <w:r w:rsidR="008E7A28">
        <w:rPr>
          <w:snapToGrid/>
          <w:kern w:val="0"/>
          <w:szCs w:val="22"/>
        </w:rPr>
        <w:t>ours are 8:00 a.m. to 7:00 p.m.</w:t>
      </w:r>
      <w:r w:rsidRPr="000165BB">
        <w:rPr>
          <w:snapToGrid/>
          <w:kern w:val="0"/>
          <w:szCs w:val="22"/>
        </w:rPr>
        <w:t xml:space="preserve">  All hand deliveries must be held together with rubber bands or fasteners.  Any envelopes and boxes must be disposed of </w:t>
      </w:r>
      <w:r w:rsidRPr="000165BB">
        <w:rPr>
          <w:snapToGrid/>
          <w:kern w:val="0"/>
          <w:szCs w:val="22"/>
          <w:u w:val="single"/>
        </w:rPr>
        <w:t>before</w:t>
      </w:r>
      <w:r w:rsidRPr="000165BB">
        <w:rPr>
          <w:snapToGrid/>
          <w:kern w:val="0"/>
          <w:szCs w:val="22"/>
        </w:rPr>
        <w:t xml:space="preserve"> entering the building.  </w:t>
      </w:r>
    </w:p>
    <w:p w:rsidR="00310901" w:rsidRPr="000165BB" w:rsidRDefault="00310901" w:rsidP="00257EBC">
      <w:pPr>
        <w:widowControl/>
        <w:ind w:left="1080"/>
        <w:rPr>
          <w:snapToGrid/>
          <w:kern w:val="0"/>
          <w:szCs w:val="22"/>
        </w:rPr>
      </w:pPr>
    </w:p>
    <w:p w:rsidR="00310901" w:rsidRPr="000165BB" w:rsidRDefault="00310901" w:rsidP="00257EBC">
      <w:pPr>
        <w:widowControl/>
        <w:numPr>
          <w:ilvl w:val="0"/>
          <w:numId w:val="14"/>
        </w:numPr>
        <w:rPr>
          <w:snapToGrid/>
          <w:kern w:val="0"/>
          <w:szCs w:val="22"/>
        </w:rPr>
      </w:pPr>
      <w:r w:rsidRPr="000165BB">
        <w:rPr>
          <w:snapToGrid/>
          <w:kern w:val="0"/>
          <w:szCs w:val="22"/>
        </w:rPr>
        <w:t>Commercial overnight mail (other than U.S. Postal Service Express Mail and Priority Mail) must be sent to 9300 East Hampton Drive, Capitol Heights</w:t>
      </w:r>
      <w:proofErr w:type="gramStart"/>
      <w:r w:rsidRPr="000165BB">
        <w:rPr>
          <w:snapToGrid/>
          <w:kern w:val="0"/>
          <w:szCs w:val="22"/>
        </w:rPr>
        <w:t xml:space="preserve">, MD </w:t>
      </w:r>
      <w:proofErr w:type="gramEnd"/>
      <w:r w:rsidRPr="000165BB">
        <w:rPr>
          <w:snapToGrid/>
          <w:kern w:val="0"/>
          <w:szCs w:val="22"/>
        </w:rPr>
        <w:t xml:space="preserve"> 20743.</w:t>
      </w:r>
    </w:p>
    <w:p w:rsidR="00310901" w:rsidRPr="000165BB" w:rsidRDefault="00310901" w:rsidP="00257EBC">
      <w:pPr>
        <w:widowControl/>
        <w:rPr>
          <w:snapToGrid/>
          <w:kern w:val="0"/>
          <w:szCs w:val="22"/>
        </w:rPr>
      </w:pPr>
    </w:p>
    <w:p w:rsidR="00310901" w:rsidRPr="000165BB" w:rsidRDefault="00310901" w:rsidP="00257EBC">
      <w:pPr>
        <w:widowControl/>
        <w:numPr>
          <w:ilvl w:val="0"/>
          <w:numId w:val="14"/>
        </w:numPr>
        <w:rPr>
          <w:snapToGrid/>
          <w:kern w:val="0"/>
          <w:szCs w:val="22"/>
        </w:rPr>
      </w:pPr>
      <w:r w:rsidRPr="000165BB">
        <w:rPr>
          <w:snapToGrid/>
          <w:kern w:val="0"/>
          <w:szCs w:val="22"/>
        </w:rPr>
        <w:t>U.S. Postal Service first-class, Express, and Priority mail must be addressed to 445 12</w:t>
      </w:r>
      <w:r w:rsidRPr="000165BB">
        <w:rPr>
          <w:snapToGrid/>
          <w:kern w:val="0"/>
          <w:szCs w:val="22"/>
          <w:vertAlign w:val="superscript"/>
        </w:rPr>
        <w:t>th</w:t>
      </w:r>
      <w:r w:rsidRPr="000165BB">
        <w:rPr>
          <w:snapToGrid/>
          <w:kern w:val="0"/>
          <w:szCs w:val="22"/>
        </w:rPr>
        <w:t xml:space="preserve"> Street, SW, Washington DC  20554.</w:t>
      </w:r>
    </w:p>
    <w:p w:rsidR="00310901" w:rsidRPr="000165BB" w:rsidRDefault="00310901" w:rsidP="00257EBC">
      <w:pPr>
        <w:widowControl/>
        <w:rPr>
          <w:snapToGrid/>
          <w:kern w:val="0"/>
          <w:szCs w:val="22"/>
        </w:rPr>
      </w:pPr>
    </w:p>
    <w:p w:rsidR="00310901" w:rsidRDefault="00310901" w:rsidP="00257EBC">
      <w:pPr>
        <w:widowControl/>
        <w:rPr>
          <w:snapToGrid/>
          <w:kern w:val="0"/>
          <w:szCs w:val="22"/>
        </w:rPr>
      </w:pPr>
      <w:r w:rsidRPr="000165BB">
        <w:rPr>
          <w:snapToGrid/>
          <w:kern w:val="0"/>
          <w:szCs w:val="22"/>
        </w:rPr>
        <w:t>People with Disabilities:  To request materials in accessible formats for people with disabilities (braille, large print, electronic files, audio format), send an e-mail to fcc504@fcc.gov or call the Consumer &amp; Governmental Affairs Bureau at 202-418-0530 (voice), 202-418-0432 (</w:t>
      </w:r>
      <w:proofErr w:type="spellStart"/>
      <w:r w:rsidRPr="000165BB">
        <w:rPr>
          <w:snapToGrid/>
          <w:kern w:val="0"/>
          <w:szCs w:val="22"/>
        </w:rPr>
        <w:t>tty</w:t>
      </w:r>
      <w:proofErr w:type="spellEnd"/>
      <w:r w:rsidRPr="000165BB">
        <w:rPr>
          <w:snapToGrid/>
          <w:kern w:val="0"/>
          <w:szCs w:val="22"/>
        </w:rPr>
        <w:t>).</w:t>
      </w:r>
    </w:p>
    <w:p w:rsidR="003C6316" w:rsidRDefault="003C6316" w:rsidP="00257EBC">
      <w:pPr>
        <w:widowControl/>
        <w:rPr>
          <w:snapToGrid/>
          <w:kern w:val="0"/>
          <w:szCs w:val="22"/>
        </w:rPr>
      </w:pPr>
    </w:p>
    <w:p w:rsidR="003C6316" w:rsidRDefault="003C6316" w:rsidP="00257EBC">
      <w:pPr>
        <w:widowControl/>
        <w:rPr>
          <w:snapToGrid/>
          <w:kern w:val="0"/>
          <w:szCs w:val="22"/>
        </w:rPr>
      </w:pPr>
      <w:r>
        <w:rPr>
          <w:snapToGrid/>
          <w:kern w:val="0"/>
          <w:szCs w:val="22"/>
        </w:rPr>
        <w:t xml:space="preserve">For further information, please contact Paul Powell at (202) 418-1613 or </w:t>
      </w:r>
      <w:r w:rsidR="007E1953" w:rsidRPr="00A6165A">
        <w:t>paul.powell@fcc.gov</w:t>
      </w:r>
      <w:r>
        <w:rPr>
          <w:snapToGrid/>
          <w:kern w:val="0"/>
          <w:szCs w:val="22"/>
        </w:rPr>
        <w:t>.</w:t>
      </w:r>
    </w:p>
    <w:p w:rsidR="007E1953" w:rsidRDefault="007E1953" w:rsidP="00257EBC">
      <w:pPr>
        <w:widowControl/>
        <w:rPr>
          <w:snapToGrid/>
          <w:kern w:val="0"/>
          <w:szCs w:val="22"/>
        </w:rPr>
      </w:pPr>
    </w:p>
    <w:p w:rsidR="00865E83" w:rsidRDefault="00865E83" w:rsidP="00257EBC">
      <w:pPr>
        <w:pStyle w:val="Heading2"/>
        <w:widowControl/>
        <w:rPr>
          <w:snapToGrid/>
        </w:rPr>
      </w:pPr>
      <w:bookmarkStart w:id="121" w:name="_Toc366145041"/>
      <w:bookmarkStart w:id="122" w:name="_Toc366157666"/>
      <w:bookmarkStart w:id="123" w:name="_Toc366159778"/>
      <w:bookmarkStart w:id="124" w:name="_Toc367261127"/>
      <w:r>
        <w:rPr>
          <w:snapToGrid/>
        </w:rPr>
        <w:t>Initial Regulatory Flexibility Analysis</w:t>
      </w:r>
      <w:bookmarkEnd w:id="121"/>
      <w:bookmarkEnd w:id="122"/>
      <w:bookmarkEnd w:id="123"/>
      <w:bookmarkEnd w:id="124"/>
    </w:p>
    <w:p w:rsidR="00865E83" w:rsidRDefault="00865E83" w:rsidP="00257EBC">
      <w:pPr>
        <w:pStyle w:val="ParaNum"/>
        <w:widowControl/>
      </w:pPr>
      <w:r w:rsidRPr="00865E83">
        <w:t>Our NPRM included as Appendix B an Initial Regulatory Flexibility Analysis (IRFA)</w:t>
      </w:r>
      <w:r w:rsidR="00ED183D">
        <w:t>.</w:t>
      </w:r>
      <w:r w:rsidRPr="00865E83">
        <w:t xml:space="preserve">  That IRFA “specifically </w:t>
      </w:r>
      <w:proofErr w:type="gramStart"/>
      <w:r w:rsidRPr="00865E83">
        <w:t>invite[</w:t>
      </w:r>
      <w:proofErr w:type="gramEnd"/>
      <w:r w:rsidRPr="00865E83">
        <w:t>d] comment on a range of potential technical, legal, and policy aspects of its proposal,” and not</w:t>
      </w:r>
      <w:r w:rsidR="00ED183D">
        <w:t>ed that “the Commission has not</w:t>
      </w:r>
      <w:r w:rsidRPr="00865E83">
        <w:t xml:space="preserve"> excluded any alternative proposal concerning the operation of the Citizens Broadband S</w:t>
      </w:r>
      <w:r w:rsidR="008E7A28">
        <w:t>ervice from its consideration.”</w:t>
      </w:r>
      <w:r w:rsidRPr="00865E83">
        <w:t xml:space="preserve">  This Public Notice seeks furth</w:t>
      </w:r>
      <w:r w:rsidR="00511FBD">
        <w:t xml:space="preserve">er comment on some </w:t>
      </w:r>
      <w:r w:rsidRPr="00865E83">
        <w:t>of the proposals and alternatives initially raised</w:t>
      </w:r>
      <w:r w:rsidR="00511FBD">
        <w:t xml:space="preserve"> </w:t>
      </w:r>
      <w:r w:rsidRPr="00865E83">
        <w:t xml:space="preserve">in the NPRM.  We request </w:t>
      </w:r>
      <w:r w:rsidRPr="00865E83">
        <w:lastRenderedPageBreak/>
        <w:t>supplemental comments on the IRFA in light of the details and issues raised in the Public Notice.  These comments must be filed in accordance with the same filing deadlines as comments filed in response to this Public Notice as set forth on the first page of this document and have a separate and distinct heading designating them as responses to the IRFA.</w:t>
      </w:r>
    </w:p>
    <w:p w:rsidR="00865E83" w:rsidRDefault="00865E83" w:rsidP="00257EBC">
      <w:pPr>
        <w:pStyle w:val="Heading2"/>
        <w:widowControl/>
      </w:pPr>
      <w:bookmarkStart w:id="125" w:name="_Toc366145042"/>
      <w:bookmarkStart w:id="126" w:name="_Toc366157667"/>
      <w:bookmarkStart w:id="127" w:name="_Toc366159779"/>
      <w:bookmarkStart w:id="128" w:name="_Toc367261128"/>
      <w:r>
        <w:t>Initial Paperwork Reduction Act Analysis</w:t>
      </w:r>
      <w:bookmarkEnd w:id="125"/>
      <w:bookmarkEnd w:id="126"/>
      <w:bookmarkEnd w:id="127"/>
      <w:bookmarkEnd w:id="128"/>
    </w:p>
    <w:p w:rsidR="008E7A28" w:rsidRDefault="00865E83" w:rsidP="007F14A7">
      <w:pPr>
        <w:pStyle w:val="ParaNum"/>
        <w:widowControl/>
      </w:pPr>
      <w:r>
        <w:rPr>
          <w:snapToGrid/>
          <w:kern w:val="0"/>
          <w:szCs w:val="22"/>
        </w:rPr>
        <w:t xml:space="preserve">Our NPRM included a separate request for comment from the general public and the Office of Management and Budget on the information collection requirements contained therein, as required by the Paperwork Reduction Act of 1995, Public Law 104-13, and the Small Business Paperwork Relief Act of 2002, Public Law 107-198.  As noted above, this Public Notice seeks further comment on some proposals and alternatives initially raised in the NPRM.  We invite supplemental comment on these requirements in light of the details and issues raised in the Public Notice.  </w:t>
      </w:r>
    </w:p>
    <w:p w:rsidR="001F624D" w:rsidRPr="00A6165A" w:rsidRDefault="008E7A28" w:rsidP="00257EBC">
      <w:pPr>
        <w:pStyle w:val="ParaNum"/>
        <w:widowControl/>
        <w:numPr>
          <w:ilvl w:val="0"/>
          <w:numId w:val="0"/>
        </w:numPr>
      </w:pPr>
      <w:proofErr w:type="gramStart"/>
      <w:r>
        <w:t>Action by the Commission on</w:t>
      </w:r>
      <w:r w:rsidR="007F14A7">
        <w:t xml:space="preserve"> November 1, 2013</w:t>
      </w:r>
      <w:r>
        <w:t xml:space="preserve"> by Chairwoman Clyburn and Commissioners </w:t>
      </w:r>
      <w:proofErr w:type="spellStart"/>
      <w:r>
        <w:t>Pai</w:t>
      </w:r>
      <w:proofErr w:type="spellEnd"/>
      <w:r>
        <w:t xml:space="preserve"> and </w:t>
      </w:r>
      <w:proofErr w:type="spellStart"/>
      <w:r>
        <w:t>Rosenworcel</w:t>
      </w:r>
      <w:proofErr w:type="spellEnd"/>
      <w:r>
        <w:t>.</w:t>
      </w:r>
      <w:proofErr w:type="gramEnd"/>
    </w:p>
    <w:p w:rsidR="003C6316" w:rsidRDefault="003C6316" w:rsidP="00257EBC">
      <w:pPr>
        <w:widowControl/>
        <w:rPr>
          <w:snapToGrid/>
          <w:kern w:val="0"/>
          <w:szCs w:val="22"/>
        </w:rPr>
      </w:pPr>
    </w:p>
    <w:p w:rsidR="00257EBC" w:rsidRDefault="00257EBC" w:rsidP="00257EBC">
      <w:pPr>
        <w:widowControl/>
        <w:jc w:val="center"/>
        <w:rPr>
          <w:b/>
          <w:snapToGrid/>
          <w:kern w:val="0"/>
          <w:szCs w:val="22"/>
        </w:rPr>
      </w:pPr>
    </w:p>
    <w:p w:rsidR="00B55558" w:rsidRPr="007F14A7" w:rsidRDefault="003C6316" w:rsidP="007F14A7">
      <w:pPr>
        <w:widowControl/>
        <w:jc w:val="center"/>
        <w:rPr>
          <w:snapToGrid/>
          <w:kern w:val="0"/>
          <w:szCs w:val="22"/>
        </w:rPr>
      </w:pPr>
      <w:r>
        <w:rPr>
          <w:b/>
          <w:snapToGrid/>
          <w:kern w:val="0"/>
          <w:szCs w:val="22"/>
        </w:rPr>
        <w:t>-FCC-</w:t>
      </w:r>
    </w:p>
    <w:sectPr w:rsidR="00B55558" w:rsidRPr="007F14A7" w:rsidSect="001701C1">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634" w:footer="720" w:gutter="0"/>
      <w:pgNumType w:start="1"/>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089" w:rsidRDefault="00AA5089">
      <w:pPr>
        <w:spacing w:line="20" w:lineRule="exact"/>
      </w:pPr>
    </w:p>
  </w:endnote>
  <w:endnote w:type="continuationSeparator" w:id="0">
    <w:p w:rsidR="00AA5089" w:rsidRDefault="00AA5089">
      <w:r>
        <w:t xml:space="preserve"> </w:t>
      </w:r>
    </w:p>
  </w:endnote>
  <w:endnote w:type="continuationNotice" w:id="1">
    <w:p w:rsidR="00AA5089" w:rsidRDefault="00AA508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altName w:val="Arial"/>
    <w:panose1 w:val="020B0600040502020204"/>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8E9" w:rsidRDefault="001718E9" w:rsidP="0055614C">
    <w:pPr>
      <w:pStyle w:val="Footer"/>
      <w:framePr w:wrap="around" w:vAnchor="text" w:hAnchor="margin" w:xAlign="center" w:y="1"/>
    </w:pPr>
    <w:r>
      <w:fldChar w:fldCharType="begin"/>
    </w:r>
    <w:r>
      <w:instrText xml:space="preserve">PAGE  </w:instrText>
    </w:r>
    <w:r>
      <w:fldChar w:fldCharType="end"/>
    </w:r>
  </w:p>
  <w:p w:rsidR="001718E9" w:rsidRDefault="001718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8E9" w:rsidRDefault="001718E9" w:rsidP="00BB251A">
    <w:pPr>
      <w:pStyle w:val="Footer"/>
      <w:framePr w:w="316" w:wrap="around" w:vAnchor="text" w:hAnchor="margin" w:xAlign="center" w:y="-1"/>
    </w:pPr>
    <w:r>
      <w:fldChar w:fldCharType="begin"/>
    </w:r>
    <w:r>
      <w:instrText xml:space="preserve">PAGE  </w:instrText>
    </w:r>
    <w:r>
      <w:fldChar w:fldCharType="separate"/>
    </w:r>
    <w:r w:rsidR="00216797">
      <w:rPr>
        <w:noProof/>
      </w:rPr>
      <w:t>2</w:t>
    </w:r>
    <w:r>
      <w:rPr>
        <w:noProof/>
      </w:rPr>
      <w:fldChar w:fldCharType="end"/>
    </w:r>
  </w:p>
  <w:p w:rsidR="001718E9" w:rsidRDefault="001718E9"/>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8E9" w:rsidRDefault="001718E9" w:rsidP="00F63D64">
    <w:pPr>
      <w:suppressAutoHyphens/>
      <w:spacing w:line="227" w:lineRule="auto"/>
    </w:pPr>
  </w:p>
  <w:p w:rsidR="001718E9" w:rsidRDefault="001718E9">
    <w:pPr>
      <w:pStyle w:val="Footer"/>
      <w:tabs>
        <w:tab w:val="clear" w:pos="864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089" w:rsidRDefault="00AA5089">
      <w:r>
        <w:separator/>
      </w:r>
    </w:p>
  </w:footnote>
  <w:footnote w:type="continuationSeparator" w:id="0">
    <w:p w:rsidR="00AA5089" w:rsidRDefault="00AA5089" w:rsidP="007F14A7">
      <w:pPr>
        <w:rPr>
          <w:sz w:val="20"/>
        </w:rPr>
      </w:pPr>
      <w:r>
        <w:rPr>
          <w:sz w:val="20"/>
        </w:rPr>
        <w:t xml:space="preserve">(Continued from previous page)  </w:t>
      </w:r>
      <w:r>
        <w:rPr>
          <w:sz w:val="20"/>
        </w:rPr>
        <w:separator/>
      </w:r>
    </w:p>
  </w:footnote>
  <w:footnote w:type="continuationNotice" w:id="1">
    <w:p w:rsidR="00AA5089" w:rsidRDefault="00AA5089" w:rsidP="00ED1D34">
      <w:pPr>
        <w:jc w:val="right"/>
        <w:rPr>
          <w:sz w:val="20"/>
        </w:rPr>
      </w:pPr>
      <w:r>
        <w:rPr>
          <w:sz w:val="20"/>
        </w:rPr>
        <w:t>(</w:t>
      </w:r>
      <w:proofErr w:type="gramStart"/>
      <w:r>
        <w:rPr>
          <w:sz w:val="20"/>
        </w:rPr>
        <w:t>continued</w:t>
      </w:r>
      <w:proofErr w:type="gramEnd"/>
      <w:r>
        <w:rPr>
          <w:sz w:val="20"/>
        </w:rPr>
        <w:t>….)</w:t>
      </w:r>
    </w:p>
  </w:footnote>
  <w:footnote w:id="2">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Amendment of the Commission's Rules with Regard to Commercial Operations in the 3550-3650 MHz Band, GN Docket No. 12-354, </w:t>
      </w:r>
      <w:r w:rsidRPr="009C69E7">
        <w:rPr>
          <w:i/>
          <w:sz w:val="20"/>
          <w:szCs w:val="20"/>
        </w:rPr>
        <w:t>Notice of Proposed Rulemaking</w:t>
      </w:r>
      <w:r w:rsidRPr="009C69E7">
        <w:rPr>
          <w:sz w:val="20"/>
          <w:szCs w:val="20"/>
        </w:rPr>
        <w:t xml:space="preserve">, 27 FCC </w:t>
      </w:r>
      <w:proofErr w:type="spellStart"/>
      <w:r w:rsidRPr="009C69E7">
        <w:rPr>
          <w:sz w:val="20"/>
          <w:szCs w:val="20"/>
        </w:rPr>
        <w:t>Rcd</w:t>
      </w:r>
      <w:proofErr w:type="spellEnd"/>
      <w:r w:rsidRPr="009C69E7">
        <w:rPr>
          <w:sz w:val="20"/>
          <w:szCs w:val="20"/>
        </w:rPr>
        <w:t xml:space="preserve"> 15594 (2012) (NPRM or 3.5 GHz NPRM).</w:t>
      </w:r>
    </w:p>
  </w:footnote>
  <w:footnote w:id="3">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15612-21, ¶¶ 53-77.</w:t>
      </w:r>
    </w:p>
  </w:footnote>
  <w:footnote w:id="4">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generally </w:t>
      </w:r>
      <w:r w:rsidRPr="009C69E7">
        <w:rPr>
          <w:sz w:val="20"/>
          <w:szCs w:val="20"/>
        </w:rPr>
        <w:t>comments filed in Docket No. 12-354.</w:t>
      </w:r>
    </w:p>
  </w:footnote>
  <w:footnote w:id="5">
    <w:p w:rsidR="001718E9" w:rsidRPr="009C69E7" w:rsidRDefault="001718E9" w:rsidP="00AA10CD">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Wireless Telecommunications Bureau And Office of Engineering and Technology Announce Workshop on Small Cell and Spectrum Sharing Concepts in the 3.5 GHz NPRM, GN Docket No. 12-354, </w:t>
      </w:r>
      <w:r w:rsidRPr="009C69E7">
        <w:rPr>
          <w:i/>
          <w:sz w:val="20"/>
          <w:szCs w:val="20"/>
        </w:rPr>
        <w:t>Public Notice</w:t>
      </w:r>
      <w:r w:rsidRPr="009C69E7">
        <w:rPr>
          <w:sz w:val="20"/>
          <w:szCs w:val="20"/>
        </w:rPr>
        <w:t xml:space="preserve">, 28 FCC </w:t>
      </w:r>
      <w:proofErr w:type="spellStart"/>
      <w:r w:rsidRPr="009C69E7">
        <w:rPr>
          <w:sz w:val="20"/>
          <w:szCs w:val="20"/>
        </w:rPr>
        <w:t>Rcd</w:t>
      </w:r>
      <w:proofErr w:type="spellEnd"/>
      <w:r w:rsidRPr="009C69E7">
        <w:rPr>
          <w:sz w:val="20"/>
          <w:szCs w:val="20"/>
        </w:rPr>
        <w:t xml:space="preserve"> 442 (2013).  Video feed of the workshop, agenda, and all presentations are available at: </w:t>
      </w:r>
      <w:r w:rsidRPr="009C69E7">
        <w:rPr>
          <w:snapToGrid w:val="0"/>
          <w:kern w:val="28"/>
          <w:sz w:val="20"/>
          <w:szCs w:val="20"/>
        </w:rPr>
        <w:t>http://www.fcc.gov/events/35-ghz-workshop.</w:t>
      </w:r>
    </w:p>
  </w:footnote>
  <w:footnote w:id="6">
    <w:p w:rsidR="00960F1E" w:rsidRPr="00425E60" w:rsidRDefault="00960F1E" w:rsidP="00960F1E">
      <w:pPr>
        <w:pStyle w:val="FootnoteText"/>
        <w:rPr>
          <w:sz w:val="20"/>
          <w:szCs w:val="20"/>
        </w:rPr>
      </w:pPr>
      <w:r w:rsidRPr="00425E60">
        <w:rPr>
          <w:rStyle w:val="FootnoteReference"/>
          <w:sz w:val="20"/>
          <w:szCs w:val="20"/>
        </w:rPr>
        <w:footnoteRef/>
      </w:r>
      <w:r w:rsidRPr="00425E60">
        <w:rPr>
          <w:sz w:val="20"/>
          <w:szCs w:val="20"/>
        </w:rPr>
        <w:t xml:space="preserve"> </w:t>
      </w:r>
      <w:r>
        <w:rPr>
          <w:i/>
          <w:sz w:val="20"/>
          <w:szCs w:val="20"/>
        </w:rPr>
        <w:t xml:space="preserve">See </w:t>
      </w:r>
      <w:r>
        <w:rPr>
          <w:sz w:val="20"/>
          <w:szCs w:val="20"/>
        </w:rPr>
        <w:t xml:space="preserve">Wireless </w:t>
      </w:r>
      <w:r w:rsidRPr="00FF0588">
        <w:rPr>
          <w:sz w:val="20"/>
          <w:szCs w:val="20"/>
        </w:rPr>
        <w:t>Telecommunications Bureau And Office of Engineering and Technology Announce Workshop on</w:t>
      </w:r>
      <w:r>
        <w:rPr>
          <w:sz w:val="20"/>
          <w:szCs w:val="20"/>
        </w:rPr>
        <w:t xml:space="preserve"> the Proposed Spectrum Access System for the 3.5 GHz Band, GN Docket No. 12-354, </w:t>
      </w:r>
      <w:proofErr w:type="gramStart"/>
      <w:r>
        <w:rPr>
          <w:i/>
          <w:sz w:val="20"/>
          <w:szCs w:val="20"/>
        </w:rPr>
        <w:t>Public Notice</w:t>
      </w:r>
      <w:r>
        <w:rPr>
          <w:sz w:val="20"/>
          <w:szCs w:val="20"/>
        </w:rPr>
        <w:t xml:space="preserve">, __ FCC </w:t>
      </w:r>
      <w:proofErr w:type="spellStart"/>
      <w:r>
        <w:rPr>
          <w:sz w:val="20"/>
          <w:szCs w:val="20"/>
        </w:rPr>
        <w:t>Rcd</w:t>
      </w:r>
      <w:proofErr w:type="spellEnd"/>
      <w:r>
        <w:rPr>
          <w:sz w:val="20"/>
          <w:szCs w:val="20"/>
        </w:rPr>
        <w:t xml:space="preserve"> __</w:t>
      </w:r>
      <w:proofErr w:type="gramEnd"/>
      <w:r>
        <w:rPr>
          <w:sz w:val="20"/>
          <w:szCs w:val="20"/>
        </w:rPr>
        <w:t xml:space="preserve"> (Sept. 30, 2013).</w:t>
      </w:r>
    </w:p>
  </w:footnote>
  <w:footnote w:id="7">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15601-03, ¶¶ 17-25.</w:t>
      </w:r>
    </w:p>
  </w:footnote>
  <w:footnote w:id="8">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NTIA, </w:t>
      </w:r>
      <w:r w:rsidRPr="009C69E7">
        <w:rPr>
          <w:iCs/>
          <w:sz w:val="20"/>
          <w:szCs w:val="20"/>
        </w:rPr>
        <w:t xml:space="preserve">An Assessment of the Near-Term Viability of Accommodating Wireless Broadband Systems in the 1675-1710 MHz, 1755-1780 MHz, 3500-3650 MHz, 4200-4220 MHz, and 4380-4400 MHz Bands </w:t>
      </w:r>
      <w:r w:rsidRPr="009C69E7">
        <w:rPr>
          <w:sz w:val="20"/>
          <w:szCs w:val="20"/>
        </w:rPr>
        <w:t xml:space="preserve"> (rel. October 2010)</w:t>
      </w:r>
      <w:r w:rsidRPr="009C69E7">
        <w:rPr>
          <w:i/>
          <w:iCs/>
          <w:sz w:val="20"/>
          <w:szCs w:val="20"/>
        </w:rPr>
        <w:t xml:space="preserve"> </w:t>
      </w:r>
      <w:r w:rsidRPr="009C69E7">
        <w:rPr>
          <w:sz w:val="20"/>
          <w:szCs w:val="20"/>
        </w:rPr>
        <w:t xml:space="preserve">(Fast Track Report), </w:t>
      </w:r>
      <w:r w:rsidRPr="009C69E7">
        <w:rPr>
          <w:i/>
          <w:sz w:val="20"/>
          <w:szCs w:val="20"/>
        </w:rPr>
        <w:t>available at</w:t>
      </w:r>
      <w:r w:rsidRPr="009C69E7">
        <w:rPr>
          <w:sz w:val="20"/>
          <w:szCs w:val="20"/>
        </w:rPr>
        <w:t xml:space="preserve"> http://www.ntia.doc.gov/files/ntia/publications/fasttrackevaluation_11152010.pdf at 1-6 – 1-7 and Appendix D.</w:t>
      </w:r>
    </w:p>
  </w:footnote>
  <w:footnote w:id="9">
    <w:p w:rsidR="001718E9" w:rsidRPr="009C69E7" w:rsidRDefault="001718E9" w:rsidP="00B33636">
      <w:pPr>
        <w:pStyle w:val="FootnoteText"/>
        <w:rPr>
          <w:sz w:val="20"/>
          <w:szCs w:val="20"/>
        </w:rPr>
      </w:pPr>
      <w:r w:rsidRPr="009C69E7">
        <w:rPr>
          <w:rStyle w:val="FootnoteReference"/>
          <w:sz w:val="20"/>
          <w:szCs w:val="20"/>
        </w:rPr>
        <w:footnoteRef/>
      </w:r>
      <w:r w:rsidRPr="009C69E7">
        <w:rPr>
          <w:sz w:val="20"/>
          <w:szCs w:val="20"/>
        </w:rPr>
        <w:t xml:space="preserve"> </w:t>
      </w:r>
      <w:proofErr w:type="gramStart"/>
      <w:r w:rsidRPr="009C69E7">
        <w:rPr>
          <w:i/>
          <w:sz w:val="20"/>
          <w:szCs w:val="20"/>
        </w:rPr>
        <w:t xml:space="preserve">See </w:t>
      </w:r>
      <w:r w:rsidRPr="009C69E7">
        <w:rPr>
          <w:sz w:val="20"/>
          <w:szCs w:val="20"/>
        </w:rPr>
        <w:t xml:space="preserve">Fast Track Report at 1-6 – 1-7 and Appendix D and 3.5 GHz NPRM, 27 FCC </w:t>
      </w:r>
      <w:proofErr w:type="spellStart"/>
      <w:r w:rsidRPr="009C69E7">
        <w:rPr>
          <w:sz w:val="20"/>
          <w:szCs w:val="20"/>
        </w:rPr>
        <w:t>Rcd</w:t>
      </w:r>
      <w:proofErr w:type="spellEnd"/>
      <w:r w:rsidRPr="009C69E7">
        <w:rPr>
          <w:sz w:val="20"/>
          <w:szCs w:val="20"/>
        </w:rPr>
        <w:t xml:space="preserve"> at 15597 and 15601, ¶¶ 6 and 17-18.</w:t>
      </w:r>
      <w:proofErr w:type="gramEnd"/>
    </w:p>
  </w:footnote>
  <w:footnote w:id="10">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PCAST, Report to the President: Realizing the Full Potential of Government-Held Spectrum to Spur Economic Growth (rel. July 20, 2012) (PCAST Report), </w:t>
      </w:r>
      <w:r w:rsidRPr="009C69E7">
        <w:rPr>
          <w:i/>
          <w:sz w:val="20"/>
          <w:szCs w:val="20"/>
        </w:rPr>
        <w:t>available at</w:t>
      </w:r>
      <w:r w:rsidRPr="009C69E7">
        <w:rPr>
          <w:sz w:val="20"/>
          <w:szCs w:val="20"/>
        </w:rPr>
        <w:t xml:space="preserve"> http://www.whitehouse.gov/sites/default/files/microsites/ostp/pcast_spectrum_report_final_july_20_2012.pdf (PCAST Report) at 16-21, 82-84</w:t>
      </w:r>
      <w:r w:rsidR="00D13828">
        <w:rPr>
          <w:sz w:val="20"/>
          <w:szCs w:val="20"/>
        </w:rPr>
        <w:t>.</w:t>
      </w:r>
    </w:p>
  </w:footnote>
  <w:footnote w:id="11">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15615-16, ¶¶ 61-63.</w:t>
      </w:r>
    </w:p>
  </w:footnote>
  <w:footnote w:id="12">
    <w:p w:rsidR="001718E9" w:rsidRPr="009C69E7" w:rsidRDefault="001718E9" w:rsidP="007F192D">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PCAST Report.</w:t>
      </w:r>
    </w:p>
  </w:footnote>
  <w:footnote w:id="13">
    <w:p w:rsidR="001718E9" w:rsidRPr="009C69E7" w:rsidRDefault="001718E9" w:rsidP="007F192D">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15612-14, ¶¶ 53-58.</w:t>
      </w:r>
    </w:p>
  </w:footnote>
  <w:footnote w:id="14">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See id</w:t>
      </w:r>
      <w:proofErr w:type="gramStart"/>
      <w:r w:rsidRPr="009C69E7">
        <w:rPr>
          <w:i/>
          <w:sz w:val="20"/>
          <w:szCs w:val="20"/>
        </w:rPr>
        <w:t>.</w:t>
      </w:r>
      <w:r w:rsidRPr="009C69E7">
        <w:rPr>
          <w:sz w:val="20"/>
          <w:szCs w:val="20"/>
        </w:rPr>
        <w:t>,</w:t>
      </w:r>
      <w:proofErr w:type="gramEnd"/>
      <w:r w:rsidRPr="009C69E7">
        <w:rPr>
          <w:sz w:val="20"/>
          <w:szCs w:val="20"/>
        </w:rPr>
        <w:t xml:space="preserve"> 27 FCC </w:t>
      </w:r>
      <w:proofErr w:type="spellStart"/>
      <w:r w:rsidRPr="009C69E7">
        <w:rPr>
          <w:sz w:val="20"/>
          <w:szCs w:val="20"/>
        </w:rPr>
        <w:t>Rcd</w:t>
      </w:r>
      <w:proofErr w:type="spellEnd"/>
      <w:r w:rsidRPr="009C69E7">
        <w:rPr>
          <w:sz w:val="20"/>
          <w:szCs w:val="20"/>
        </w:rPr>
        <w:t xml:space="preserve"> at 15616-18, ¶¶ 65-69.</w:t>
      </w:r>
    </w:p>
  </w:footnote>
  <w:footnote w:id="15">
    <w:p w:rsidR="001718E9" w:rsidRPr="009C69E7" w:rsidRDefault="001718E9">
      <w:pPr>
        <w:pStyle w:val="FootnoteText"/>
        <w:rPr>
          <w:i/>
          <w:sz w:val="20"/>
          <w:szCs w:val="20"/>
        </w:rPr>
      </w:pPr>
      <w:r w:rsidRPr="009C69E7">
        <w:rPr>
          <w:rStyle w:val="FootnoteReference"/>
          <w:sz w:val="20"/>
          <w:szCs w:val="20"/>
        </w:rPr>
        <w:footnoteRef/>
      </w:r>
      <w:r w:rsidRPr="009C69E7">
        <w:rPr>
          <w:sz w:val="20"/>
          <w:szCs w:val="20"/>
        </w:rPr>
        <w:t xml:space="preserve"> </w:t>
      </w:r>
      <w:r w:rsidRPr="009C69E7">
        <w:rPr>
          <w:i/>
          <w:sz w:val="20"/>
          <w:szCs w:val="20"/>
        </w:rPr>
        <w:t>See id.</w:t>
      </w:r>
    </w:p>
  </w:footnote>
  <w:footnote w:id="16">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See id</w:t>
      </w:r>
      <w:proofErr w:type="gramStart"/>
      <w:r w:rsidRPr="009C69E7">
        <w:rPr>
          <w:i/>
          <w:sz w:val="20"/>
          <w:szCs w:val="20"/>
        </w:rPr>
        <w:t>.,</w:t>
      </w:r>
      <w:proofErr w:type="gramEnd"/>
      <w:r w:rsidRPr="009C69E7">
        <w:rPr>
          <w:i/>
          <w:sz w:val="20"/>
          <w:szCs w:val="20"/>
        </w:rPr>
        <w:t xml:space="preserve"> </w:t>
      </w:r>
      <w:r w:rsidRPr="009C69E7">
        <w:rPr>
          <w:sz w:val="20"/>
          <w:szCs w:val="20"/>
        </w:rPr>
        <w:t xml:space="preserve">27 FCC </w:t>
      </w:r>
      <w:proofErr w:type="spellStart"/>
      <w:r w:rsidRPr="009C69E7">
        <w:rPr>
          <w:sz w:val="20"/>
          <w:szCs w:val="20"/>
        </w:rPr>
        <w:t>Rcd</w:t>
      </w:r>
      <w:proofErr w:type="spellEnd"/>
      <w:r w:rsidRPr="009C69E7">
        <w:rPr>
          <w:sz w:val="20"/>
          <w:szCs w:val="20"/>
        </w:rPr>
        <w:t xml:space="preserve"> at 15618-20, ¶¶ 70-74.</w:t>
      </w:r>
    </w:p>
  </w:footnote>
  <w:footnote w:id="17">
    <w:p w:rsidR="001718E9" w:rsidRPr="009C69E7" w:rsidRDefault="001718E9" w:rsidP="00FF21F7">
      <w:pPr>
        <w:pStyle w:val="FootnoteText"/>
        <w:tabs>
          <w:tab w:val="left" w:pos="7395"/>
        </w:tabs>
        <w:rPr>
          <w:sz w:val="20"/>
          <w:szCs w:val="20"/>
        </w:rPr>
      </w:pPr>
      <w:r w:rsidRPr="009C69E7">
        <w:rPr>
          <w:rStyle w:val="FootnoteReference"/>
          <w:sz w:val="20"/>
          <w:szCs w:val="20"/>
        </w:rPr>
        <w:footnoteRef/>
      </w:r>
      <w:r w:rsidRPr="009C69E7">
        <w:rPr>
          <w:sz w:val="20"/>
          <w:szCs w:val="20"/>
        </w:rPr>
        <w:t xml:space="preserve"> </w:t>
      </w:r>
      <w:r w:rsidRPr="009C69E7">
        <w:rPr>
          <w:i/>
          <w:sz w:val="20"/>
          <w:szCs w:val="20"/>
        </w:rPr>
        <w:t>See id</w:t>
      </w:r>
      <w:proofErr w:type="gramStart"/>
      <w:r w:rsidRPr="009C69E7">
        <w:rPr>
          <w:i/>
          <w:sz w:val="20"/>
          <w:szCs w:val="20"/>
        </w:rPr>
        <w:t>.,</w:t>
      </w:r>
      <w:proofErr w:type="gramEnd"/>
      <w:r w:rsidRPr="009C69E7">
        <w:rPr>
          <w:i/>
          <w:sz w:val="20"/>
          <w:szCs w:val="20"/>
        </w:rPr>
        <w:t xml:space="preserve"> </w:t>
      </w:r>
      <w:r w:rsidRPr="009C69E7">
        <w:rPr>
          <w:sz w:val="20"/>
          <w:szCs w:val="20"/>
        </w:rPr>
        <w:t xml:space="preserve">27 FCC </w:t>
      </w:r>
      <w:proofErr w:type="spellStart"/>
      <w:r w:rsidRPr="009C69E7">
        <w:rPr>
          <w:sz w:val="20"/>
          <w:szCs w:val="20"/>
        </w:rPr>
        <w:t>Rcd</w:t>
      </w:r>
      <w:proofErr w:type="spellEnd"/>
      <w:r w:rsidRPr="009C69E7">
        <w:rPr>
          <w:sz w:val="20"/>
          <w:szCs w:val="20"/>
        </w:rPr>
        <w:t xml:space="preserve"> at 15620, ¶¶ 75-76.</w:t>
      </w:r>
      <w:r w:rsidRPr="009C69E7">
        <w:rPr>
          <w:sz w:val="20"/>
          <w:szCs w:val="20"/>
        </w:rPr>
        <w:tab/>
      </w:r>
    </w:p>
  </w:footnote>
  <w:footnote w:id="18">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See id</w:t>
      </w:r>
      <w:proofErr w:type="gramStart"/>
      <w:r w:rsidRPr="009C69E7">
        <w:rPr>
          <w:i/>
          <w:sz w:val="20"/>
          <w:szCs w:val="20"/>
        </w:rPr>
        <w:t>.</w:t>
      </w:r>
      <w:r w:rsidRPr="009C69E7">
        <w:rPr>
          <w:sz w:val="20"/>
          <w:szCs w:val="20"/>
        </w:rPr>
        <w:t>,</w:t>
      </w:r>
      <w:proofErr w:type="gramEnd"/>
      <w:r w:rsidRPr="009C69E7">
        <w:rPr>
          <w:sz w:val="20"/>
          <w:szCs w:val="20"/>
        </w:rPr>
        <w:t xml:space="preserve"> 27 FCC </w:t>
      </w:r>
      <w:proofErr w:type="spellStart"/>
      <w:r w:rsidRPr="009C69E7">
        <w:rPr>
          <w:sz w:val="20"/>
          <w:szCs w:val="20"/>
        </w:rPr>
        <w:t>Rcd</w:t>
      </w:r>
      <w:proofErr w:type="spellEnd"/>
      <w:r w:rsidRPr="009C69E7">
        <w:rPr>
          <w:sz w:val="20"/>
          <w:szCs w:val="20"/>
        </w:rPr>
        <w:t xml:space="preserve"> at 15620-25, ¶¶ 77-92.</w:t>
      </w:r>
    </w:p>
  </w:footnote>
  <w:footnote w:id="19">
    <w:p w:rsidR="001718E9" w:rsidRPr="001F624D" w:rsidRDefault="001718E9">
      <w:pPr>
        <w:pStyle w:val="FootnoteText"/>
        <w:tabs>
          <w:tab w:val="left" w:pos="3015"/>
        </w:tabs>
        <w:rPr>
          <w:sz w:val="20"/>
          <w:szCs w:val="20"/>
        </w:rPr>
      </w:pPr>
      <w:r w:rsidRPr="009C69E7">
        <w:rPr>
          <w:rStyle w:val="FootnoteReference"/>
          <w:sz w:val="20"/>
          <w:szCs w:val="20"/>
        </w:rPr>
        <w:footnoteRef/>
      </w:r>
      <w:r w:rsidRPr="009C69E7">
        <w:rPr>
          <w:sz w:val="20"/>
          <w:szCs w:val="20"/>
        </w:rPr>
        <w:t xml:space="preserve"> </w:t>
      </w:r>
      <w:r w:rsidRPr="009C69E7">
        <w:rPr>
          <w:i/>
          <w:sz w:val="20"/>
          <w:szCs w:val="20"/>
        </w:rPr>
        <w:t>See</w:t>
      </w:r>
      <w:r w:rsidR="00D13828">
        <w:rPr>
          <w:i/>
          <w:sz w:val="20"/>
          <w:szCs w:val="20"/>
        </w:rPr>
        <w:t>,</w:t>
      </w:r>
      <w:r w:rsidRPr="009C69E7">
        <w:rPr>
          <w:i/>
          <w:sz w:val="20"/>
          <w:szCs w:val="20"/>
        </w:rPr>
        <w:t xml:space="preserve"> e.g.</w:t>
      </w:r>
      <w:r w:rsidR="009515A2">
        <w:rPr>
          <w:sz w:val="20"/>
          <w:szCs w:val="20"/>
        </w:rPr>
        <w:t>,</w:t>
      </w:r>
      <w:r w:rsidRPr="009C69E7">
        <w:rPr>
          <w:i/>
          <w:sz w:val="20"/>
          <w:szCs w:val="20"/>
        </w:rPr>
        <w:t xml:space="preserve"> </w:t>
      </w:r>
      <w:r w:rsidRPr="009C69E7">
        <w:rPr>
          <w:sz w:val="20"/>
          <w:szCs w:val="20"/>
        </w:rPr>
        <w:t>Comments of Alcatel-Lucent Inc. in GN Docket No. 12-354 at 3 (Alcatel-Lucent Comments); Comments of Consumer Electronics Association.in GN Docket No. 12-354 at 5-6</w:t>
      </w:r>
      <w:r w:rsidRPr="001F624D">
        <w:rPr>
          <w:sz w:val="20"/>
          <w:szCs w:val="20"/>
        </w:rPr>
        <w:t xml:space="preserve"> (CEA Comments); Comments of AT&amp;T Services Inc. in GN Docket No. 12-354 at 7-9 (AT&amp;T Comments); Comments of Google Inc. in GN Docket No. 12-354 at 4 (Google Comments); Comments of the Information Technology Industry Council in GN Docket No. 12-354 at 3 (ITT Comments); </w:t>
      </w:r>
    </w:p>
  </w:footnote>
  <w:footnote w:id="20">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Alcatel-Lucent Comments at 3-6; CEA Comments at 5-6; Google Comments at 4; Comments of PCIA in GN Docket No. 12-354 at 5 (PCIA Comments).</w:t>
      </w:r>
    </w:p>
  </w:footnote>
  <w:footnote w:id="21">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AT&amp;T Comments at 7-9; Comments of T-Mobile USA, Inc. in GN Docket No. 12-354 at 3 and 8-10 (T-Mobile Comments); Reply Comments of Verizon and Verizon Wireless Inc. </w:t>
      </w:r>
      <w:proofErr w:type="gramStart"/>
      <w:r w:rsidRPr="009C69E7">
        <w:rPr>
          <w:sz w:val="20"/>
          <w:szCs w:val="20"/>
        </w:rPr>
        <w:t>in  GN</w:t>
      </w:r>
      <w:proofErr w:type="gramEnd"/>
      <w:r w:rsidRPr="009C69E7">
        <w:rPr>
          <w:sz w:val="20"/>
          <w:szCs w:val="20"/>
        </w:rPr>
        <w:t xml:space="preserve"> Docket No. 12-354 at 7-11 (Verizon Reply Comments).</w:t>
      </w:r>
    </w:p>
  </w:footnote>
  <w:footnote w:id="22">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Comments of Microsoft Corporation in GN Docket No. 12-354 at 9 (Microsoft Comments); Comments of Public Interest Spectrum Coalition in GN Docket No. 12-354 at 24-30 (PISC Comments).</w:t>
      </w:r>
    </w:p>
  </w:footnote>
  <w:footnote w:id="23">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Comments of UTC, EEI, and NRECA in GN Docket No. 12-354 at 12-14 (Consolidated Utilities Association Comments); Comments of Motorola Solutions Inc. in GN Docket No. 12-354 at 3 (Motorola Solutions Comments). </w:t>
      </w:r>
    </w:p>
  </w:footnote>
  <w:footnote w:id="24">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Microsoft Comments at 8-10;</w:t>
      </w:r>
      <w:r w:rsidR="008A3B96">
        <w:rPr>
          <w:sz w:val="20"/>
          <w:szCs w:val="20"/>
        </w:rPr>
        <w:t xml:space="preserve"> </w:t>
      </w:r>
      <w:r w:rsidRPr="009C69E7">
        <w:rPr>
          <w:sz w:val="20"/>
          <w:szCs w:val="20"/>
        </w:rPr>
        <w:t xml:space="preserve">Letter from AT&amp;T Services, Inc. and Google, Inc. to Chairwoman Mignon Clyburn, </w:t>
      </w:r>
      <w:r w:rsidRPr="009C69E7">
        <w:rPr>
          <w:i/>
          <w:sz w:val="20"/>
          <w:szCs w:val="20"/>
        </w:rPr>
        <w:t>Ex Parte</w:t>
      </w:r>
      <w:r w:rsidRPr="009C69E7">
        <w:rPr>
          <w:sz w:val="20"/>
          <w:szCs w:val="20"/>
        </w:rPr>
        <w:t xml:space="preserve">, GN Docket No. 12-354 (sent August 6, 2013) (AT&amp;T-Google Letter) at 1; Cantor Fitzgerald Telecom Services, Inc., </w:t>
      </w:r>
      <w:r w:rsidRPr="009C69E7">
        <w:rPr>
          <w:i/>
          <w:sz w:val="20"/>
          <w:szCs w:val="20"/>
        </w:rPr>
        <w:t>Ex Parte</w:t>
      </w:r>
      <w:r w:rsidRPr="009C69E7">
        <w:rPr>
          <w:sz w:val="20"/>
          <w:szCs w:val="20"/>
        </w:rPr>
        <w:t xml:space="preserve">, GN Docket No. 12-354 (filed on July 31, 2013) (Cantor </w:t>
      </w:r>
      <w:r w:rsidRPr="009C69E7">
        <w:rPr>
          <w:i/>
          <w:sz w:val="20"/>
          <w:szCs w:val="20"/>
        </w:rPr>
        <w:t>Ex Parte</w:t>
      </w:r>
      <w:r w:rsidRPr="009C69E7">
        <w:rPr>
          <w:sz w:val="20"/>
          <w:szCs w:val="20"/>
        </w:rPr>
        <w:t>) at 2; PISC Comments at 13-15</w:t>
      </w:r>
      <w:r w:rsidR="00D53F3A">
        <w:rPr>
          <w:sz w:val="20"/>
          <w:szCs w:val="20"/>
        </w:rPr>
        <w:t>; Consolidated Utilities Association Comments at 10</w:t>
      </w:r>
      <w:r w:rsidR="008A3B96">
        <w:rPr>
          <w:sz w:val="20"/>
          <w:szCs w:val="20"/>
        </w:rPr>
        <w:t>-15; Comments of the Wireless Internet Service Providers Association in GN Docket No. 12-354 at 5-17 (WISPA Comments).</w:t>
      </w:r>
    </w:p>
  </w:footnote>
  <w:footnote w:id="25">
    <w:p w:rsidR="005100CE" w:rsidRDefault="005100CE">
      <w:pPr>
        <w:pStyle w:val="FootnoteText"/>
      </w:pPr>
      <w:r>
        <w:rPr>
          <w:rStyle w:val="FootnoteReference"/>
        </w:rPr>
        <w:footnoteRef/>
      </w:r>
      <w:r>
        <w:t xml:space="preserve"> </w:t>
      </w:r>
      <w:proofErr w:type="gramStart"/>
      <w:r w:rsidRPr="009C69E7">
        <w:rPr>
          <w:sz w:val="20"/>
          <w:szCs w:val="20"/>
        </w:rPr>
        <w:t>NSN Comments at 12-</w:t>
      </w:r>
      <w:r>
        <w:rPr>
          <w:sz w:val="20"/>
          <w:szCs w:val="20"/>
        </w:rPr>
        <w:t>21</w:t>
      </w:r>
      <w:r w:rsidRPr="009C69E7">
        <w:rPr>
          <w:sz w:val="20"/>
          <w:szCs w:val="20"/>
        </w:rPr>
        <w:t xml:space="preserve">; Qualcomm Comments at </w:t>
      </w:r>
      <w:r>
        <w:rPr>
          <w:sz w:val="20"/>
          <w:szCs w:val="20"/>
        </w:rPr>
        <w:t>4</w:t>
      </w:r>
      <w:r w:rsidRPr="009C69E7">
        <w:rPr>
          <w:sz w:val="20"/>
          <w:szCs w:val="20"/>
        </w:rPr>
        <w:t>-1</w:t>
      </w:r>
      <w:r>
        <w:rPr>
          <w:sz w:val="20"/>
          <w:szCs w:val="20"/>
        </w:rPr>
        <w:t>1; Reply c</w:t>
      </w:r>
      <w:r w:rsidRPr="009C69E7">
        <w:rPr>
          <w:sz w:val="20"/>
          <w:szCs w:val="20"/>
        </w:rPr>
        <w:t>omments of T-Mobile USA, Inc. in GN Docket No. 12-354 at</w:t>
      </w:r>
      <w:r>
        <w:rPr>
          <w:sz w:val="20"/>
          <w:szCs w:val="20"/>
        </w:rPr>
        <w:t xml:space="preserve"> 3-7.</w:t>
      </w:r>
      <w:proofErr w:type="gramEnd"/>
    </w:p>
  </w:footnote>
  <w:footnote w:id="26">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T-Mobile Comments at 8-10; Verizon Reply Comments at 4 and 6-11; Comments of CTIA in GN Docket No. 12-354 at 1</w:t>
      </w:r>
      <w:r w:rsidR="00D53F3A">
        <w:rPr>
          <w:sz w:val="20"/>
          <w:szCs w:val="20"/>
        </w:rPr>
        <w:t>2</w:t>
      </w:r>
      <w:r w:rsidRPr="009C69E7">
        <w:rPr>
          <w:sz w:val="20"/>
          <w:szCs w:val="20"/>
        </w:rPr>
        <w:t>-16 (CTIA Comments).</w:t>
      </w:r>
    </w:p>
  </w:footnote>
  <w:footnote w:id="27">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AT&amp;T-Google Letter.</w:t>
      </w:r>
    </w:p>
  </w:footnote>
  <w:footnote w:id="28">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15618-19, ¶¶ 70-73.</w:t>
      </w:r>
    </w:p>
  </w:footnote>
  <w:footnote w:id="29">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See</w:t>
      </w:r>
      <w:r w:rsidR="00D13828">
        <w:rPr>
          <w:i/>
          <w:sz w:val="20"/>
          <w:szCs w:val="20"/>
        </w:rPr>
        <w:t>,</w:t>
      </w:r>
      <w:r w:rsidRPr="009C69E7">
        <w:rPr>
          <w:i/>
          <w:sz w:val="20"/>
          <w:szCs w:val="20"/>
        </w:rPr>
        <w:t xml:space="preserve"> e.g.</w:t>
      </w:r>
      <w:r w:rsidR="009515A2">
        <w:rPr>
          <w:sz w:val="20"/>
          <w:szCs w:val="20"/>
        </w:rPr>
        <w:t>,</w:t>
      </w:r>
      <w:r w:rsidRPr="009C69E7">
        <w:rPr>
          <w:sz w:val="20"/>
          <w:szCs w:val="20"/>
        </w:rPr>
        <w:t xml:space="preserve"> Verizon Reply Comments at 4; NSN Comments at 12-18; Qualcomm Comments at 5-11; CTIA Comments at 1</w:t>
      </w:r>
      <w:r w:rsidR="00D53F3A">
        <w:rPr>
          <w:sz w:val="20"/>
          <w:szCs w:val="20"/>
        </w:rPr>
        <w:t>2</w:t>
      </w:r>
      <w:r w:rsidRPr="009C69E7">
        <w:rPr>
          <w:sz w:val="20"/>
          <w:szCs w:val="20"/>
        </w:rPr>
        <w:t>-16</w:t>
      </w:r>
      <w:r w:rsidR="00843C82">
        <w:rPr>
          <w:sz w:val="20"/>
          <w:szCs w:val="20"/>
        </w:rPr>
        <w:t>; Alcatel-Lucent Comments at 3-6; CEA Comments at 5-6; Google Comments at 4; PCIA Comments at 5.</w:t>
      </w:r>
    </w:p>
  </w:footnote>
  <w:footnote w:id="30">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15618-19, ¶¶ 70-73.</w:t>
      </w:r>
    </w:p>
  </w:footnote>
  <w:footnote w:id="31">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See id</w:t>
      </w:r>
      <w:proofErr w:type="gramStart"/>
      <w:r w:rsidRPr="009C69E7">
        <w:rPr>
          <w:i/>
          <w:sz w:val="20"/>
          <w:szCs w:val="20"/>
        </w:rPr>
        <w:t>.</w:t>
      </w:r>
      <w:r w:rsidRPr="009C69E7">
        <w:rPr>
          <w:sz w:val="20"/>
          <w:szCs w:val="20"/>
        </w:rPr>
        <w:t>,</w:t>
      </w:r>
      <w:proofErr w:type="gramEnd"/>
      <w:r w:rsidRPr="009C69E7">
        <w:rPr>
          <w:sz w:val="20"/>
          <w:szCs w:val="20"/>
        </w:rPr>
        <w:t xml:space="preserve"> 27 FCC </w:t>
      </w:r>
      <w:proofErr w:type="spellStart"/>
      <w:r w:rsidRPr="009C69E7">
        <w:rPr>
          <w:sz w:val="20"/>
          <w:szCs w:val="20"/>
        </w:rPr>
        <w:t>Rcd</w:t>
      </w:r>
      <w:proofErr w:type="spellEnd"/>
      <w:r w:rsidRPr="009C69E7">
        <w:rPr>
          <w:sz w:val="20"/>
          <w:szCs w:val="20"/>
        </w:rPr>
        <w:t xml:space="preserve"> at 15622-23, ¶¶ 84-85.</w:t>
      </w:r>
    </w:p>
  </w:footnote>
  <w:footnote w:id="32">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See</w:t>
      </w:r>
      <w:r w:rsidR="00D13828">
        <w:rPr>
          <w:i/>
          <w:sz w:val="20"/>
          <w:szCs w:val="20"/>
        </w:rPr>
        <w:t>,</w:t>
      </w:r>
      <w:r w:rsidRPr="009C69E7">
        <w:rPr>
          <w:i/>
          <w:sz w:val="20"/>
          <w:szCs w:val="20"/>
        </w:rPr>
        <w:t xml:space="preserve"> e.g.</w:t>
      </w:r>
      <w:r w:rsidR="009515A2">
        <w:rPr>
          <w:sz w:val="20"/>
          <w:szCs w:val="20"/>
        </w:rPr>
        <w:t>,</w:t>
      </w:r>
      <w:r w:rsidRPr="009C69E7">
        <w:rPr>
          <w:i/>
          <w:sz w:val="20"/>
          <w:szCs w:val="20"/>
        </w:rPr>
        <w:t xml:space="preserve"> </w:t>
      </w:r>
      <w:r w:rsidRPr="009C69E7">
        <w:rPr>
          <w:sz w:val="20"/>
          <w:szCs w:val="20"/>
        </w:rPr>
        <w:t>Alcatel-Lucent Comments at 3-6; CEA Comments at 5-6; Google Comments at 4</w:t>
      </w:r>
      <w:proofErr w:type="gramStart"/>
      <w:r w:rsidRPr="009C69E7">
        <w:rPr>
          <w:sz w:val="20"/>
          <w:szCs w:val="20"/>
        </w:rPr>
        <w:t>;</w:t>
      </w:r>
      <w:proofErr w:type="gramEnd"/>
      <w:r w:rsidRPr="009C69E7">
        <w:rPr>
          <w:sz w:val="20"/>
          <w:szCs w:val="20"/>
        </w:rPr>
        <w:t xml:space="preserve"> PCIA Comments</w:t>
      </w:r>
      <w:r w:rsidRPr="009C69E7" w:rsidDel="00C107BA">
        <w:rPr>
          <w:sz w:val="20"/>
          <w:szCs w:val="20"/>
        </w:rPr>
        <w:t xml:space="preserve"> </w:t>
      </w:r>
      <w:r w:rsidRPr="009C69E7">
        <w:rPr>
          <w:sz w:val="20"/>
          <w:szCs w:val="20"/>
        </w:rPr>
        <w:t xml:space="preserve">at 5. </w:t>
      </w:r>
    </w:p>
  </w:footnote>
  <w:footnote w:id="33">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Consolidated Utilities Association Comments at 12-14</w:t>
      </w:r>
      <w:proofErr w:type="gramStart"/>
      <w:r w:rsidRPr="009C69E7">
        <w:rPr>
          <w:sz w:val="20"/>
          <w:szCs w:val="20"/>
        </w:rPr>
        <w:t>;</w:t>
      </w:r>
      <w:proofErr w:type="gramEnd"/>
      <w:r w:rsidRPr="009C69E7">
        <w:rPr>
          <w:sz w:val="20"/>
          <w:szCs w:val="20"/>
        </w:rPr>
        <w:t xml:space="preserve"> Motorola Solutions Comments at 3.</w:t>
      </w:r>
    </w:p>
  </w:footnote>
  <w:footnote w:id="34">
    <w:p w:rsidR="001718E9" w:rsidRPr="00A6165A" w:rsidRDefault="001718E9" w:rsidP="0051322F">
      <w:pPr>
        <w:pStyle w:val="FootnoteText"/>
        <w:rPr>
          <w:sz w:val="20"/>
          <w:szCs w:val="20"/>
        </w:rPr>
      </w:pPr>
      <w:r w:rsidRPr="00A6165A">
        <w:rPr>
          <w:rStyle w:val="FootnoteReference"/>
          <w:sz w:val="20"/>
          <w:szCs w:val="20"/>
        </w:rPr>
        <w:footnoteRef/>
      </w:r>
      <w:r w:rsidRPr="00A6165A">
        <w:rPr>
          <w:sz w:val="20"/>
          <w:szCs w:val="20"/>
        </w:rPr>
        <w:t xml:space="preserve"> </w:t>
      </w:r>
      <w:r w:rsidRPr="009C69E7">
        <w:rPr>
          <w:i/>
          <w:sz w:val="20"/>
          <w:szCs w:val="20"/>
        </w:rPr>
        <w:t xml:space="preserve">See </w:t>
      </w:r>
      <w:r w:rsidRPr="00511FBD">
        <w:rPr>
          <w:sz w:val="20"/>
          <w:szCs w:val="20"/>
        </w:rPr>
        <w:t xml:space="preserve">3.5 GHz NPRM, 27 FCC </w:t>
      </w:r>
      <w:proofErr w:type="spellStart"/>
      <w:r w:rsidRPr="00511FBD">
        <w:rPr>
          <w:sz w:val="20"/>
          <w:szCs w:val="20"/>
        </w:rPr>
        <w:t>Rcd</w:t>
      </w:r>
      <w:proofErr w:type="spellEnd"/>
      <w:r w:rsidRPr="00511FBD">
        <w:rPr>
          <w:sz w:val="20"/>
          <w:szCs w:val="20"/>
        </w:rPr>
        <w:t xml:space="preserve"> at 15618</w:t>
      </w:r>
      <w:r w:rsidR="00720EF1" w:rsidRPr="00511FBD">
        <w:rPr>
          <w:sz w:val="20"/>
          <w:szCs w:val="20"/>
        </w:rPr>
        <w:t xml:space="preserve">, </w:t>
      </w:r>
      <w:r w:rsidR="00720EF1" w:rsidRPr="001F624D">
        <w:rPr>
          <w:sz w:val="20"/>
          <w:szCs w:val="20"/>
        </w:rPr>
        <w:t>¶</w:t>
      </w:r>
      <w:r w:rsidRPr="001F624D">
        <w:rPr>
          <w:sz w:val="20"/>
          <w:szCs w:val="20"/>
        </w:rPr>
        <w:t xml:space="preserve"> 71.</w:t>
      </w:r>
    </w:p>
  </w:footnote>
  <w:footnote w:id="35">
    <w:p w:rsidR="001718E9" w:rsidRPr="001F624D" w:rsidRDefault="001718E9">
      <w:pPr>
        <w:pStyle w:val="FootnoteText"/>
        <w:rPr>
          <w:sz w:val="20"/>
          <w:szCs w:val="20"/>
        </w:rPr>
      </w:pPr>
      <w:r w:rsidRPr="009C69E7">
        <w:rPr>
          <w:rStyle w:val="FootnoteReference"/>
          <w:sz w:val="20"/>
          <w:szCs w:val="20"/>
        </w:rPr>
        <w:footnoteRef/>
      </w:r>
      <w:r w:rsidRPr="009C69E7">
        <w:rPr>
          <w:sz w:val="20"/>
          <w:szCs w:val="20"/>
        </w:rPr>
        <w:t xml:space="preserve"> The number of consecutive PALs that could be aggregated at a given time by a single licensee would be capped.  </w:t>
      </w:r>
      <w:r w:rsidRPr="009C69E7">
        <w:rPr>
          <w:i/>
          <w:sz w:val="20"/>
          <w:szCs w:val="20"/>
        </w:rPr>
        <w:t>See infra</w:t>
      </w:r>
      <w:r w:rsidRPr="001F624D">
        <w:rPr>
          <w:sz w:val="20"/>
          <w:szCs w:val="20"/>
        </w:rPr>
        <w:t xml:space="preserve"> Section </w:t>
      </w:r>
      <w:proofErr w:type="gramStart"/>
      <w:r w:rsidRPr="001F624D">
        <w:rPr>
          <w:sz w:val="20"/>
          <w:szCs w:val="20"/>
        </w:rPr>
        <w:t>III(</w:t>
      </w:r>
      <w:proofErr w:type="gramEnd"/>
      <w:r w:rsidRPr="001F624D">
        <w:rPr>
          <w:sz w:val="20"/>
          <w:szCs w:val="20"/>
        </w:rPr>
        <w:t>A)(3).</w:t>
      </w:r>
    </w:p>
  </w:footnote>
  <w:footnote w:id="36">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We note that such an approach also reflects the PCAST vision of “short-term priority operating rights” for licensed users.  </w:t>
      </w:r>
      <w:r w:rsidRPr="009C69E7">
        <w:rPr>
          <w:i/>
          <w:sz w:val="20"/>
          <w:szCs w:val="20"/>
        </w:rPr>
        <w:t xml:space="preserve">See </w:t>
      </w:r>
      <w:r w:rsidRPr="009C69E7">
        <w:rPr>
          <w:sz w:val="20"/>
          <w:szCs w:val="20"/>
        </w:rPr>
        <w:t xml:space="preserve">PCAST Report at 23.  Note that the PCAST refers to a “Secondary Access” tier that is conceptually the same as the “Priority Access” tier proposed in the </w:t>
      </w:r>
      <w:r w:rsidRPr="00751C68">
        <w:rPr>
          <w:sz w:val="20"/>
          <w:szCs w:val="20"/>
        </w:rPr>
        <w:t>NPRM</w:t>
      </w:r>
      <w:r w:rsidRPr="00BF61F3">
        <w:rPr>
          <w:sz w:val="20"/>
          <w:szCs w:val="20"/>
        </w:rPr>
        <w:t>.</w:t>
      </w:r>
      <w:r w:rsidRPr="009C69E7">
        <w:rPr>
          <w:sz w:val="20"/>
          <w:szCs w:val="20"/>
        </w:rPr>
        <w:t xml:space="preserve"> </w:t>
      </w:r>
      <w:r w:rsidRPr="009C69E7">
        <w:rPr>
          <w:i/>
          <w:sz w:val="20"/>
          <w:szCs w:val="20"/>
        </w:rPr>
        <w:t>See</w:t>
      </w:r>
      <w:r w:rsidRPr="009C69E7">
        <w:rPr>
          <w:sz w:val="20"/>
          <w:szCs w:val="20"/>
        </w:rPr>
        <w:t xml:space="preserve"> 3.5 GHZ NPRM, 27 FCC </w:t>
      </w:r>
      <w:proofErr w:type="spellStart"/>
      <w:r w:rsidRPr="009C69E7">
        <w:rPr>
          <w:sz w:val="20"/>
          <w:szCs w:val="20"/>
        </w:rPr>
        <w:t>Rcd</w:t>
      </w:r>
      <w:proofErr w:type="spellEnd"/>
      <w:r w:rsidRPr="009C69E7">
        <w:rPr>
          <w:sz w:val="20"/>
          <w:szCs w:val="20"/>
        </w:rPr>
        <w:t xml:space="preserve"> at 15612, note 129.</w:t>
      </w:r>
    </w:p>
  </w:footnote>
  <w:footnote w:id="37">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15606-06, ¶¶ 30-32.</w:t>
      </w:r>
    </w:p>
  </w:footnote>
  <w:footnote w:id="38">
    <w:p w:rsidR="001718E9" w:rsidRPr="009C69E7" w:rsidRDefault="001718E9" w:rsidP="00CE242F">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United States Census Bureau,</w:t>
      </w:r>
      <w:r w:rsidRPr="009C69E7">
        <w:rPr>
          <w:i/>
          <w:sz w:val="20"/>
          <w:szCs w:val="20"/>
        </w:rPr>
        <w:t xml:space="preserve"> Geographic Terms and Concepts – Census </w:t>
      </w:r>
      <w:r w:rsidRPr="009C69E7">
        <w:rPr>
          <w:sz w:val="20"/>
          <w:szCs w:val="20"/>
        </w:rPr>
        <w:t xml:space="preserve">Tract, </w:t>
      </w:r>
      <w:r w:rsidRPr="009C69E7">
        <w:rPr>
          <w:i/>
          <w:sz w:val="20"/>
          <w:szCs w:val="20"/>
        </w:rPr>
        <w:t>available at</w:t>
      </w:r>
      <w:r w:rsidRPr="009C69E7">
        <w:rPr>
          <w:sz w:val="20"/>
          <w:szCs w:val="20"/>
        </w:rPr>
        <w:t>:</w:t>
      </w:r>
      <w:r w:rsidRPr="009C69E7">
        <w:rPr>
          <w:snapToGrid w:val="0"/>
          <w:kern w:val="28"/>
          <w:sz w:val="20"/>
          <w:szCs w:val="20"/>
        </w:rPr>
        <w:t xml:space="preserve"> http://www.census.gov/geo/reference/gtc/gtc_ct.html (last visited </w:t>
      </w:r>
      <w:r>
        <w:rPr>
          <w:snapToGrid w:val="0"/>
          <w:kern w:val="28"/>
          <w:sz w:val="20"/>
          <w:szCs w:val="20"/>
        </w:rPr>
        <w:t>September 5</w:t>
      </w:r>
      <w:r w:rsidRPr="009C69E7">
        <w:rPr>
          <w:snapToGrid w:val="0"/>
          <w:kern w:val="28"/>
          <w:sz w:val="20"/>
          <w:szCs w:val="20"/>
        </w:rPr>
        <w:t>, 2013); Some information</w:t>
      </w:r>
      <w:r w:rsidRPr="009C69E7">
        <w:rPr>
          <w:sz w:val="20"/>
          <w:szCs w:val="20"/>
        </w:rPr>
        <w:t xml:space="preserve"> </w:t>
      </w:r>
      <w:r w:rsidRPr="009C69E7">
        <w:rPr>
          <w:color w:val="000000"/>
          <w:sz w:val="20"/>
          <w:szCs w:val="20"/>
        </w:rPr>
        <w:t xml:space="preserve">Calculated using </w:t>
      </w:r>
      <w:proofErr w:type="spellStart"/>
      <w:r w:rsidRPr="009C69E7">
        <w:rPr>
          <w:color w:val="000000"/>
          <w:sz w:val="20"/>
          <w:szCs w:val="20"/>
        </w:rPr>
        <w:t>Geolytics</w:t>
      </w:r>
      <w:proofErr w:type="spellEnd"/>
      <w:r w:rsidRPr="009C69E7">
        <w:rPr>
          <w:color w:val="000000"/>
          <w:sz w:val="20"/>
          <w:szCs w:val="20"/>
        </w:rPr>
        <w:t xml:space="preserve"> Population estimates 2012 from U.S. Geography obtained from United States Census Bureau, </w:t>
      </w:r>
      <w:r w:rsidRPr="001F624D">
        <w:rPr>
          <w:i/>
          <w:color w:val="000000"/>
          <w:sz w:val="20"/>
          <w:szCs w:val="20"/>
        </w:rPr>
        <w:t xml:space="preserve">Tiger/Line </w:t>
      </w:r>
      <w:proofErr w:type="spellStart"/>
      <w:r w:rsidRPr="001F624D">
        <w:rPr>
          <w:i/>
          <w:color w:val="000000"/>
          <w:sz w:val="20"/>
          <w:szCs w:val="20"/>
        </w:rPr>
        <w:t>Shapefiles</w:t>
      </w:r>
      <w:proofErr w:type="spellEnd"/>
      <w:r w:rsidRPr="001F624D">
        <w:rPr>
          <w:i/>
          <w:color w:val="000000"/>
          <w:sz w:val="20"/>
          <w:szCs w:val="20"/>
        </w:rPr>
        <w:t xml:space="preserve"> and Tiger/Line Files</w:t>
      </w:r>
      <w:r w:rsidRPr="001F624D">
        <w:rPr>
          <w:color w:val="000000"/>
          <w:sz w:val="20"/>
          <w:szCs w:val="20"/>
        </w:rPr>
        <w:t xml:space="preserve">, </w:t>
      </w:r>
      <w:r w:rsidRPr="001F624D">
        <w:rPr>
          <w:i/>
          <w:color w:val="000000"/>
          <w:sz w:val="20"/>
          <w:szCs w:val="20"/>
        </w:rPr>
        <w:t>available at</w:t>
      </w:r>
      <w:r w:rsidRPr="009C69E7">
        <w:rPr>
          <w:color w:val="000000"/>
          <w:sz w:val="20"/>
          <w:szCs w:val="20"/>
        </w:rPr>
        <w:t>: https://www.census.gov/geo/maps-data/data/tiger-line.html</w:t>
      </w:r>
      <w:r w:rsidRPr="009C69E7">
        <w:rPr>
          <w:sz w:val="20"/>
          <w:szCs w:val="20"/>
        </w:rPr>
        <w:t xml:space="preserve"> (Last visited </w:t>
      </w:r>
      <w:r>
        <w:rPr>
          <w:sz w:val="20"/>
          <w:szCs w:val="20"/>
        </w:rPr>
        <w:t>September 5</w:t>
      </w:r>
      <w:r w:rsidRPr="009C69E7">
        <w:rPr>
          <w:sz w:val="20"/>
          <w:szCs w:val="20"/>
        </w:rPr>
        <w:t>, 2013).</w:t>
      </w:r>
    </w:p>
  </w:footnote>
  <w:footnote w:id="39">
    <w:p w:rsidR="001718E9" w:rsidRPr="009C69E7" w:rsidRDefault="001718E9">
      <w:pPr>
        <w:pStyle w:val="FootnoteText"/>
        <w:rPr>
          <w:sz w:val="20"/>
          <w:szCs w:val="20"/>
        </w:rPr>
      </w:pPr>
      <w:r w:rsidRPr="001F624D">
        <w:rPr>
          <w:rStyle w:val="FootnoteReference"/>
          <w:sz w:val="20"/>
          <w:szCs w:val="20"/>
        </w:rPr>
        <w:footnoteRef/>
      </w:r>
      <w:r w:rsidRPr="001F624D">
        <w:rPr>
          <w:sz w:val="20"/>
          <w:szCs w:val="20"/>
        </w:rPr>
        <w:t xml:space="preserve"> The 85,000 square mile census tract is in Alaska.  The largest census tract in the continental United States is approximately 40,000 square miles.</w:t>
      </w:r>
      <w:r w:rsidRPr="001F624D">
        <w:rPr>
          <w:color w:val="000000"/>
          <w:sz w:val="20"/>
          <w:szCs w:val="20"/>
        </w:rPr>
        <w:t xml:space="preserve">  Calculated using</w:t>
      </w:r>
      <w:r w:rsidRPr="009C69E7">
        <w:rPr>
          <w:color w:val="000000"/>
          <w:sz w:val="20"/>
          <w:szCs w:val="20"/>
        </w:rPr>
        <w:t xml:space="preserve"> </w:t>
      </w:r>
      <w:proofErr w:type="spellStart"/>
      <w:r w:rsidRPr="009C69E7">
        <w:rPr>
          <w:color w:val="000000"/>
          <w:sz w:val="20"/>
          <w:szCs w:val="20"/>
        </w:rPr>
        <w:t>Geolytics</w:t>
      </w:r>
      <w:proofErr w:type="spellEnd"/>
      <w:r w:rsidRPr="009C69E7">
        <w:rPr>
          <w:color w:val="000000"/>
          <w:sz w:val="20"/>
          <w:szCs w:val="20"/>
        </w:rPr>
        <w:t xml:space="preserve"> Population estimates 2012 from U.S. Geography obtained from United States Census Bureau, </w:t>
      </w:r>
      <w:r w:rsidRPr="009C69E7">
        <w:rPr>
          <w:i/>
          <w:color w:val="000000"/>
          <w:sz w:val="20"/>
          <w:szCs w:val="20"/>
        </w:rPr>
        <w:t xml:space="preserve">Tiger/Line </w:t>
      </w:r>
      <w:proofErr w:type="spellStart"/>
      <w:r w:rsidRPr="009C69E7">
        <w:rPr>
          <w:i/>
          <w:color w:val="000000"/>
          <w:sz w:val="20"/>
          <w:szCs w:val="20"/>
        </w:rPr>
        <w:t>Shapefiles</w:t>
      </w:r>
      <w:proofErr w:type="spellEnd"/>
      <w:r w:rsidRPr="009C69E7">
        <w:rPr>
          <w:i/>
          <w:color w:val="000000"/>
          <w:sz w:val="20"/>
          <w:szCs w:val="20"/>
        </w:rPr>
        <w:t xml:space="preserve"> </w:t>
      </w:r>
      <w:proofErr w:type="gramStart"/>
      <w:r w:rsidRPr="009C69E7">
        <w:rPr>
          <w:i/>
          <w:color w:val="000000"/>
          <w:sz w:val="20"/>
          <w:szCs w:val="20"/>
        </w:rPr>
        <w:t>and  Tiger</w:t>
      </w:r>
      <w:proofErr w:type="gramEnd"/>
      <w:r w:rsidRPr="009C69E7">
        <w:rPr>
          <w:i/>
          <w:color w:val="000000"/>
          <w:sz w:val="20"/>
          <w:szCs w:val="20"/>
        </w:rPr>
        <w:t>/Line Files</w:t>
      </w:r>
      <w:r w:rsidRPr="009C69E7">
        <w:rPr>
          <w:color w:val="000000"/>
          <w:sz w:val="20"/>
          <w:szCs w:val="20"/>
        </w:rPr>
        <w:t xml:space="preserve">, </w:t>
      </w:r>
      <w:r w:rsidRPr="009C69E7">
        <w:rPr>
          <w:i/>
          <w:color w:val="000000"/>
          <w:sz w:val="20"/>
          <w:szCs w:val="20"/>
        </w:rPr>
        <w:t>available at</w:t>
      </w:r>
      <w:r w:rsidRPr="009C69E7">
        <w:rPr>
          <w:color w:val="000000"/>
          <w:sz w:val="20"/>
          <w:szCs w:val="20"/>
        </w:rPr>
        <w:t>: https://www.census.gov/geo/maps-data/data/tiger-line.html</w:t>
      </w:r>
      <w:r w:rsidRPr="009C69E7">
        <w:rPr>
          <w:sz w:val="20"/>
          <w:szCs w:val="20"/>
        </w:rPr>
        <w:t xml:space="preserve"> (Last visited August 15, 2013).</w:t>
      </w:r>
    </w:p>
  </w:footnote>
  <w:footnote w:id="40">
    <w:p w:rsidR="001718E9" w:rsidRPr="009C69E7" w:rsidRDefault="001718E9" w:rsidP="00063344">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United States Census Bureau,</w:t>
      </w:r>
      <w:r w:rsidRPr="009C69E7">
        <w:rPr>
          <w:i/>
          <w:sz w:val="20"/>
          <w:szCs w:val="20"/>
        </w:rPr>
        <w:t xml:space="preserve"> Geographic Terms and Concepts – Census </w:t>
      </w:r>
      <w:r w:rsidRPr="009C69E7">
        <w:rPr>
          <w:sz w:val="20"/>
          <w:szCs w:val="20"/>
        </w:rPr>
        <w:t xml:space="preserve">Tract, </w:t>
      </w:r>
      <w:r w:rsidRPr="009C69E7">
        <w:rPr>
          <w:i/>
          <w:sz w:val="20"/>
          <w:szCs w:val="20"/>
        </w:rPr>
        <w:t>available at</w:t>
      </w:r>
      <w:r w:rsidRPr="009C69E7">
        <w:rPr>
          <w:sz w:val="20"/>
          <w:szCs w:val="20"/>
        </w:rPr>
        <w:t>:</w:t>
      </w:r>
      <w:r w:rsidRPr="009C69E7">
        <w:rPr>
          <w:snapToGrid w:val="0"/>
          <w:kern w:val="28"/>
          <w:sz w:val="20"/>
          <w:szCs w:val="20"/>
        </w:rPr>
        <w:t xml:space="preserve"> http://www.census.gov/geo/reference/gtc/gtc_ct.html (last visited September 5, 2013).</w:t>
      </w:r>
    </w:p>
  </w:footnote>
  <w:footnote w:id="41">
    <w:p w:rsidR="001718E9" w:rsidRPr="00A6165A" w:rsidRDefault="001718E9">
      <w:pPr>
        <w:pStyle w:val="FootnoteText"/>
        <w:rPr>
          <w:sz w:val="20"/>
          <w:szCs w:val="20"/>
        </w:rPr>
      </w:pPr>
      <w:r w:rsidRPr="00A6165A">
        <w:rPr>
          <w:rStyle w:val="FootnoteReference"/>
          <w:sz w:val="20"/>
          <w:szCs w:val="20"/>
        </w:rPr>
        <w:footnoteRef/>
      </w:r>
      <w:r w:rsidRPr="00A6165A">
        <w:rPr>
          <w:sz w:val="20"/>
          <w:szCs w:val="20"/>
        </w:rPr>
        <w:t xml:space="preserve"> </w:t>
      </w:r>
      <w:r w:rsidRPr="009C69E7">
        <w:rPr>
          <w:i/>
          <w:sz w:val="20"/>
          <w:szCs w:val="20"/>
        </w:rPr>
        <w:t xml:space="preserve">See </w:t>
      </w:r>
      <w:r w:rsidR="00D13828">
        <w:rPr>
          <w:i/>
          <w:sz w:val="20"/>
          <w:szCs w:val="20"/>
        </w:rPr>
        <w:t>i</w:t>
      </w:r>
      <w:r>
        <w:rPr>
          <w:i/>
          <w:sz w:val="20"/>
          <w:szCs w:val="20"/>
        </w:rPr>
        <w:t xml:space="preserve">d. </w:t>
      </w:r>
      <w:r w:rsidRPr="005100CE">
        <w:rPr>
          <w:snapToGrid w:val="0"/>
          <w:kern w:val="28"/>
          <w:sz w:val="20"/>
          <w:szCs w:val="20"/>
        </w:rPr>
        <w:t>(“</w:t>
      </w:r>
      <w:r w:rsidRPr="00751C68">
        <w:rPr>
          <w:sz w:val="20"/>
          <w:szCs w:val="20"/>
          <w:shd w:val="clear" w:color="auto" w:fill="FFFFFF"/>
        </w:rPr>
        <w:t>Census tract boundaries generally follow visible and identifiable features.  They may follow nonvisible legal boundaries, such as minor civil division (MCD) or incorporated place boundaries in some states and situations, to allow for census-tract-to-governmental-unit relationships where the governmental boundaries tend to remain unchanged between censuses.  State and county boundaries always are census tract boundaries in the standard census geographic hierarchy.”)</w:t>
      </w:r>
      <w:r w:rsidR="00D13828">
        <w:rPr>
          <w:sz w:val="20"/>
          <w:szCs w:val="20"/>
          <w:shd w:val="clear" w:color="auto" w:fill="FFFFFF"/>
        </w:rPr>
        <w:t>.</w:t>
      </w:r>
    </w:p>
  </w:footnote>
  <w:footnote w:id="42">
    <w:p w:rsidR="001718E9" w:rsidRPr="001F624D"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00D13828">
        <w:rPr>
          <w:i/>
          <w:sz w:val="20"/>
          <w:szCs w:val="20"/>
        </w:rPr>
        <w:t>i</w:t>
      </w:r>
      <w:r>
        <w:rPr>
          <w:i/>
          <w:sz w:val="20"/>
          <w:szCs w:val="20"/>
        </w:rPr>
        <w:t>d.</w:t>
      </w:r>
    </w:p>
  </w:footnote>
  <w:footnote w:id="43">
    <w:p w:rsidR="001718E9" w:rsidRPr="009C69E7" w:rsidRDefault="001718E9" w:rsidP="00B67CFE">
      <w:pPr>
        <w:pStyle w:val="FootnoteText"/>
        <w:rPr>
          <w:sz w:val="20"/>
          <w:szCs w:val="20"/>
        </w:rPr>
      </w:pPr>
      <w:r w:rsidRPr="001F624D">
        <w:rPr>
          <w:rStyle w:val="FootnoteReference"/>
          <w:sz w:val="20"/>
          <w:szCs w:val="20"/>
        </w:rPr>
        <w:footnoteRef/>
      </w:r>
      <w:r w:rsidRPr="001F624D">
        <w:rPr>
          <w:sz w:val="20"/>
          <w:szCs w:val="20"/>
        </w:rPr>
        <w:t xml:space="preserve"> </w:t>
      </w:r>
      <w:r w:rsidRPr="001F624D">
        <w:rPr>
          <w:i/>
          <w:sz w:val="20"/>
          <w:szCs w:val="20"/>
        </w:rPr>
        <w:t xml:space="preserve">See </w:t>
      </w:r>
      <w:r w:rsidRPr="009C69E7">
        <w:rPr>
          <w:sz w:val="20"/>
          <w:szCs w:val="20"/>
        </w:rPr>
        <w:t>47 U.S.C. § 308 (b) (“All applications for station licenses, or modifications or renewals thereof, shall set forth such facts as the Commission by regulation may prescribe as to the citizenship, character, and financial, technical, and other qualifications of the applicant to operate the station; the ownership and location of the proposed station and of the stations, if any, with which it is proposed to communicate; the frequencies and the power desired to be used; the hours of the day or other periods of time during which it is proposed to operate the station; the purposes for which the station is to be used; and such other information as it may require.”)</w:t>
      </w:r>
    </w:p>
  </w:footnote>
  <w:footnote w:id="44">
    <w:p w:rsidR="001718E9" w:rsidRPr="009C69E7" w:rsidRDefault="001718E9" w:rsidP="00B67CFE">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47 C.F.R. § 1.2105.</w:t>
      </w:r>
    </w:p>
  </w:footnote>
  <w:footnote w:id="45">
    <w:p w:rsidR="001718E9" w:rsidRPr="009C69E7" w:rsidRDefault="001718E9" w:rsidP="00B67CFE">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47 U.S.C. § 310.</w:t>
      </w:r>
    </w:p>
  </w:footnote>
  <w:footnote w:id="46">
    <w:p w:rsidR="001718E9" w:rsidRPr="009C69E7" w:rsidRDefault="001718E9" w:rsidP="00B67CFE">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47 C.F.R. § 1.2112.</w:t>
      </w:r>
    </w:p>
  </w:footnote>
  <w:footnote w:id="47">
    <w:p w:rsidR="001718E9" w:rsidRPr="009C69E7" w:rsidRDefault="001718E9" w:rsidP="006223D1">
      <w:pPr>
        <w:pStyle w:val="FootnoteText"/>
        <w:rPr>
          <w:sz w:val="20"/>
          <w:szCs w:val="20"/>
        </w:rPr>
      </w:pPr>
      <w:r w:rsidRPr="009C69E7">
        <w:rPr>
          <w:rStyle w:val="FootnoteReference"/>
          <w:sz w:val="20"/>
          <w:szCs w:val="20"/>
        </w:rPr>
        <w:footnoteRef/>
      </w:r>
      <w:r w:rsidRPr="009C69E7">
        <w:rPr>
          <w:sz w:val="20"/>
          <w:szCs w:val="20"/>
        </w:rPr>
        <w:t xml:space="preserve"> </w:t>
      </w:r>
      <w:proofErr w:type="gramStart"/>
      <w:r w:rsidRPr="009C69E7">
        <w:rPr>
          <w:i/>
          <w:sz w:val="20"/>
          <w:szCs w:val="20"/>
        </w:rPr>
        <w:t xml:space="preserve">See </w:t>
      </w:r>
      <w:r w:rsidRPr="009C69E7">
        <w:rPr>
          <w:sz w:val="20"/>
          <w:szCs w:val="20"/>
        </w:rPr>
        <w:t>21 U.S.C. § 862; 47 C.F.R. § 1.2001 (Anti-Drug Abuse Act of 1988).</w:t>
      </w:r>
      <w:proofErr w:type="gramEnd"/>
      <w:r w:rsidRPr="009C69E7">
        <w:rPr>
          <w:sz w:val="20"/>
          <w:szCs w:val="20"/>
        </w:rPr>
        <w:t xml:space="preserve">   </w:t>
      </w:r>
    </w:p>
  </w:footnote>
  <w:footnote w:id="48">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15622-23, ¶¶ 83-86.</w:t>
      </w:r>
    </w:p>
  </w:footnote>
  <w:footnote w:id="49">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47 U.S.C. § 309 (j)(1) (“If, consistent with the obligations described in paragraph (6)(E), mutually exclusive applications are accepted for any initial license or construction permit, then, …the Commission shall grant the license or permit to a qualified applicant through a system of competitive bidding that meets the requirements of this subsection.”)</w:t>
      </w:r>
      <w:r w:rsidR="00D13828">
        <w:rPr>
          <w:sz w:val="20"/>
          <w:szCs w:val="20"/>
        </w:rPr>
        <w:t>.</w:t>
      </w:r>
    </w:p>
  </w:footnote>
  <w:footnote w:id="50">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proofErr w:type="gramStart"/>
      <w:r w:rsidRPr="009C69E7">
        <w:rPr>
          <w:i/>
          <w:sz w:val="20"/>
          <w:szCs w:val="20"/>
        </w:rPr>
        <w:t>See</w:t>
      </w:r>
      <w:r w:rsidR="00D13828">
        <w:rPr>
          <w:i/>
          <w:sz w:val="20"/>
          <w:szCs w:val="20"/>
        </w:rPr>
        <w:t>,</w:t>
      </w:r>
      <w:r w:rsidRPr="009C69E7">
        <w:rPr>
          <w:i/>
          <w:sz w:val="20"/>
          <w:szCs w:val="20"/>
        </w:rPr>
        <w:t xml:space="preserve"> e.g.</w:t>
      </w:r>
      <w:r w:rsidR="009515A2">
        <w:rPr>
          <w:sz w:val="20"/>
          <w:szCs w:val="20"/>
        </w:rPr>
        <w:t>,</w:t>
      </w:r>
      <w:r w:rsidRPr="009C69E7">
        <w:rPr>
          <w:i/>
          <w:sz w:val="20"/>
          <w:szCs w:val="20"/>
        </w:rPr>
        <w:t xml:space="preserve"> </w:t>
      </w:r>
      <w:r w:rsidRPr="009C69E7">
        <w:rPr>
          <w:sz w:val="20"/>
          <w:szCs w:val="20"/>
        </w:rPr>
        <w:t xml:space="preserve">Cantor </w:t>
      </w:r>
      <w:r w:rsidRPr="009C69E7">
        <w:rPr>
          <w:i/>
          <w:sz w:val="20"/>
          <w:szCs w:val="20"/>
        </w:rPr>
        <w:t>Ex Parte</w:t>
      </w:r>
      <w:r w:rsidRPr="009C69E7">
        <w:rPr>
          <w:sz w:val="20"/>
          <w:szCs w:val="20"/>
        </w:rPr>
        <w:t>; AT&amp;T-Google Letter at 3.</w:t>
      </w:r>
      <w:proofErr w:type="gramEnd"/>
    </w:p>
  </w:footnote>
  <w:footnote w:id="51">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15620, ¶ 75.</w:t>
      </w:r>
    </w:p>
  </w:footnote>
  <w:footnote w:id="52">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15620, ¶¶ 75-76.</w:t>
      </w:r>
    </w:p>
  </w:footnote>
  <w:footnote w:id="53">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Even without </w:t>
      </w:r>
      <w:proofErr w:type="gramStart"/>
      <w:r w:rsidRPr="009C69E7">
        <w:rPr>
          <w:sz w:val="20"/>
          <w:szCs w:val="20"/>
        </w:rPr>
        <w:t>a renewal</w:t>
      </w:r>
      <w:proofErr w:type="gramEnd"/>
      <w:r w:rsidRPr="009C69E7">
        <w:rPr>
          <w:sz w:val="20"/>
          <w:szCs w:val="20"/>
        </w:rPr>
        <w:t xml:space="preserve"> expectancy, a given licensee could acquire additional years of rights to a given PAL in future auctions.</w:t>
      </w:r>
    </w:p>
  </w:footnote>
  <w:footnote w:id="54">
    <w:p w:rsidR="001718E9" w:rsidRPr="009C69E7" w:rsidRDefault="001718E9" w:rsidP="0027585E">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e.g., </w:t>
      </w:r>
      <w:r w:rsidRPr="009C69E7">
        <w:rPr>
          <w:sz w:val="20"/>
          <w:szCs w:val="20"/>
        </w:rPr>
        <w:t>47 U.S.C. § 251(e)(10</w:t>
      </w:r>
      <w:r w:rsidR="00D13828">
        <w:rPr>
          <w:sz w:val="20"/>
          <w:szCs w:val="20"/>
        </w:rPr>
        <w:t>)</w:t>
      </w:r>
      <w:r w:rsidRPr="009C69E7">
        <w:rPr>
          <w:sz w:val="20"/>
          <w:szCs w:val="20"/>
        </w:rPr>
        <w:t xml:space="preserve">; 47 C.F.R. § 52.12 (oversight of North American Numbering Plan Administrator); 47 C.F.R. §§ 54.701 </w:t>
      </w:r>
      <w:r w:rsidRPr="009C69E7">
        <w:rPr>
          <w:i/>
          <w:sz w:val="20"/>
          <w:szCs w:val="20"/>
        </w:rPr>
        <w:t>et seq.</w:t>
      </w:r>
      <w:r w:rsidRPr="009C69E7">
        <w:rPr>
          <w:sz w:val="20"/>
          <w:szCs w:val="20"/>
        </w:rPr>
        <w:t xml:space="preserve">; Federal-State Joint Board on Universal Service, </w:t>
      </w:r>
      <w:r w:rsidRPr="009C69E7">
        <w:rPr>
          <w:i/>
          <w:sz w:val="20"/>
          <w:szCs w:val="20"/>
        </w:rPr>
        <w:t xml:space="preserve">Report and Order, </w:t>
      </w:r>
      <w:r w:rsidRPr="009C69E7">
        <w:rPr>
          <w:sz w:val="20"/>
          <w:szCs w:val="20"/>
        </w:rPr>
        <w:t xml:space="preserve">12 FCC </w:t>
      </w:r>
      <w:proofErr w:type="spellStart"/>
      <w:r w:rsidRPr="009C69E7">
        <w:rPr>
          <w:sz w:val="20"/>
          <w:szCs w:val="20"/>
        </w:rPr>
        <w:t>Rcd</w:t>
      </w:r>
      <w:proofErr w:type="spellEnd"/>
      <w:r w:rsidRPr="009C69E7">
        <w:rPr>
          <w:sz w:val="20"/>
          <w:szCs w:val="20"/>
        </w:rPr>
        <w:t xml:space="preserve"> 8776</w:t>
      </w:r>
      <w:r w:rsidR="00D13828">
        <w:rPr>
          <w:sz w:val="20"/>
          <w:szCs w:val="20"/>
        </w:rPr>
        <w:t>, 9217-18,</w:t>
      </w:r>
      <w:r w:rsidRPr="009C69E7">
        <w:rPr>
          <w:sz w:val="20"/>
          <w:szCs w:val="20"/>
        </w:rPr>
        <w:t xml:space="preserve"> ¶¶ 867-69 (1997) (subsequent history omitted) (Universal Service Administrative Company); Improving Public Safety Communications in the 800 MHz Band, </w:t>
      </w:r>
      <w:r w:rsidRPr="009C69E7">
        <w:rPr>
          <w:i/>
          <w:sz w:val="20"/>
          <w:szCs w:val="20"/>
        </w:rPr>
        <w:t xml:space="preserve">Report and Order, Fifth Report and Order, Fourth Memorandum Opinion and Order, and Order, </w:t>
      </w:r>
      <w:r w:rsidRPr="009C69E7">
        <w:rPr>
          <w:sz w:val="20"/>
          <w:szCs w:val="20"/>
        </w:rPr>
        <w:t xml:space="preserve">19 FCC </w:t>
      </w:r>
      <w:proofErr w:type="spellStart"/>
      <w:r w:rsidRPr="009C69E7">
        <w:rPr>
          <w:sz w:val="20"/>
          <w:szCs w:val="20"/>
        </w:rPr>
        <w:t>Rcd</w:t>
      </w:r>
      <w:proofErr w:type="spellEnd"/>
      <w:r w:rsidRPr="009C69E7">
        <w:rPr>
          <w:sz w:val="20"/>
          <w:szCs w:val="20"/>
        </w:rPr>
        <w:t xml:space="preserve"> 14969</w:t>
      </w:r>
      <w:r w:rsidR="00D13828">
        <w:rPr>
          <w:sz w:val="20"/>
          <w:szCs w:val="20"/>
        </w:rPr>
        <w:t>, 15070-75,</w:t>
      </w:r>
      <w:r w:rsidRPr="009C69E7">
        <w:rPr>
          <w:sz w:val="20"/>
          <w:szCs w:val="20"/>
        </w:rPr>
        <w:t xml:space="preserve"> ¶¶ 190-200 (2004) (Transition Administrator for band reconfiguration); 47 C.F.R. §§ 74.24, 90.35, 90.175, 95.1111 (frequency coordinators).  We would not contemplate reliance upon such third parties for “the performance of inherently governmental functions,” including “determination of agency policy,” terms for disposition of Government property, or “approval of Federal licensing actions.”  </w:t>
      </w:r>
      <w:proofErr w:type="gramStart"/>
      <w:r w:rsidRPr="009C69E7">
        <w:rPr>
          <w:sz w:val="20"/>
          <w:szCs w:val="20"/>
        </w:rPr>
        <w:t>48 C.F.R. § 7.503 (Federal Acquisition Regulation).</w:t>
      </w:r>
      <w:proofErr w:type="gramEnd"/>
      <w:r w:rsidRPr="009C69E7">
        <w:rPr>
          <w:sz w:val="20"/>
          <w:szCs w:val="20"/>
        </w:rPr>
        <w:t xml:space="preserve">  </w:t>
      </w:r>
    </w:p>
  </w:footnote>
  <w:footnote w:id="55">
    <w:p w:rsidR="00097917" w:rsidRPr="003B2E31" w:rsidRDefault="00097917" w:rsidP="003B2E31">
      <w:pPr>
        <w:pStyle w:val="FootnoteText"/>
        <w:rPr>
          <w:sz w:val="20"/>
          <w:szCs w:val="20"/>
        </w:rPr>
      </w:pPr>
      <w:r w:rsidRPr="003B2E31">
        <w:rPr>
          <w:rStyle w:val="FootnoteReference"/>
          <w:sz w:val="20"/>
          <w:szCs w:val="20"/>
        </w:rPr>
        <w:footnoteRef/>
      </w:r>
      <w:r w:rsidRPr="003B2E31">
        <w:rPr>
          <w:sz w:val="20"/>
          <w:szCs w:val="20"/>
        </w:rPr>
        <w:t xml:space="preserve"> </w:t>
      </w:r>
      <w:r w:rsidR="003142C0" w:rsidRPr="003B2E31">
        <w:rPr>
          <w:sz w:val="20"/>
          <w:szCs w:val="20"/>
        </w:rPr>
        <w:t xml:space="preserve">A few commenters suggested this concept.  </w:t>
      </w:r>
      <w:r w:rsidR="003142C0" w:rsidRPr="003B2E31">
        <w:rPr>
          <w:i/>
          <w:sz w:val="20"/>
          <w:szCs w:val="20"/>
        </w:rPr>
        <w:t>See</w:t>
      </w:r>
      <w:r w:rsidR="003142C0" w:rsidRPr="003B2E31">
        <w:rPr>
          <w:sz w:val="20"/>
          <w:szCs w:val="20"/>
        </w:rPr>
        <w:t xml:space="preserve"> </w:t>
      </w:r>
      <w:r w:rsidR="003B2E31" w:rsidRPr="003B2E31">
        <w:rPr>
          <w:sz w:val="20"/>
          <w:szCs w:val="20"/>
        </w:rPr>
        <w:t>Google Comments at 7</w:t>
      </w:r>
      <w:proofErr w:type="gramStart"/>
      <w:r w:rsidR="003B2E31" w:rsidRPr="003B2E31">
        <w:rPr>
          <w:sz w:val="20"/>
          <w:szCs w:val="20"/>
        </w:rPr>
        <w:t>;</w:t>
      </w:r>
      <w:proofErr w:type="gramEnd"/>
      <w:r w:rsidR="003B2E31" w:rsidRPr="003B2E31">
        <w:rPr>
          <w:sz w:val="20"/>
          <w:szCs w:val="20"/>
        </w:rPr>
        <w:t xml:space="preserve"> Comments of Spectrum Bridge, Inc. in GN Docket No. 12-354 at 9.</w:t>
      </w:r>
    </w:p>
  </w:footnote>
  <w:footnote w:id="56">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15620, ¶¶ 75-77.</w:t>
      </w:r>
    </w:p>
  </w:footnote>
  <w:footnote w:id="57">
    <w:p w:rsidR="001718E9" w:rsidRPr="009C69E7" w:rsidRDefault="001718E9" w:rsidP="00E33ECA">
      <w:pPr>
        <w:pStyle w:val="FootnoteText"/>
        <w:rPr>
          <w:sz w:val="20"/>
          <w:szCs w:val="20"/>
        </w:rPr>
      </w:pPr>
      <w:r w:rsidRPr="009C69E7">
        <w:rPr>
          <w:rStyle w:val="FootnoteReference"/>
          <w:sz w:val="20"/>
          <w:szCs w:val="20"/>
        </w:rPr>
        <w:footnoteRef/>
      </w:r>
      <w:r w:rsidRPr="009C69E7">
        <w:rPr>
          <w:sz w:val="20"/>
          <w:szCs w:val="20"/>
        </w:rPr>
        <w:t xml:space="preserve"> The appropriate division of the 3.5 GH</w:t>
      </w:r>
      <w:r w:rsidR="00597BCD">
        <w:rPr>
          <w:sz w:val="20"/>
          <w:szCs w:val="20"/>
        </w:rPr>
        <w:t>z</w:t>
      </w:r>
      <w:r w:rsidRPr="009C69E7">
        <w:rPr>
          <w:sz w:val="20"/>
          <w:szCs w:val="20"/>
        </w:rPr>
        <w:t xml:space="preserve"> Band as well as various dynamic and static apportionment models were raised in the 3.5 GHz NPRM.  </w:t>
      </w:r>
      <w:r w:rsidRPr="009C69E7">
        <w:rPr>
          <w:i/>
          <w:sz w:val="20"/>
          <w:szCs w:val="20"/>
        </w:rPr>
        <w:t xml:space="preserve">See </w:t>
      </w:r>
      <w:r w:rsidRPr="009C69E7">
        <w:rPr>
          <w:sz w:val="20"/>
          <w:szCs w:val="20"/>
        </w:rPr>
        <w:t>3.5 GHz NPRM</w:t>
      </w:r>
      <w:r w:rsidR="0087521E">
        <w:rPr>
          <w:sz w:val="20"/>
          <w:szCs w:val="20"/>
        </w:rPr>
        <w:t xml:space="preserve">, 27 FCC </w:t>
      </w:r>
      <w:proofErr w:type="spellStart"/>
      <w:r w:rsidR="0087521E">
        <w:rPr>
          <w:sz w:val="20"/>
          <w:szCs w:val="20"/>
        </w:rPr>
        <w:t>Rcd</w:t>
      </w:r>
      <w:proofErr w:type="spellEnd"/>
      <w:r w:rsidR="0087521E">
        <w:rPr>
          <w:sz w:val="20"/>
          <w:szCs w:val="20"/>
        </w:rPr>
        <w:t xml:space="preserve"> at 15619-20,</w:t>
      </w:r>
      <w:r w:rsidRPr="009C69E7">
        <w:rPr>
          <w:sz w:val="20"/>
          <w:szCs w:val="20"/>
        </w:rPr>
        <w:t xml:space="preserve"> ¶</w:t>
      </w:r>
      <w:r w:rsidR="0018727E">
        <w:rPr>
          <w:sz w:val="20"/>
          <w:szCs w:val="20"/>
        </w:rPr>
        <w:t xml:space="preserve"> </w:t>
      </w:r>
      <w:r w:rsidRPr="009C69E7">
        <w:rPr>
          <w:sz w:val="20"/>
          <w:szCs w:val="20"/>
        </w:rPr>
        <w:t>74.</w:t>
      </w:r>
    </w:p>
  </w:footnote>
  <w:footnote w:id="58">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15618, ¶ 70.</w:t>
      </w:r>
    </w:p>
  </w:footnote>
  <w:footnote w:id="59">
    <w:p w:rsidR="001718E9" w:rsidRPr="009C69E7" w:rsidRDefault="001718E9">
      <w:pPr>
        <w:pStyle w:val="FootnoteText"/>
        <w:rPr>
          <w:i/>
          <w:sz w:val="20"/>
          <w:szCs w:val="20"/>
        </w:rPr>
      </w:pPr>
      <w:r w:rsidRPr="009C69E7">
        <w:rPr>
          <w:rStyle w:val="FootnoteReference"/>
          <w:sz w:val="20"/>
          <w:szCs w:val="20"/>
        </w:rPr>
        <w:footnoteRef/>
      </w:r>
      <w:r w:rsidRPr="009C69E7">
        <w:rPr>
          <w:sz w:val="20"/>
          <w:szCs w:val="20"/>
        </w:rPr>
        <w:t xml:space="preserve"> </w:t>
      </w:r>
      <w:r w:rsidRPr="009C69E7">
        <w:rPr>
          <w:i/>
          <w:sz w:val="20"/>
          <w:szCs w:val="20"/>
        </w:rPr>
        <w:t>See id.</w:t>
      </w:r>
    </w:p>
  </w:footnote>
  <w:footnote w:id="60">
    <w:p w:rsidR="001718E9" w:rsidRPr="009C69E7" w:rsidRDefault="001718E9" w:rsidP="00D440ED">
      <w:pPr>
        <w:pStyle w:val="FootnoteText"/>
        <w:rPr>
          <w:sz w:val="20"/>
          <w:szCs w:val="20"/>
        </w:rPr>
      </w:pPr>
      <w:r w:rsidRPr="009C69E7">
        <w:rPr>
          <w:rStyle w:val="FootnoteReference"/>
          <w:sz w:val="20"/>
          <w:szCs w:val="20"/>
        </w:rPr>
        <w:footnoteRef/>
      </w:r>
      <w:r w:rsidRPr="009C69E7">
        <w:rPr>
          <w:sz w:val="20"/>
          <w:szCs w:val="20"/>
        </w:rPr>
        <w:t xml:space="preserve"> </w:t>
      </w:r>
      <w:proofErr w:type="gramStart"/>
      <w:r w:rsidRPr="009C69E7">
        <w:rPr>
          <w:i/>
          <w:sz w:val="20"/>
          <w:szCs w:val="20"/>
        </w:rPr>
        <w:t xml:space="preserve">See </w:t>
      </w:r>
      <w:r w:rsidRPr="009C69E7">
        <w:rPr>
          <w:sz w:val="20"/>
          <w:szCs w:val="20"/>
        </w:rPr>
        <w:t>Consolidated Utilities Association Comments at 12-14; Motorola Solutions Comments at 3; Microsoft Comments at 9.</w:t>
      </w:r>
      <w:proofErr w:type="gramEnd"/>
    </w:p>
  </w:footnote>
  <w:footnote w:id="61">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15619, ¶ 73.</w:t>
      </w:r>
    </w:p>
  </w:footnote>
  <w:footnote w:id="62">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infra </w:t>
      </w:r>
      <w:r w:rsidRPr="009C69E7">
        <w:rPr>
          <w:sz w:val="20"/>
          <w:szCs w:val="20"/>
        </w:rPr>
        <w:t>Section III (E).</w:t>
      </w:r>
    </w:p>
  </w:footnote>
  <w:footnote w:id="63">
    <w:p w:rsidR="001718E9" w:rsidRPr="009C69E7" w:rsidRDefault="001718E9" w:rsidP="00122126">
      <w:pPr>
        <w:pStyle w:val="FootnoteText"/>
        <w:rPr>
          <w:sz w:val="20"/>
          <w:szCs w:val="20"/>
        </w:rPr>
      </w:pPr>
      <w:r w:rsidRPr="009C69E7">
        <w:rPr>
          <w:rStyle w:val="FootnoteReference"/>
          <w:sz w:val="20"/>
          <w:szCs w:val="20"/>
        </w:rPr>
        <w:footnoteRef/>
      </w:r>
      <w:r w:rsidRPr="009C69E7">
        <w:rPr>
          <w:color w:val="000000"/>
          <w:sz w:val="20"/>
          <w:szCs w:val="20"/>
        </w:rPr>
        <w:t xml:space="preserve"> For example, users could implement aspects of the building RF shielding specifications set forth in the technical specifications for sensitive compartment information facilities.  </w:t>
      </w:r>
      <w:r w:rsidRPr="009C69E7">
        <w:rPr>
          <w:i/>
          <w:iCs/>
          <w:color w:val="000000"/>
          <w:sz w:val="20"/>
          <w:szCs w:val="20"/>
        </w:rPr>
        <w:t>See</w:t>
      </w:r>
      <w:r w:rsidRPr="009C69E7">
        <w:rPr>
          <w:color w:val="000000"/>
          <w:sz w:val="20"/>
          <w:szCs w:val="20"/>
        </w:rPr>
        <w:t xml:space="preserve"> Office of the National Counterintelligence Executive, Technical Specifications for Construction and Management of Sensitive Compartmented Information Facilities, Version 1.2, IC Tech Spec-for ICD/ICS 705 (Apr. 23, 2012), </w:t>
      </w:r>
      <w:r w:rsidRPr="009C69E7">
        <w:rPr>
          <w:sz w:val="20"/>
          <w:szCs w:val="20"/>
        </w:rPr>
        <w:t>http://www.ncix.gov/publications/policy/docs/Technical_Specifications_for_SCIF_Construction-</w:t>
      </w:r>
      <w:proofErr w:type="gramStart"/>
      <w:r w:rsidRPr="009C69E7">
        <w:rPr>
          <w:sz w:val="20"/>
          <w:szCs w:val="20"/>
        </w:rPr>
        <w:t xml:space="preserve">V1.2.pdf </w:t>
      </w:r>
      <w:r w:rsidR="00597BCD">
        <w:rPr>
          <w:sz w:val="20"/>
          <w:szCs w:val="20"/>
        </w:rPr>
        <w:t>.</w:t>
      </w:r>
      <w:proofErr w:type="gramEnd"/>
    </w:p>
  </w:footnote>
  <w:footnote w:id="64">
    <w:p w:rsidR="001718E9" w:rsidRPr="009C69E7" w:rsidRDefault="001718E9" w:rsidP="009C52CC">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15636-39, ¶¶ 128-143.</w:t>
      </w:r>
    </w:p>
  </w:footnote>
  <w:footnote w:id="65">
    <w:p w:rsidR="001718E9" w:rsidRPr="009C69E7" w:rsidRDefault="001718E9" w:rsidP="00534D92">
      <w:pPr>
        <w:pStyle w:val="FootnoteText"/>
        <w:tabs>
          <w:tab w:val="left" w:pos="8100"/>
        </w:tabs>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15620-22, ¶¶ 77-82.</w:t>
      </w:r>
      <w:r w:rsidRPr="009C69E7">
        <w:rPr>
          <w:sz w:val="20"/>
          <w:szCs w:val="20"/>
        </w:rPr>
        <w:tab/>
      </w:r>
    </w:p>
  </w:footnote>
  <w:footnote w:id="66">
    <w:p w:rsidR="001718E9" w:rsidRPr="009C69E7" w:rsidRDefault="001718E9" w:rsidP="00A1224C">
      <w:pPr>
        <w:pStyle w:val="FootnoteText"/>
        <w:tabs>
          <w:tab w:val="left" w:pos="2955"/>
        </w:tabs>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Third Generation Partnership Project (3GPP), LTE, Evolved Universal Terrestrial Radio Access (E-UTRA), TDD Home </w:t>
      </w:r>
      <w:proofErr w:type="spellStart"/>
      <w:r w:rsidRPr="009C69E7">
        <w:rPr>
          <w:sz w:val="20"/>
          <w:szCs w:val="20"/>
        </w:rPr>
        <w:t>eNode</w:t>
      </w:r>
      <w:proofErr w:type="spellEnd"/>
      <w:r w:rsidRPr="009C69E7">
        <w:rPr>
          <w:sz w:val="20"/>
          <w:szCs w:val="20"/>
        </w:rPr>
        <w:t xml:space="preserve"> B (</w:t>
      </w:r>
      <w:proofErr w:type="spellStart"/>
      <w:r w:rsidRPr="009C69E7">
        <w:rPr>
          <w:sz w:val="20"/>
          <w:szCs w:val="20"/>
        </w:rPr>
        <w:t>HeNB</w:t>
      </w:r>
      <w:proofErr w:type="spellEnd"/>
      <w:r w:rsidRPr="009C69E7">
        <w:rPr>
          <w:sz w:val="20"/>
          <w:szCs w:val="20"/>
        </w:rPr>
        <w:t xml:space="preserve">) Radio Frequency (RF) requirements analysis (Release 11), TR 36.922 v11.0.0 (2012-10), </w:t>
      </w:r>
      <w:r w:rsidRPr="009C69E7">
        <w:rPr>
          <w:i/>
          <w:sz w:val="20"/>
          <w:szCs w:val="20"/>
        </w:rPr>
        <w:t>available at</w:t>
      </w:r>
      <w:r w:rsidRPr="009C69E7">
        <w:rPr>
          <w:sz w:val="20"/>
          <w:szCs w:val="20"/>
        </w:rPr>
        <w:t xml:space="preserve"> </w:t>
      </w:r>
      <w:r w:rsidRPr="009C69E7">
        <w:rPr>
          <w:snapToGrid w:val="0"/>
          <w:kern w:val="28"/>
          <w:sz w:val="20"/>
          <w:szCs w:val="20"/>
        </w:rPr>
        <w:t xml:space="preserve">http://www.etsi.org/deliver/etsi_tr/136900_136999/136922/11.00.00_60/tr_136922v110000p.pdf (last visited August 30, 2013); </w:t>
      </w:r>
      <w:r w:rsidRPr="009C69E7">
        <w:rPr>
          <w:sz w:val="20"/>
          <w:szCs w:val="20"/>
        </w:rPr>
        <w:t xml:space="preserve">3GPP, Technical Specification Group Radio Access Network, Evolved Universal Terrestrial Radio Access (E-UTRA), Radio Frequency (RF) requirements for LTE Pico Node B (Release 9), TR 36.931 V9.0.0 (2009-12), </w:t>
      </w:r>
      <w:r w:rsidRPr="009C69E7">
        <w:rPr>
          <w:i/>
          <w:sz w:val="20"/>
          <w:szCs w:val="20"/>
        </w:rPr>
        <w:t>available at</w:t>
      </w:r>
      <w:r w:rsidRPr="009C69E7">
        <w:rPr>
          <w:sz w:val="20"/>
          <w:szCs w:val="20"/>
        </w:rPr>
        <w:t xml:space="preserve"> http://www.quintillion.co.jp/3GPP/Specs/36931-900.pdf (last visited August 30, 2013); 3GPP, LTE, Evolved Universal Terrestrial Radio Access (E-UTRA),User Equipment (UE) radio transmission and reception (Release 11) TS 36.101 version 11.4.0 (2013-04), </w:t>
      </w:r>
      <w:r w:rsidRPr="009C69E7">
        <w:rPr>
          <w:i/>
          <w:sz w:val="20"/>
          <w:szCs w:val="20"/>
        </w:rPr>
        <w:t>available at</w:t>
      </w:r>
      <w:r w:rsidRPr="009C69E7">
        <w:rPr>
          <w:sz w:val="20"/>
          <w:szCs w:val="20"/>
        </w:rPr>
        <w:t xml:space="preserve">: </w:t>
      </w:r>
      <w:r w:rsidRPr="009C69E7">
        <w:rPr>
          <w:snapToGrid w:val="0"/>
          <w:kern w:val="28"/>
          <w:sz w:val="20"/>
          <w:szCs w:val="20"/>
        </w:rPr>
        <w:t xml:space="preserve">http://www.etsi.org/deliver/etsi_ts/136100_136199/136101/11.04.00_60/ts_136101v110400p.pdf (last visited August 30, 2013);  </w:t>
      </w:r>
      <w:r w:rsidRPr="009C69E7">
        <w:rPr>
          <w:sz w:val="20"/>
          <w:szCs w:val="20"/>
        </w:rPr>
        <w:t xml:space="preserve">3GPP, LTE, Evolved Universal Terrestrial Radio Access (E-UTRA), Base Station (BS) radio transmission and reception (Release 11), TS 36.104 v11.4.0 (2013-03), </w:t>
      </w:r>
      <w:r w:rsidRPr="009C69E7">
        <w:rPr>
          <w:i/>
          <w:sz w:val="20"/>
          <w:szCs w:val="20"/>
        </w:rPr>
        <w:t>available at</w:t>
      </w:r>
      <w:r w:rsidRPr="009C69E7">
        <w:rPr>
          <w:sz w:val="20"/>
          <w:szCs w:val="20"/>
        </w:rPr>
        <w:t xml:space="preserve">: </w:t>
      </w:r>
      <w:r w:rsidRPr="009C69E7">
        <w:rPr>
          <w:snapToGrid w:val="0"/>
          <w:kern w:val="28"/>
          <w:sz w:val="20"/>
          <w:szCs w:val="20"/>
        </w:rPr>
        <w:t>http://www.etsi.org/deliver/etsi_ts/136100_136199/136104/11.04.00_60/ts_136104v110400p.pdf (last visited August 30, 2013).</w:t>
      </w:r>
    </w:p>
  </w:footnote>
  <w:footnote w:id="67">
    <w:p w:rsidR="008A3B96" w:rsidRPr="00751C68" w:rsidRDefault="008A3B96">
      <w:pPr>
        <w:pStyle w:val="FootnoteText"/>
        <w:rPr>
          <w:sz w:val="20"/>
          <w:szCs w:val="20"/>
        </w:rPr>
      </w:pPr>
      <w:r w:rsidRPr="00751C68">
        <w:rPr>
          <w:rStyle w:val="FootnoteReference"/>
          <w:sz w:val="20"/>
          <w:szCs w:val="20"/>
        </w:rPr>
        <w:footnoteRef/>
      </w:r>
      <w:r w:rsidRPr="00751C68">
        <w:rPr>
          <w:sz w:val="20"/>
          <w:szCs w:val="20"/>
        </w:rPr>
        <w:t xml:space="preserve"> </w:t>
      </w:r>
      <w:r w:rsidRPr="00751C68">
        <w:rPr>
          <w:i/>
          <w:sz w:val="20"/>
          <w:szCs w:val="20"/>
        </w:rPr>
        <w:t xml:space="preserve">See </w:t>
      </w:r>
      <w:proofErr w:type="spellStart"/>
      <w:r w:rsidRPr="00751C68">
        <w:rPr>
          <w:sz w:val="20"/>
          <w:szCs w:val="20"/>
        </w:rPr>
        <w:t>BLiNQ</w:t>
      </w:r>
      <w:proofErr w:type="spellEnd"/>
      <w:r w:rsidRPr="00751C68">
        <w:rPr>
          <w:sz w:val="20"/>
          <w:szCs w:val="20"/>
        </w:rPr>
        <w:t xml:space="preserve"> Networks, Inc., </w:t>
      </w:r>
      <w:r w:rsidRPr="00751C68">
        <w:rPr>
          <w:i/>
          <w:sz w:val="20"/>
          <w:szCs w:val="20"/>
        </w:rPr>
        <w:t>Ex Parte</w:t>
      </w:r>
      <w:r w:rsidRPr="00751C68">
        <w:rPr>
          <w:sz w:val="20"/>
          <w:szCs w:val="20"/>
        </w:rPr>
        <w:t>, GN Docket No. 12-354 (filed on September 6, 2013); WISPA Comments</w:t>
      </w:r>
      <w:r w:rsidR="00BF4BDE" w:rsidRPr="00751C68">
        <w:rPr>
          <w:sz w:val="20"/>
          <w:szCs w:val="20"/>
        </w:rPr>
        <w:t xml:space="preserve">; WISPA Comments at 11-14; Comments of </w:t>
      </w:r>
      <w:proofErr w:type="spellStart"/>
      <w:r w:rsidR="00BF4BDE" w:rsidRPr="00751C68">
        <w:rPr>
          <w:sz w:val="20"/>
          <w:szCs w:val="20"/>
        </w:rPr>
        <w:t>WiMAX</w:t>
      </w:r>
      <w:proofErr w:type="spellEnd"/>
      <w:r w:rsidR="00BF4BDE" w:rsidRPr="00751C68">
        <w:rPr>
          <w:sz w:val="20"/>
          <w:szCs w:val="20"/>
        </w:rPr>
        <w:t xml:space="preserve"> Forum in GN Docket No. 12-354 at 5-6 (</w:t>
      </w:r>
      <w:proofErr w:type="spellStart"/>
      <w:r w:rsidR="00BF4BDE" w:rsidRPr="00751C68">
        <w:rPr>
          <w:sz w:val="20"/>
          <w:szCs w:val="20"/>
        </w:rPr>
        <w:t>WiMAX</w:t>
      </w:r>
      <w:proofErr w:type="spellEnd"/>
      <w:r w:rsidR="00BF4BDE" w:rsidRPr="00751C68">
        <w:rPr>
          <w:sz w:val="20"/>
          <w:szCs w:val="20"/>
        </w:rPr>
        <w:t xml:space="preserve"> Forum Comments).</w:t>
      </w:r>
    </w:p>
  </w:footnote>
  <w:footnote w:id="68">
    <w:p w:rsidR="001718E9" w:rsidRPr="009C69E7" w:rsidRDefault="001718E9" w:rsidP="00B6048B">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FCC Technological Advisory Council, Receivers and Spectrum Working Group, Interference Limits Policy - The Use of Harm Claim Thresholds to Improve the Interference Tolerance of Wireless Systems, </w:t>
      </w:r>
      <w:r w:rsidRPr="009C69E7">
        <w:rPr>
          <w:i/>
          <w:sz w:val="20"/>
          <w:szCs w:val="20"/>
        </w:rPr>
        <w:t>White Paper</w:t>
      </w:r>
      <w:r w:rsidRPr="009C69E7">
        <w:rPr>
          <w:sz w:val="20"/>
          <w:szCs w:val="20"/>
        </w:rPr>
        <w:t xml:space="preserve"> (February 6, 2013), </w:t>
      </w:r>
      <w:r w:rsidRPr="009C69E7">
        <w:rPr>
          <w:i/>
          <w:sz w:val="20"/>
          <w:szCs w:val="20"/>
        </w:rPr>
        <w:t>available at</w:t>
      </w:r>
      <w:r w:rsidRPr="009C69E7">
        <w:rPr>
          <w:sz w:val="20"/>
          <w:szCs w:val="20"/>
        </w:rPr>
        <w:t>: http://transition.fcc.gov/bureaus/oet/tac/tacdocs/WhitePaperTACInterferenceLimitsv1.0.pdf (Last visited August 30, 2013).</w:t>
      </w:r>
    </w:p>
  </w:footnote>
  <w:footnote w:id="69">
    <w:p w:rsidR="001718E9" w:rsidRPr="009C69E7" w:rsidRDefault="001718E9" w:rsidP="00C936B8">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Office of Engineering and Technology Invites Comments on Technological Advisory Council (TAC) White Paper and Recommendations for Improving Receiver Performance, </w:t>
      </w:r>
      <w:r w:rsidRPr="009C69E7">
        <w:rPr>
          <w:i/>
          <w:sz w:val="20"/>
          <w:szCs w:val="20"/>
        </w:rPr>
        <w:t>Public Notice</w:t>
      </w:r>
      <w:r w:rsidRPr="009C69E7">
        <w:rPr>
          <w:sz w:val="20"/>
          <w:szCs w:val="20"/>
        </w:rPr>
        <w:t xml:space="preserve">, ET Docket No. 13-101, </w:t>
      </w:r>
      <w:proofErr w:type="gramStart"/>
      <w:r w:rsidRPr="009C69E7">
        <w:rPr>
          <w:sz w:val="20"/>
          <w:szCs w:val="20"/>
        </w:rPr>
        <w:t>DA 13-801</w:t>
      </w:r>
      <w:proofErr w:type="gramEnd"/>
      <w:r w:rsidRPr="009C69E7">
        <w:rPr>
          <w:sz w:val="20"/>
          <w:szCs w:val="20"/>
        </w:rPr>
        <w:t xml:space="preserve"> (April 22, 2013).</w:t>
      </w:r>
    </w:p>
  </w:footnote>
  <w:footnote w:id="70">
    <w:p w:rsidR="001718E9" w:rsidRPr="009C69E7" w:rsidRDefault="001718E9">
      <w:pPr>
        <w:pStyle w:val="FootnoteText"/>
        <w:rPr>
          <w:sz w:val="20"/>
          <w:szCs w:val="20"/>
        </w:rPr>
      </w:pPr>
      <w:r w:rsidRPr="009C69E7">
        <w:rPr>
          <w:rStyle w:val="FootnoteReference"/>
          <w:sz w:val="20"/>
          <w:szCs w:val="20"/>
        </w:rPr>
        <w:footnoteRef/>
      </w:r>
      <w:r w:rsidRPr="009C69E7">
        <w:rPr>
          <w:sz w:val="20"/>
          <w:szCs w:val="20"/>
        </w:rPr>
        <w:t xml:space="preserve"> </w:t>
      </w:r>
      <w:r w:rsidRPr="009C69E7">
        <w:rPr>
          <w:i/>
          <w:sz w:val="20"/>
          <w:szCs w:val="20"/>
        </w:rPr>
        <w:t xml:space="preserve">See </w:t>
      </w:r>
      <w:r w:rsidRPr="009C69E7">
        <w:rPr>
          <w:sz w:val="20"/>
          <w:szCs w:val="20"/>
        </w:rPr>
        <w:t xml:space="preserve">3.5 GHz NPRM, 27 FCC </w:t>
      </w:r>
      <w:proofErr w:type="spellStart"/>
      <w:r w:rsidRPr="009C69E7">
        <w:rPr>
          <w:sz w:val="20"/>
          <w:szCs w:val="20"/>
        </w:rPr>
        <w:t>Rcd</w:t>
      </w:r>
      <w:proofErr w:type="spellEnd"/>
      <w:r w:rsidRPr="009C69E7">
        <w:rPr>
          <w:sz w:val="20"/>
          <w:szCs w:val="20"/>
        </w:rPr>
        <w:t xml:space="preserve"> at 15620-22, ¶¶ 77-82.</w:t>
      </w:r>
    </w:p>
  </w:footnote>
  <w:footnote w:id="71">
    <w:p w:rsidR="001718E9" w:rsidRPr="009C69E7" w:rsidRDefault="001718E9">
      <w:pPr>
        <w:pStyle w:val="FootnoteText"/>
        <w:rPr>
          <w:sz w:val="20"/>
          <w:szCs w:val="20"/>
        </w:rPr>
      </w:pPr>
      <w:r w:rsidRPr="009C69E7">
        <w:rPr>
          <w:rStyle w:val="FootnoteReference"/>
          <w:sz w:val="20"/>
          <w:szCs w:val="20"/>
        </w:rPr>
        <w:footnoteRef/>
      </w:r>
      <w:r w:rsidR="00D53F3A">
        <w:rPr>
          <w:i/>
          <w:sz w:val="20"/>
          <w:szCs w:val="20"/>
        </w:rPr>
        <w:t xml:space="preserve"> </w:t>
      </w:r>
      <w:r w:rsidRPr="009C69E7">
        <w:rPr>
          <w:i/>
          <w:sz w:val="20"/>
          <w:szCs w:val="20"/>
        </w:rPr>
        <w:t>See</w:t>
      </w:r>
      <w:r w:rsidR="00597BCD">
        <w:rPr>
          <w:i/>
          <w:sz w:val="20"/>
          <w:szCs w:val="20"/>
        </w:rPr>
        <w:t>,</w:t>
      </w:r>
      <w:r w:rsidRPr="009C69E7">
        <w:rPr>
          <w:i/>
          <w:sz w:val="20"/>
          <w:szCs w:val="20"/>
        </w:rPr>
        <w:t xml:space="preserve"> e.g.</w:t>
      </w:r>
      <w:r w:rsidR="009515A2">
        <w:rPr>
          <w:sz w:val="20"/>
          <w:szCs w:val="20"/>
        </w:rPr>
        <w:t>,</w:t>
      </w:r>
      <w:r w:rsidRPr="009C69E7">
        <w:rPr>
          <w:i/>
          <w:sz w:val="20"/>
          <w:szCs w:val="20"/>
        </w:rPr>
        <w:t xml:space="preserve"> </w:t>
      </w:r>
      <w:r w:rsidRPr="009C69E7">
        <w:rPr>
          <w:sz w:val="20"/>
          <w:szCs w:val="20"/>
        </w:rPr>
        <w:t>Comments of Cambium Networks LLC in GN Docket No. 12-354 at 3; Google Comments at 11 and 13; ITT Comments at 5; Motorola Solutions Comments at 4; Comments of the National Association of Broadcasters in GN Docket No. 12-354 at 3-4; Qualcomm Comments at 19; Comments of the Wireless Internet Service Providers Association in GN Docket No. 12-354 at 19; Verizon Reply Comments at 3</w:t>
      </w:r>
      <w:r w:rsidR="00BF4BDE">
        <w:rPr>
          <w:sz w:val="20"/>
          <w:szCs w:val="20"/>
        </w:rPr>
        <w:t xml:space="preserve">; </w:t>
      </w:r>
      <w:proofErr w:type="spellStart"/>
      <w:r w:rsidR="00BF4BDE">
        <w:rPr>
          <w:sz w:val="20"/>
          <w:szCs w:val="20"/>
        </w:rPr>
        <w:t>WiMAX</w:t>
      </w:r>
      <w:proofErr w:type="spellEnd"/>
      <w:r w:rsidR="00BF4BDE">
        <w:rPr>
          <w:sz w:val="20"/>
          <w:szCs w:val="20"/>
        </w:rPr>
        <w:t xml:space="preserve"> Forum Comments at 7-8.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AC" w:rsidRDefault="00F90C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8E9" w:rsidRDefault="001718E9">
    <w:pPr>
      <w:spacing w:after="389" w:line="100" w:lineRule="exact"/>
      <w:rPr>
        <w:sz w:val="1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8E9" w:rsidRPr="00016C77" w:rsidRDefault="001718E9" w:rsidP="00016C77">
    <w:pPr>
      <w:pStyle w:val="Header"/>
    </w:pPr>
    <w:r w:rsidRPr="00016C77">
      <w:rPr>
        <w:noProof/>
        <w:snapToGrid/>
      </w:rPr>
      <w:drawing>
        <wp:anchor distT="0" distB="0" distL="114300" distR="114300" simplePos="0" relativeHeight="251659776" behindDoc="0" locked="0" layoutInCell="0" allowOverlap="1" wp14:anchorId="7E99254B" wp14:editId="5438BBEF">
          <wp:simplePos x="0" y="0"/>
          <wp:positionH relativeFrom="column">
            <wp:posOffset>30480</wp:posOffset>
          </wp:positionH>
          <wp:positionV relativeFrom="paragraph">
            <wp:posOffset>107950</wp:posOffset>
          </wp:positionV>
          <wp:extent cx="530225" cy="530225"/>
          <wp:effectExtent l="0" t="0" r="3175" b="3175"/>
          <wp:wrapTopAndBottom/>
          <wp:docPr id="10" name="Picture 10"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anchor>
      </w:drawing>
    </w:r>
    <w:r w:rsidRPr="00016C77">
      <w:t>PUBLIC NOTICE</w:t>
    </w:r>
  </w:p>
  <w:p w:rsidR="001718E9" w:rsidRDefault="00890BDF" w:rsidP="00016C77">
    <w:pPr>
      <w:pStyle w:val="Header"/>
      <w:rPr>
        <w:sz w:val="28"/>
      </w:rPr>
    </w:pPr>
    <w:r>
      <w:rPr>
        <w:noProof/>
        <w:snapToGrid/>
      </w:rPr>
      <mc:AlternateContent>
        <mc:Choice Requires="wps">
          <w:drawing>
            <wp:anchor distT="0" distB="0" distL="114300" distR="114300" simplePos="0" relativeHeight="251658752" behindDoc="0" locked="0" layoutInCell="0" allowOverlap="1" wp14:anchorId="160AC8AF" wp14:editId="36C199C5">
              <wp:simplePos x="0" y="0"/>
              <wp:positionH relativeFrom="column">
                <wp:posOffset>3380740</wp:posOffset>
              </wp:positionH>
              <wp:positionV relativeFrom="paragraph">
                <wp:posOffset>134620</wp:posOffset>
              </wp:positionV>
              <wp:extent cx="2640965" cy="548640"/>
              <wp:effectExtent l="0" t="0" r="698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8E9" w:rsidRDefault="001718E9" w:rsidP="00C82B6B">
                          <w:pPr>
                            <w:spacing w:before="40"/>
                            <w:jc w:val="right"/>
                            <w:rPr>
                              <w:rFonts w:ascii="Arial" w:hAnsi="Arial"/>
                              <w:b/>
                              <w:sz w:val="16"/>
                            </w:rPr>
                          </w:pPr>
                          <w:r>
                            <w:rPr>
                              <w:rFonts w:ascii="Arial" w:hAnsi="Arial"/>
                              <w:b/>
                              <w:sz w:val="16"/>
                            </w:rPr>
                            <w:t>News Media Information 202 / 418-0500</w:t>
                          </w:r>
                        </w:p>
                        <w:p w:rsidR="001718E9" w:rsidRDefault="001718E9" w:rsidP="00C82B6B">
                          <w:pPr>
                            <w:jc w:val="right"/>
                            <w:rPr>
                              <w:rFonts w:ascii="Arial" w:hAnsi="Arial"/>
                              <w:b/>
                              <w:sz w:val="16"/>
                            </w:rPr>
                          </w:pPr>
                          <w:r>
                            <w:rPr>
                              <w:rFonts w:ascii="Arial" w:hAnsi="Arial"/>
                              <w:b/>
                              <w:sz w:val="16"/>
                            </w:rPr>
                            <w:tab/>
                            <w:t xml:space="preserve">Internet: </w:t>
                          </w:r>
                          <w:bookmarkStart w:id="129" w:name="_Hlt233824"/>
                          <w:r>
                            <w:rPr>
                              <w:rFonts w:ascii="Arial" w:hAnsi="Arial"/>
                              <w:b/>
                              <w:sz w:val="16"/>
                            </w:rPr>
                            <w:t>h</w:t>
                          </w:r>
                          <w:bookmarkEnd w:id="129"/>
                          <w:r>
                            <w:rPr>
                              <w:rFonts w:ascii="Arial" w:hAnsi="Arial"/>
                              <w:b/>
                              <w:sz w:val="16"/>
                            </w:rPr>
                            <w:t>ttp://www.fcc.gov</w:t>
                          </w:r>
                        </w:p>
                        <w:p w:rsidR="001718E9" w:rsidRDefault="001718E9" w:rsidP="00C82B6B">
                          <w:pPr>
                            <w:jc w:val="right"/>
                            <w:rPr>
                              <w:rFonts w:ascii="Arial" w:hAnsi="Arial"/>
                              <w:b/>
                              <w:sz w:val="16"/>
                            </w:rPr>
                          </w:pPr>
                          <w:r>
                            <w:rPr>
                              <w:rFonts w:ascii="Arial" w:hAnsi="Arial"/>
                              <w:b/>
                              <w:sz w:val="16"/>
                            </w:rPr>
                            <w:t>TTY: 1-888-835-5322</w:t>
                          </w:r>
                        </w:p>
                        <w:p w:rsidR="001718E9" w:rsidRDefault="001718E9" w:rsidP="00C82B6B">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6.2pt;margin-top:10.6pt;width:207.95pt;height:4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" o:allowincell="f" stroked="f">
              <v:textbox inset=",0,,0">
                <w:txbxContent>
                  <w:p w:rsidR="001718E9" w:rsidRDefault="001718E9" w:rsidP="00C82B6B">
                    <w:pPr>
                      <w:spacing w:before="40"/>
                      <w:jc w:val="right"/>
                      <w:rPr>
                        <w:rFonts w:ascii="Arial" w:hAnsi="Arial"/>
                        <w:b/>
                        <w:sz w:val="16"/>
                      </w:rPr>
                    </w:pPr>
                    <w:r>
                      <w:rPr>
                        <w:rFonts w:ascii="Arial" w:hAnsi="Arial"/>
                        <w:b/>
                        <w:sz w:val="16"/>
                      </w:rPr>
                      <w:t>News Media Information 202 / 418-0500</w:t>
                    </w:r>
                  </w:p>
                  <w:p w:rsidR="001718E9" w:rsidRDefault="001718E9" w:rsidP="00C82B6B">
                    <w:pPr>
                      <w:jc w:val="right"/>
                      <w:rPr>
                        <w:rFonts w:ascii="Arial" w:hAnsi="Arial"/>
                        <w:b/>
                        <w:sz w:val="16"/>
                      </w:rPr>
                    </w:pPr>
                    <w:r>
                      <w:rPr>
                        <w:rFonts w:ascii="Arial" w:hAnsi="Arial"/>
                        <w:b/>
                        <w:sz w:val="16"/>
                      </w:rPr>
                      <w:tab/>
                      <w:t xml:space="preserve">Internet: </w:t>
                    </w:r>
                    <w:bookmarkStart w:id="130" w:name="_Hlt233824"/>
                    <w:r>
                      <w:rPr>
                        <w:rFonts w:ascii="Arial" w:hAnsi="Arial"/>
                        <w:b/>
                        <w:sz w:val="16"/>
                      </w:rPr>
                      <w:t>h</w:t>
                    </w:r>
                    <w:bookmarkEnd w:id="130"/>
                    <w:r>
                      <w:rPr>
                        <w:rFonts w:ascii="Arial" w:hAnsi="Arial"/>
                        <w:b/>
                        <w:sz w:val="16"/>
                      </w:rPr>
                      <w:t>ttp://www.fcc.gov</w:t>
                    </w:r>
                  </w:p>
                  <w:p w:rsidR="001718E9" w:rsidRDefault="001718E9" w:rsidP="00C82B6B">
                    <w:pPr>
                      <w:jc w:val="right"/>
                      <w:rPr>
                        <w:rFonts w:ascii="Arial" w:hAnsi="Arial"/>
                        <w:b/>
                        <w:sz w:val="16"/>
                      </w:rPr>
                    </w:pPr>
                    <w:r>
                      <w:rPr>
                        <w:rFonts w:ascii="Arial" w:hAnsi="Arial"/>
                        <w:b/>
                        <w:sz w:val="16"/>
                      </w:rPr>
                      <w:t>TTY: 1-888-835-5322</w:t>
                    </w:r>
                  </w:p>
                  <w:p w:rsidR="001718E9" w:rsidRDefault="001718E9" w:rsidP="00C82B6B">
                    <w:pPr>
                      <w:jc w:val="right"/>
                    </w:pPr>
                  </w:p>
                </w:txbxContent>
              </v:textbox>
            </v:shape>
          </w:pict>
        </mc:Fallback>
      </mc:AlternateContent>
    </w:r>
    <w:r>
      <w:rPr>
        <w:noProof/>
        <w:snapToGrid/>
      </w:rPr>
      <mc:AlternateContent>
        <mc:Choice Requires="wps">
          <w:drawing>
            <wp:anchor distT="0" distB="0" distL="114300" distR="114300" simplePos="0" relativeHeight="251656704" behindDoc="0" locked="0" layoutInCell="0" allowOverlap="1" wp14:anchorId="40269294" wp14:editId="22D21E92">
              <wp:simplePos x="0" y="0"/>
              <wp:positionH relativeFrom="column">
                <wp:posOffset>-33655</wp:posOffset>
              </wp:positionH>
              <wp:positionV relativeFrom="paragraph">
                <wp:posOffset>34290</wp:posOffset>
              </wp:positionV>
              <wp:extent cx="3108960" cy="64008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8E9" w:rsidRDefault="001718E9" w:rsidP="00C82B6B">
                          <w:pPr>
                            <w:rPr>
                              <w:rFonts w:ascii="Arial" w:hAnsi="Arial"/>
                              <w:b/>
                            </w:rPr>
                          </w:pPr>
                          <w:r>
                            <w:rPr>
                              <w:rFonts w:ascii="Arial" w:hAnsi="Arial"/>
                              <w:b/>
                            </w:rPr>
                            <w:t>Federal Communications Commission</w:t>
                          </w:r>
                        </w:p>
                        <w:p w:rsidR="001718E9" w:rsidRDefault="001718E9" w:rsidP="00C82B6B">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1718E9" w:rsidRDefault="001718E9" w:rsidP="00C82B6B">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5pt;margin-top:2.7pt;width:244.8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61hA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" o:allowincell="f" stroked="f">
              <v:textbox>
                <w:txbxContent>
                  <w:p w:rsidR="001718E9" w:rsidRDefault="001718E9" w:rsidP="00C82B6B">
                    <w:pPr>
                      <w:rPr>
                        <w:rFonts w:ascii="Arial" w:hAnsi="Arial"/>
                        <w:b/>
                      </w:rPr>
                    </w:pPr>
                    <w:r>
                      <w:rPr>
                        <w:rFonts w:ascii="Arial" w:hAnsi="Arial"/>
                        <w:b/>
                      </w:rPr>
                      <w:t>Federal Communications Commission</w:t>
                    </w:r>
                  </w:p>
                  <w:p w:rsidR="001718E9" w:rsidRDefault="001718E9" w:rsidP="00C82B6B">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1718E9" w:rsidRDefault="001718E9" w:rsidP="00C82B6B">
                    <w:pPr>
                      <w:rPr>
                        <w:rFonts w:ascii="Arial" w:hAnsi="Arial"/>
                        <w:sz w:val="24"/>
                      </w:rPr>
                    </w:pPr>
                    <w:r>
                      <w:rPr>
                        <w:rFonts w:ascii="Arial" w:hAnsi="Arial"/>
                        <w:b/>
                      </w:rPr>
                      <w:t>Washington, D.C. 20554</w:t>
                    </w:r>
                  </w:p>
                </w:txbxContent>
              </v:textbox>
            </v:shape>
          </w:pict>
        </mc:Fallback>
      </mc:AlternateContent>
    </w:r>
  </w:p>
  <w:p w:rsidR="001718E9" w:rsidRPr="00C82B6B" w:rsidRDefault="0012552F" w:rsidP="00016C77">
    <w:pPr>
      <w:pStyle w:val="Header"/>
    </w:pPr>
    <w:r>
      <w:rPr>
        <w:noProof/>
        <w:snapToGrid/>
      </w:rPr>
      <mc:AlternateContent>
        <mc:Choice Requires="wps">
          <w:drawing>
            <wp:anchor distT="0" distB="0" distL="114300" distR="114300" simplePos="0" relativeHeight="251657728" behindDoc="0" locked="0" layoutInCell="0" allowOverlap="1" wp14:anchorId="3770BA3F" wp14:editId="7AA5D3BB">
              <wp:simplePos x="0" y="0"/>
              <wp:positionH relativeFrom="column">
                <wp:posOffset>28575</wp:posOffset>
              </wp:positionH>
              <wp:positionV relativeFrom="paragraph">
                <wp:posOffset>493395</wp:posOffset>
              </wp:positionV>
              <wp:extent cx="5943600" cy="2540"/>
              <wp:effectExtent l="0" t="0" r="19050" b="355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8.85pt" to="470.2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D8FgIAACs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" o:allowincell="f"/>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658"/>
    <w:multiLevelType w:val="hybridMultilevel"/>
    <w:tmpl w:val="A59E262C"/>
    <w:lvl w:ilvl="0" w:tplc="04090005">
      <w:start w:val="1"/>
      <w:numFmt w:val="bullet"/>
      <w:lvlText w:val=""/>
      <w:lvlJc w:val="left"/>
      <w:pPr>
        <w:tabs>
          <w:tab w:val="num" w:pos="720"/>
        </w:tabs>
        <w:ind w:left="720" w:hanging="360"/>
      </w:pPr>
      <w:rPr>
        <w:rFonts w:ascii="Wingdings" w:hAnsi="Wingdings" w:hint="default"/>
      </w:rPr>
    </w:lvl>
    <w:lvl w:ilvl="1" w:tplc="2F8C68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225E179C"/>
    <w:multiLevelType w:val="hybridMultilevel"/>
    <w:tmpl w:val="E3DCE9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4">
    <w:nsid w:val="248246F3"/>
    <w:multiLevelType w:val="singleLevel"/>
    <w:tmpl w:val="B1F45678"/>
    <w:lvl w:ilvl="0">
      <w:start w:val="1"/>
      <w:numFmt w:val="decimal"/>
      <w:lvlText w:val="%1."/>
      <w:lvlJc w:val="left"/>
      <w:pPr>
        <w:tabs>
          <w:tab w:val="num" w:pos="1080"/>
        </w:tabs>
        <w:ind w:left="0" w:firstLine="720"/>
      </w:pPr>
    </w:lvl>
  </w:abstractNum>
  <w:abstractNum w:abstractNumId="5">
    <w:nsid w:val="27E06CBB"/>
    <w:multiLevelType w:val="multilevel"/>
    <w:tmpl w:val="88F8008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nsid w:val="38333CB5"/>
    <w:multiLevelType w:val="hybridMultilevel"/>
    <w:tmpl w:val="7B9A5D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4FF77B77"/>
    <w:multiLevelType w:val="hybridMultilevel"/>
    <w:tmpl w:val="96D055B4"/>
    <w:lvl w:ilvl="0" w:tplc="98940042">
      <w:start w:val="1"/>
      <w:numFmt w:val="lowerLetter"/>
      <w:lvlText w:val="(%1)"/>
      <w:lvlJc w:val="left"/>
      <w:pPr>
        <w:tabs>
          <w:tab w:val="num" w:pos="720"/>
        </w:tabs>
        <w:ind w:left="720" w:hanging="360"/>
      </w:pPr>
      <w:rPr>
        <w:rFonts w:cs="Times New Roman" w:hint="default"/>
      </w:rPr>
    </w:lvl>
    <w:lvl w:ilvl="1" w:tplc="2F8C687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53F22E7"/>
    <w:multiLevelType w:val="hybridMultilevel"/>
    <w:tmpl w:val="E1D2BD74"/>
    <w:lvl w:ilvl="0" w:tplc="5C6E7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182925"/>
    <w:multiLevelType w:val="singleLevel"/>
    <w:tmpl w:val="A808DDF0"/>
    <w:lvl w:ilvl="0">
      <w:start w:val="1"/>
      <w:numFmt w:val="decimal"/>
      <w:pStyle w:val="ParaNum"/>
      <w:lvlText w:val="%1."/>
      <w:lvlJc w:val="left"/>
      <w:pPr>
        <w:tabs>
          <w:tab w:val="num" w:pos="720"/>
        </w:tabs>
        <w:ind w:left="0" w:firstLine="720"/>
      </w:pPr>
      <w:rPr>
        <w:rFonts w:hint="default"/>
      </w:rPr>
    </w:lvl>
  </w:abstractNum>
  <w:abstractNum w:abstractNumId="11">
    <w:nsid w:val="70391286"/>
    <w:multiLevelType w:val="hybridMultilevel"/>
    <w:tmpl w:val="A072DF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0406EE"/>
    <w:multiLevelType w:val="hybridMultilevel"/>
    <w:tmpl w:val="749E4CE6"/>
    <w:lvl w:ilvl="0" w:tplc="04090005">
      <w:start w:val="1"/>
      <w:numFmt w:val="bullet"/>
      <w:lvlText w:val=""/>
      <w:lvlJc w:val="left"/>
      <w:pPr>
        <w:tabs>
          <w:tab w:val="num" w:pos="1440"/>
        </w:tabs>
        <w:ind w:left="1440" w:hanging="360"/>
      </w:pPr>
      <w:rPr>
        <w:rFonts w:ascii="Wingdings" w:hAnsi="Wingdings" w:hint="default"/>
      </w:rPr>
    </w:lvl>
    <w:lvl w:ilvl="1" w:tplc="2F8C687A">
      <w:start w:val="1"/>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1BF295AE">
      <w:numFmt w:val="bullet"/>
      <w:lvlText w:val="-"/>
      <w:lvlJc w:val="left"/>
      <w:pPr>
        <w:tabs>
          <w:tab w:val="num" w:pos="1440"/>
        </w:tabs>
        <w:ind w:left="1440" w:hanging="360"/>
      </w:pPr>
      <w:rPr>
        <w:rFonts w:ascii="Times New Roman" w:eastAsia="Times New Roman" w:hAnsi="Times New Roman" w:hint="default"/>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10"/>
  </w:num>
  <w:num w:numId="3">
    <w:abstractNumId w:val="5"/>
  </w:num>
  <w:num w:numId="4">
    <w:abstractNumId w:val="7"/>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0"/>
  </w:num>
  <w:num w:numId="11">
    <w:abstractNumId w:val="8"/>
  </w:num>
  <w:num w:numId="12">
    <w:abstractNumId w:val="0"/>
  </w:num>
  <w:num w:numId="13">
    <w:abstractNumId w:val="1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removePersonalInformation/>
  <w:removeDateAndTime/>
  <w:bordersDoNotSurroundHeader/>
  <w:bordersDoNotSurroundFooter/>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13"/>
    <w:rsid w:val="000062C0"/>
    <w:rsid w:val="000077AE"/>
    <w:rsid w:val="00014E84"/>
    <w:rsid w:val="00015CA3"/>
    <w:rsid w:val="000165BB"/>
    <w:rsid w:val="00016C77"/>
    <w:rsid w:val="0002073C"/>
    <w:rsid w:val="00022D21"/>
    <w:rsid w:val="00026230"/>
    <w:rsid w:val="00030698"/>
    <w:rsid w:val="00033CDA"/>
    <w:rsid w:val="00036039"/>
    <w:rsid w:val="00037F90"/>
    <w:rsid w:val="00043182"/>
    <w:rsid w:val="00043B6C"/>
    <w:rsid w:val="00044D84"/>
    <w:rsid w:val="00045412"/>
    <w:rsid w:val="0004678D"/>
    <w:rsid w:val="00047764"/>
    <w:rsid w:val="00054D0F"/>
    <w:rsid w:val="0005512C"/>
    <w:rsid w:val="0006048B"/>
    <w:rsid w:val="00063344"/>
    <w:rsid w:val="0006343D"/>
    <w:rsid w:val="00063F8C"/>
    <w:rsid w:val="000763BC"/>
    <w:rsid w:val="00076E62"/>
    <w:rsid w:val="00077CAB"/>
    <w:rsid w:val="00087268"/>
    <w:rsid w:val="000872C6"/>
    <w:rsid w:val="000875BF"/>
    <w:rsid w:val="000876D4"/>
    <w:rsid w:val="00095DB1"/>
    <w:rsid w:val="00096D8C"/>
    <w:rsid w:val="00097917"/>
    <w:rsid w:val="00097DC0"/>
    <w:rsid w:val="000A4F19"/>
    <w:rsid w:val="000B00BC"/>
    <w:rsid w:val="000B3A76"/>
    <w:rsid w:val="000B68DF"/>
    <w:rsid w:val="000B6E27"/>
    <w:rsid w:val="000C0B65"/>
    <w:rsid w:val="000C44A2"/>
    <w:rsid w:val="000D12A4"/>
    <w:rsid w:val="000D2228"/>
    <w:rsid w:val="000D385F"/>
    <w:rsid w:val="000D4817"/>
    <w:rsid w:val="000D772A"/>
    <w:rsid w:val="000E0A26"/>
    <w:rsid w:val="000E3708"/>
    <w:rsid w:val="000E3D42"/>
    <w:rsid w:val="000E5884"/>
    <w:rsid w:val="000E674F"/>
    <w:rsid w:val="000E75BE"/>
    <w:rsid w:val="000E7FB8"/>
    <w:rsid w:val="000F34C3"/>
    <w:rsid w:val="000F5332"/>
    <w:rsid w:val="00100782"/>
    <w:rsid w:val="001071A6"/>
    <w:rsid w:val="0011557A"/>
    <w:rsid w:val="00117EE4"/>
    <w:rsid w:val="00122126"/>
    <w:rsid w:val="001226EB"/>
    <w:rsid w:val="00122BD5"/>
    <w:rsid w:val="00124057"/>
    <w:rsid w:val="0012552F"/>
    <w:rsid w:val="00134B07"/>
    <w:rsid w:val="00143595"/>
    <w:rsid w:val="00151839"/>
    <w:rsid w:val="00163209"/>
    <w:rsid w:val="0016588B"/>
    <w:rsid w:val="001701C1"/>
    <w:rsid w:val="001718E9"/>
    <w:rsid w:val="00171EBE"/>
    <w:rsid w:val="0017273D"/>
    <w:rsid w:val="001735DB"/>
    <w:rsid w:val="00173E12"/>
    <w:rsid w:val="001769FA"/>
    <w:rsid w:val="00181271"/>
    <w:rsid w:val="001818FF"/>
    <w:rsid w:val="00183B27"/>
    <w:rsid w:val="0018727E"/>
    <w:rsid w:val="00190030"/>
    <w:rsid w:val="00195F87"/>
    <w:rsid w:val="001A048B"/>
    <w:rsid w:val="001A247D"/>
    <w:rsid w:val="001A539F"/>
    <w:rsid w:val="001B15F7"/>
    <w:rsid w:val="001B284C"/>
    <w:rsid w:val="001B5144"/>
    <w:rsid w:val="001B6F52"/>
    <w:rsid w:val="001C1F96"/>
    <w:rsid w:val="001C323C"/>
    <w:rsid w:val="001C64F4"/>
    <w:rsid w:val="001D6BCF"/>
    <w:rsid w:val="001E01CA"/>
    <w:rsid w:val="001E379A"/>
    <w:rsid w:val="001E5E18"/>
    <w:rsid w:val="001E7067"/>
    <w:rsid w:val="001F3820"/>
    <w:rsid w:val="001F3ED6"/>
    <w:rsid w:val="001F5674"/>
    <w:rsid w:val="001F624D"/>
    <w:rsid w:val="001F6531"/>
    <w:rsid w:val="002013BE"/>
    <w:rsid w:val="00211CBC"/>
    <w:rsid w:val="00212DCD"/>
    <w:rsid w:val="00214484"/>
    <w:rsid w:val="00214B1B"/>
    <w:rsid w:val="00216797"/>
    <w:rsid w:val="00220208"/>
    <w:rsid w:val="00220E03"/>
    <w:rsid w:val="00220F9B"/>
    <w:rsid w:val="00221864"/>
    <w:rsid w:val="00226822"/>
    <w:rsid w:val="002300C3"/>
    <w:rsid w:val="002315F9"/>
    <w:rsid w:val="00233A8A"/>
    <w:rsid w:val="00242941"/>
    <w:rsid w:val="00242E6C"/>
    <w:rsid w:val="002432B5"/>
    <w:rsid w:val="00250CCF"/>
    <w:rsid w:val="00251CF0"/>
    <w:rsid w:val="00254061"/>
    <w:rsid w:val="00255FCD"/>
    <w:rsid w:val="00257EBC"/>
    <w:rsid w:val="00257F3F"/>
    <w:rsid w:val="002643BA"/>
    <w:rsid w:val="0026502F"/>
    <w:rsid w:val="002653F9"/>
    <w:rsid w:val="002665BD"/>
    <w:rsid w:val="002667CA"/>
    <w:rsid w:val="00274EA2"/>
    <w:rsid w:val="0027585E"/>
    <w:rsid w:val="002762E9"/>
    <w:rsid w:val="002802D6"/>
    <w:rsid w:val="002822AE"/>
    <w:rsid w:val="00282992"/>
    <w:rsid w:val="002847B3"/>
    <w:rsid w:val="00284979"/>
    <w:rsid w:val="00285017"/>
    <w:rsid w:val="0028685C"/>
    <w:rsid w:val="0028787A"/>
    <w:rsid w:val="002918C8"/>
    <w:rsid w:val="00292184"/>
    <w:rsid w:val="00292F9D"/>
    <w:rsid w:val="00293835"/>
    <w:rsid w:val="0029396B"/>
    <w:rsid w:val="00294587"/>
    <w:rsid w:val="002A1FB5"/>
    <w:rsid w:val="002A2D2E"/>
    <w:rsid w:val="002B6DB2"/>
    <w:rsid w:val="002B7C2D"/>
    <w:rsid w:val="002D04D7"/>
    <w:rsid w:val="002D1B29"/>
    <w:rsid w:val="002D260A"/>
    <w:rsid w:val="002D2F14"/>
    <w:rsid w:val="002D327D"/>
    <w:rsid w:val="002D7446"/>
    <w:rsid w:val="002E3A2D"/>
    <w:rsid w:val="002E4959"/>
    <w:rsid w:val="002E7975"/>
    <w:rsid w:val="002F0991"/>
    <w:rsid w:val="002F1243"/>
    <w:rsid w:val="002F3F30"/>
    <w:rsid w:val="002F7729"/>
    <w:rsid w:val="00304A41"/>
    <w:rsid w:val="00310901"/>
    <w:rsid w:val="00310DF8"/>
    <w:rsid w:val="00311E8F"/>
    <w:rsid w:val="0031290F"/>
    <w:rsid w:val="00312AD7"/>
    <w:rsid w:val="003133A1"/>
    <w:rsid w:val="003142C0"/>
    <w:rsid w:val="00314A1C"/>
    <w:rsid w:val="00333125"/>
    <w:rsid w:val="00333B55"/>
    <w:rsid w:val="0033481B"/>
    <w:rsid w:val="00337A50"/>
    <w:rsid w:val="00343749"/>
    <w:rsid w:val="00346611"/>
    <w:rsid w:val="00350937"/>
    <w:rsid w:val="00351D69"/>
    <w:rsid w:val="00352379"/>
    <w:rsid w:val="00355EB3"/>
    <w:rsid w:val="00357068"/>
    <w:rsid w:val="00360546"/>
    <w:rsid w:val="003638E7"/>
    <w:rsid w:val="00364BA2"/>
    <w:rsid w:val="003669B8"/>
    <w:rsid w:val="0037434C"/>
    <w:rsid w:val="0037693B"/>
    <w:rsid w:val="00376F00"/>
    <w:rsid w:val="00377418"/>
    <w:rsid w:val="00382D01"/>
    <w:rsid w:val="00383E6C"/>
    <w:rsid w:val="0039094F"/>
    <w:rsid w:val="00392CA2"/>
    <w:rsid w:val="003A06AE"/>
    <w:rsid w:val="003A42E4"/>
    <w:rsid w:val="003A74AC"/>
    <w:rsid w:val="003B0550"/>
    <w:rsid w:val="003B2DF0"/>
    <w:rsid w:val="003B2E31"/>
    <w:rsid w:val="003B694F"/>
    <w:rsid w:val="003B7965"/>
    <w:rsid w:val="003B79CD"/>
    <w:rsid w:val="003B7A9B"/>
    <w:rsid w:val="003C123F"/>
    <w:rsid w:val="003C1457"/>
    <w:rsid w:val="003C2983"/>
    <w:rsid w:val="003C3D7B"/>
    <w:rsid w:val="003C6316"/>
    <w:rsid w:val="003D4BF9"/>
    <w:rsid w:val="003D54CF"/>
    <w:rsid w:val="003E6732"/>
    <w:rsid w:val="003E68C7"/>
    <w:rsid w:val="003F171C"/>
    <w:rsid w:val="003F1CBD"/>
    <w:rsid w:val="003F2143"/>
    <w:rsid w:val="003F5629"/>
    <w:rsid w:val="003F7A6E"/>
    <w:rsid w:val="00412FC5"/>
    <w:rsid w:val="0041330F"/>
    <w:rsid w:val="0041628A"/>
    <w:rsid w:val="00422276"/>
    <w:rsid w:val="00422828"/>
    <w:rsid w:val="00422FE9"/>
    <w:rsid w:val="004242F1"/>
    <w:rsid w:val="0042606D"/>
    <w:rsid w:val="004263B1"/>
    <w:rsid w:val="00431707"/>
    <w:rsid w:val="00431D85"/>
    <w:rsid w:val="0043357A"/>
    <w:rsid w:val="004335E1"/>
    <w:rsid w:val="00433F9A"/>
    <w:rsid w:val="004362F7"/>
    <w:rsid w:val="0043787F"/>
    <w:rsid w:val="00440006"/>
    <w:rsid w:val="00441F60"/>
    <w:rsid w:val="00442B24"/>
    <w:rsid w:val="00445A00"/>
    <w:rsid w:val="00446FE5"/>
    <w:rsid w:val="00446FEA"/>
    <w:rsid w:val="004471E6"/>
    <w:rsid w:val="00447F8A"/>
    <w:rsid w:val="00451B0F"/>
    <w:rsid w:val="00453698"/>
    <w:rsid w:val="00456F6D"/>
    <w:rsid w:val="00461113"/>
    <w:rsid w:val="004612A3"/>
    <w:rsid w:val="00462D23"/>
    <w:rsid w:val="00467769"/>
    <w:rsid w:val="0047262E"/>
    <w:rsid w:val="004733B2"/>
    <w:rsid w:val="004739A4"/>
    <w:rsid w:val="00477A24"/>
    <w:rsid w:val="00477AA2"/>
    <w:rsid w:val="00482034"/>
    <w:rsid w:val="00485936"/>
    <w:rsid w:val="00486B99"/>
    <w:rsid w:val="00487854"/>
    <w:rsid w:val="00487F2F"/>
    <w:rsid w:val="004913C1"/>
    <w:rsid w:val="00492F1F"/>
    <w:rsid w:val="00493852"/>
    <w:rsid w:val="004A5FB7"/>
    <w:rsid w:val="004A7224"/>
    <w:rsid w:val="004B127A"/>
    <w:rsid w:val="004B1670"/>
    <w:rsid w:val="004B20AA"/>
    <w:rsid w:val="004B5E0A"/>
    <w:rsid w:val="004C0F16"/>
    <w:rsid w:val="004C1F5F"/>
    <w:rsid w:val="004C2C65"/>
    <w:rsid w:val="004C2EE3"/>
    <w:rsid w:val="004C6565"/>
    <w:rsid w:val="004D1551"/>
    <w:rsid w:val="004D191C"/>
    <w:rsid w:val="004D2C48"/>
    <w:rsid w:val="004D3AFF"/>
    <w:rsid w:val="004E4A22"/>
    <w:rsid w:val="004F0E52"/>
    <w:rsid w:val="004F1132"/>
    <w:rsid w:val="004F6024"/>
    <w:rsid w:val="005100CE"/>
    <w:rsid w:val="00511968"/>
    <w:rsid w:val="00511FBD"/>
    <w:rsid w:val="00512068"/>
    <w:rsid w:val="0051322F"/>
    <w:rsid w:val="00514EF5"/>
    <w:rsid w:val="00516A0C"/>
    <w:rsid w:val="00520359"/>
    <w:rsid w:val="005270FB"/>
    <w:rsid w:val="0053028F"/>
    <w:rsid w:val="00530AA1"/>
    <w:rsid w:val="00531D14"/>
    <w:rsid w:val="00532B0D"/>
    <w:rsid w:val="00534D92"/>
    <w:rsid w:val="00534F65"/>
    <w:rsid w:val="00535E6C"/>
    <w:rsid w:val="00542949"/>
    <w:rsid w:val="00545BAC"/>
    <w:rsid w:val="00546D14"/>
    <w:rsid w:val="00550CA5"/>
    <w:rsid w:val="00553590"/>
    <w:rsid w:val="0055614C"/>
    <w:rsid w:val="00562D36"/>
    <w:rsid w:val="005665D4"/>
    <w:rsid w:val="0057457C"/>
    <w:rsid w:val="0058137A"/>
    <w:rsid w:val="0058355A"/>
    <w:rsid w:val="00585D5F"/>
    <w:rsid w:val="00585F52"/>
    <w:rsid w:val="00587342"/>
    <w:rsid w:val="00592DAE"/>
    <w:rsid w:val="005977D7"/>
    <w:rsid w:val="00597BCD"/>
    <w:rsid w:val="005A144F"/>
    <w:rsid w:val="005A5426"/>
    <w:rsid w:val="005A7388"/>
    <w:rsid w:val="005B105C"/>
    <w:rsid w:val="005B5659"/>
    <w:rsid w:val="005C0C55"/>
    <w:rsid w:val="005C2371"/>
    <w:rsid w:val="005C4A4F"/>
    <w:rsid w:val="005C54B3"/>
    <w:rsid w:val="005C67E1"/>
    <w:rsid w:val="005D059D"/>
    <w:rsid w:val="005E03B5"/>
    <w:rsid w:val="005E0B90"/>
    <w:rsid w:val="005E154A"/>
    <w:rsid w:val="005E4BBF"/>
    <w:rsid w:val="005E793D"/>
    <w:rsid w:val="005F7EBE"/>
    <w:rsid w:val="0060449E"/>
    <w:rsid w:val="00604A1E"/>
    <w:rsid w:val="00607174"/>
    <w:rsid w:val="00607B60"/>
    <w:rsid w:val="00607BA5"/>
    <w:rsid w:val="006223D1"/>
    <w:rsid w:val="006231F1"/>
    <w:rsid w:val="00624CF6"/>
    <w:rsid w:val="00625216"/>
    <w:rsid w:val="00626CAD"/>
    <w:rsid w:val="00626EB6"/>
    <w:rsid w:val="006360CB"/>
    <w:rsid w:val="00641CD2"/>
    <w:rsid w:val="00645E36"/>
    <w:rsid w:val="0064777A"/>
    <w:rsid w:val="0065055E"/>
    <w:rsid w:val="00652E61"/>
    <w:rsid w:val="00653631"/>
    <w:rsid w:val="00655325"/>
    <w:rsid w:val="006559F1"/>
    <w:rsid w:val="00655D03"/>
    <w:rsid w:val="00657552"/>
    <w:rsid w:val="00662607"/>
    <w:rsid w:val="00665433"/>
    <w:rsid w:val="00665C6A"/>
    <w:rsid w:val="006714BD"/>
    <w:rsid w:val="00673331"/>
    <w:rsid w:val="00677D7D"/>
    <w:rsid w:val="006822BF"/>
    <w:rsid w:val="00682915"/>
    <w:rsid w:val="006833E5"/>
    <w:rsid w:val="0068357B"/>
    <w:rsid w:val="00683F84"/>
    <w:rsid w:val="00686D0F"/>
    <w:rsid w:val="00691611"/>
    <w:rsid w:val="006953D2"/>
    <w:rsid w:val="0069783F"/>
    <w:rsid w:val="006A1D22"/>
    <w:rsid w:val="006A2E67"/>
    <w:rsid w:val="006A5B30"/>
    <w:rsid w:val="006A6A81"/>
    <w:rsid w:val="006A7521"/>
    <w:rsid w:val="006B2FAE"/>
    <w:rsid w:val="006C3D86"/>
    <w:rsid w:val="006D0BF3"/>
    <w:rsid w:val="006D7839"/>
    <w:rsid w:val="006E14A6"/>
    <w:rsid w:val="006E14D4"/>
    <w:rsid w:val="006F111A"/>
    <w:rsid w:val="006F2EC9"/>
    <w:rsid w:val="006F7393"/>
    <w:rsid w:val="00701F87"/>
    <w:rsid w:val="0070224F"/>
    <w:rsid w:val="007115F7"/>
    <w:rsid w:val="007122B6"/>
    <w:rsid w:val="00716CE2"/>
    <w:rsid w:val="00720EF1"/>
    <w:rsid w:val="00723966"/>
    <w:rsid w:val="0072426F"/>
    <w:rsid w:val="007268B1"/>
    <w:rsid w:val="00726FF8"/>
    <w:rsid w:val="00727298"/>
    <w:rsid w:val="00727B43"/>
    <w:rsid w:val="007301E1"/>
    <w:rsid w:val="00731654"/>
    <w:rsid w:val="00732785"/>
    <w:rsid w:val="00734949"/>
    <w:rsid w:val="00742234"/>
    <w:rsid w:val="007437F1"/>
    <w:rsid w:val="00744F6D"/>
    <w:rsid w:val="00747C2B"/>
    <w:rsid w:val="00750967"/>
    <w:rsid w:val="00750B59"/>
    <w:rsid w:val="00751C68"/>
    <w:rsid w:val="00757A8D"/>
    <w:rsid w:val="00761391"/>
    <w:rsid w:val="007626CB"/>
    <w:rsid w:val="007654BC"/>
    <w:rsid w:val="00785689"/>
    <w:rsid w:val="00790AA9"/>
    <w:rsid w:val="00791580"/>
    <w:rsid w:val="007918DF"/>
    <w:rsid w:val="0079754B"/>
    <w:rsid w:val="007A0BC0"/>
    <w:rsid w:val="007A1E6D"/>
    <w:rsid w:val="007A3917"/>
    <w:rsid w:val="007A7099"/>
    <w:rsid w:val="007A74CE"/>
    <w:rsid w:val="007C20BE"/>
    <w:rsid w:val="007C3611"/>
    <w:rsid w:val="007C3A85"/>
    <w:rsid w:val="007C5EF7"/>
    <w:rsid w:val="007D78C8"/>
    <w:rsid w:val="007E11D9"/>
    <w:rsid w:val="007E1907"/>
    <w:rsid w:val="007E1953"/>
    <w:rsid w:val="007E4D65"/>
    <w:rsid w:val="007E6970"/>
    <w:rsid w:val="007E73CA"/>
    <w:rsid w:val="007F11E7"/>
    <w:rsid w:val="007F14A7"/>
    <w:rsid w:val="007F192D"/>
    <w:rsid w:val="007F367C"/>
    <w:rsid w:val="007F36AE"/>
    <w:rsid w:val="007F669E"/>
    <w:rsid w:val="00803780"/>
    <w:rsid w:val="00811DB7"/>
    <w:rsid w:val="0081630C"/>
    <w:rsid w:val="00817F44"/>
    <w:rsid w:val="00822913"/>
    <w:rsid w:val="00822CE0"/>
    <w:rsid w:val="00831C90"/>
    <w:rsid w:val="00832251"/>
    <w:rsid w:val="008348A7"/>
    <w:rsid w:val="008379FD"/>
    <w:rsid w:val="00841AB1"/>
    <w:rsid w:val="00843C82"/>
    <w:rsid w:val="00845BD0"/>
    <w:rsid w:val="008545B0"/>
    <w:rsid w:val="00856AA5"/>
    <w:rsid w:val="00857B83"/>
    <w:rsid w:val="008612F9"/>
    <w:rsid w:val="00862ABF"/>
    <w:rsid w:val="00863B2E"/>
    <w:rsid w:val="00865E83"/>
    <w:rsid w:val="008673DA"/>
    <w:rsid w:val="00867D22"/>
    <w:rsid w:val="00870C7F"/>
    <w:rsid w:val="0087296B"/>
    <w:rsid w:val="00873AD9"/>
    <w:rsid w:val="0087521E"/>
    <w:rsid w:val="00890196"/>
    <w:rsid w:val="00890BDF"/>
    <w:rsid w:val="00892ABA"/>
    <w:rsid w:val="008942DF"/>
    <w:rsid w:val="008960F1"/>
    <w:rsid w:val="008A23A6"/>
    <w:rsid w:val="008A3B96"/>
    <w:rsid w:val="008C2709"/>
    <w:rsid w:val="008C46BC"/>
    <w:rsid w:val="008C5811"/>
    <w:rsid w:val="008D0460"/>
    <w:rsid w:val="008D15BE"/>
    <w:rsid w:val="008D6F1E"/>
    <w:rsid w:val="008E3D7F"/>
    <w:rsid w:val="008E7A28"/>
    <w:rsid w:val="008F537D"/>
    <w:rsid w:val="008F7541"/>
    <w:rsid w:val="00901F40"/>
    <w:rsid w:val="0090315D"/>
    <w:rsid w:val="00910014"/>
    <w:rsid w:val="009111ED"/>
    <w:rsid w:val="00912ACC"/>
    <w:rsid w:val="00916D26"/>
    <w:rsid w:val="0092503D"/>
    <w:rsid w:val="00926503"/>
    <w:rsid w:val="00941831"/>
    <w:rsid w:val="00945031"/>
    <w:rsid w:val="00947939"/>
    <w:rsid w:val="00950F19"/>
    <w:rsid w:val="009515A2"/>
    <w:rsid w:val="0095284D"/>
    <w:rsid w:val="00952FA2"/>
    <w:rsid w:val="00953224"/>
    <w:rsid w:val="00960F1E"/>
    <w:rsid w:val="00962EC1"/>
    <w:rsid w:val="00964FA0"/>
    <w:rsid w:val="00974C2C"/>
    <w:rsid w:val="009774C3"/>
    <w:rsid w:val="009930D5"/>
    <w:rsid w:val="00997686"/>
    <w:rsid w:val="00997712"/>
    <w:rsid w:val="00997D99"/>
    <w:rsid w:val="009A032C"/>
    <w:rsid w:val="009A143F"/>
    <w:rsid w:val="009A593A"/>
    <w:rsid w:val="009A7B8F"/>
    <w:rsid w:val="009B1892"/>
    <w:rsid w:val="009B62F3"/>
    <w:rsid w:val="009C52CC"/>
    <w:rsid w:val="009C5A77"/>
    <w:rsid w:val="009C69E7"/>
    <w:rsid w:val="009C7020"/>
    <w:rsid w:val="009D0024"/>
    <w:rsid w:val="009E18D7"/>
    <w:rsid w:val="009E29C2"/>
    <w:rsid w:val="009E2BD4"/>
    <w:rsid w:val="009E2DC9"/>
    <w:rsid w:val="009E30CE"/>
    <w:rsid w:val="009E4396"/>
    <w:rsid w:val="009E583C"/>
    <w:rsid w:val="009E6545"/>
    <w:rsid w:val="009F3203"/>
    <w:rsid w:val="009F4FDF"/>
    <w:rsid w:val="009F5D95"/>
    <w:rsid w:val="009F6A4C"/>
    <w:rsid w:val="009F7F97"/>
    <w:rsid w:val="00A067CF"/>
    <w:rsid w:val="00A07C20"/>
    <w:rsid w:val="00A11C6F"/>
    <w:rsid w:val="00A1224C"/>
    <w:rsid w:val="00A13EE3"/>
    <w:rsid w:val="00A144A0"/>
    <w:rsid w:val="00A23CB8"/>
    <w:rsid w:val="00A2764F"/>
    <w:rsid w:val="00A31A74"/>
    <w:rsid w:val="00A32345"/>
    <w:rsid w:val="00A33A9C"/>
    <w:rsid w:val="00A42F98"/>
    <w:rsid w:val="00A45156"/>
    <w:rsid w:val="00A45F4F"/>
    <w:rsid w:val="00A501FD"/>
    <w:rsid w:val="00A50DA6"/>
    <w:rsid w:val="00A51826"/>
    <w:rsid w:val="00A538D7"/>
    <w:rsid w:val="00A53F5A"/>
    <w:rsid w:val="00A56220"/>
    <w:rsid w:val="00A600A9"/>
    <w:rsid w:val="00A6165A"/>
    <w:rsid w:val="00A61BB4"/>
    <w:rsid w:val="00A6216A"/>
    <w:rsid w:val="00A62856"/>
    <w:rsid w:val="00A62B92"/>
    <w:rsid w:val="00A64EC9"/>
    <w:rsid w:val="00A662FF"/>
    <w:rsid w:val="00A66730"/>
    <w:rsid w:val="00A70A33"/>
    <w:rsid w:val="00A71809"/>
    <w:rsid w:val="00A741B8"/>
    <w:rsid w:val="00A80DE2"/>
    <w:rsid w:val="00A84DE2"/>
    <w:rsid w:val="00A91769"/>
    <w:rsid w:val="00A92637"/>
    <w:rsid w:val="00A92B2F"/>
    <w:rsid w:val="00A93149"/>
    <w:rsid w:val="00A95DF4"/>
    <w:rsid w:val="00A97736"/>
    <w:rsid w:val="00AA10CD"/>
    <w:rsid w:val="00AA5089"/>
    <w:rsid w:val="00AA55B7"/>
    <w:rsid w:val="00AA5B9E"/>
    <w:rsid w:val="00AB2407"/>
    <w:rsid w:val="00AB3106"/>
    <w:rsid w:val="00AB32F5"/>
    <w:rsid w:val="00AB47A0"/>
    <w:rsid w:val="00AB53DF"/>
    <w:rsid w:val="00AB578A"/>
    <w:rsid w:val="00AB6441"/>
    <w:rsid w:val="00AC4958"/>
    <w:rsid w:val="00AC4E07"/>
    <w:rsid w:val="00AC6E21"/>
    <w:rsid w:val="00AD2840"/>
    <w:rsid w:val="00AD6DDC"/>
    <w:rsid w:val="00AE1A0D"/>
    <w:rsid w:val="00AE7C7C"/>
    <w:rsid w:val="00AF2362"/>
    <w:rsid w:val="00AF2A56"/>
    <w:rsid w:val="00AF6491"/>
    <w:rsid w:val="00B021BD"/>
    <w:rsid w:val="00B068F0"/>
    <w:rsid w:val="00B07E5C"/>
    <w:rsid w:val="00B10C71"/>
    <w:rsid w:val="00B110B0"/>
    <w:rsid w:val="00B1188F"/>
    <w:rsid w:val="00B13953"/>
    <w:rsid w:val="00B159EC"/>
    <w:rsid w:val="00B208F7"/>
    <w:rsid w:val="00B23A32"/>
    <w:rsid w:val="00B23D97"/>
    <w:rsid w:val="00B33636"/>
    <w:rsid w:val="00B3433A"/>
    <w:rsid w:val="00B43D56"/>
    <w:rsid w:val="00B45010"/>
    <w:rsid w:val="00B4596E"/>
    <w:rsid w:val="00B55558"/>
    <w:rsid w:val="00B55833"/>
    <w:rsid w:val="00B55E16"/>
    <w:rsid w:val="00B568B2"/>
    <w:rsid w:val="00B6048B"/>
    <w:rsid w:val="00B62A5C"/>
    <w:rsid w:val="00B6445F"/>
    <w:rsid w:val="00B67CFE"/>
    <w:rsid w:val="00B71CC3"/>
    <w:rsid w:val="00B773A9"/>
    <w:rsid w:val="00B80922"/>
    <w:rsid w:val="00B811F7"/>
    <w:rsid w:val="00B81F5A"/>
    <w:rsid w:val="00B83BD3"/>
    <w:rsid w:val="00B90690"/>
    <w:rsid w:val="00B94BF8"/>
    <w:rsid w:val="00BA09C9"/>
    <w:rsid w:val="00BA392D"/>
    <w:rsid w:val="00BA5DC6"/>
    <w:rsid w:val="00BA6196"/>
    <w:rsid w:val="00BB251A"/>
    <w:rsid w:val="00BB5AAD"/>
    <w:rsid w:val="00BB5D95"/>
    <w:rsid w:val="00BC01B6"/>
    <w:rsid w:val="00BC2E45"/>
    <w:rsid w:val="00BC643F"/>
    <w:rsid w:val="00BC6796"/>
    <w:rsid w:val="00BC6D8C"/>
    <w:rsid w:val="00BD1458"/>
    <w:rsid w:val="00BD4BCC"/>
    <w:rsid w:val="00BD7D29"/>
    <w:rsid w:val="00BF0EDB"/>
    <w:rsid w:val="00BF4739"/>
    <w:rsid w:val="00BF4BDE"/>
    <w:rsid w:val="00BF61F3"/>
    <w:rsid w:val="00BF6D66"/>
    <w:rsid w:val="00C00600"/>
    <w:rsid w:val="00C03243"/>
    <w:rsid w:val="00C03496"/>
    <w:rsid w:val="00C04061"/>
    <w:rsid w:val="00C0435A"/>
    <w:rsid w:val="00C10186"/>
    <w:rsid w:val="00C107BA"/>
    <w:rsid w:val="00C15393"/>
    <w:rsid w:val="00C17417"/>
    <w:rsid w:val="00C22353"/>
    <w:rsid w:val="00C2328D"/>
    <w:rsid w:val="00C34006"/>
    <w:rsid w:val="00C34BD2"/>
    <w:rsid w:val="00C420AC"/>
    <w:rsid w:val="00C426B1"/>
    <w:rsid w:val="00C43060"/>
    <w:rsid w:val="00C45223"/>
    <w:rsid w:val="00C45447"/>
    <w:rsid w:val="00C456B2"/>
    <w:rsid w:val="00C45713"/>
    <w:rsid w:val="00C4755D"/>
    <w:rsid w:val="00C51E82"/>
    <w:rsid w:val="00C52EA3"/>
    <w:rsid w:val="00C55FF6"/>
    <w:rsid w:val="00C574AF"/>
    <w:rsid w:val="00C60E49"/>
    <w:rsid w:val="00C630BB"/>
    <w:rsid w:val="00C66789"/>
    <w:rsid w:val="00C671F6"/>
    <w:rsid w:val="00C72EA0"/>
    <w:rsid w:val="00C80135"/>
    <w:rsid w:val="00C82B6B"/>
    <w:rsid w:val="00C845DD"/>
    <w:rsid w:val="00C8546F"/>
    <w:rsid w:val="00C859AB"/>
    <w:rsid w:val="00C90D6A"/>
    <w:rsid w:val="00C925FA"/>
    <w:rsid w:val="00C92898"/>
    <w:rsid w:val="00C936B8"/>
    <w:rsid w:val="00C95019"/>
    <w:rsid w:val="00C963E7"/>
    <w:rsid w:val="00CA178D"/>
    <w:rsid w:val="00CA3164"/>
    <w:rsid w:val="00CB240B"/>
    <w:rsid w:val="00CB739C"/>
    <w:rsid w:val="00CC0D68"/>
    <w:rsid w:val="00CC3C0C"/>
    <w:rsid w:val="00CC72B6"/>
    <w:rsid w:val="00CD4BBD"/>
    <w:rsid w:val="00CD6967"/>
    <w:rsid w:val="00CD7D83"/>
    <w:rsid w:val="00CE242F"/>
    <w:rsid w:val="00CE2EE4"/>
    <w:rsid w:val="00CF23FA"/>
    <w:rsid w:val="00CF2576"/>
    <w:rsid w:val="00CF29EF"/>
    <w:rsid w:val="00CF68B4"/>
    <w:rsid w:val="00D00C55"/>
    <w:rsid w:val="00D0218D"/>
    <w:rsid w:val="00D028BD"/>
    <w:rsid w:val="00D02A39"/>
    <w:rsid w:val="00D034F5"/>
    <w:rsid w:val="00D05C4F"/>
    <w:rsid w:val="00D06722"/>
    <w:rsid w:val="00D07778"/>
    <w:rsid w:val="00D10324"/>
    <w:rsid w:val="00D13828"/>
    <w:rsid w:val="00D142E3"/>
    <w:rsid w:val="00D14884"/>
    <w:rsid w:val="00D22000"/>
    <w:rsid w:val="00D36529"/>
    <w:rsid w:val="00D367EF"/>
    <w:rsid w:val="00D37F83"/>
    <w:rsid w:val="00D440ED"/>
    <w:rsid w:val="00D4474A"/>
    <w:rsid w:val="00D51932"/>
    <w:rsid w:val="00D51A0C"/>
    <w:rsid w:val="00D53F3A"/>
    <w:rsid w:val="00D560BF"/>
    <w:rsid w:val="00D5798E"/>
    <w:rsid w:val="00D67E37"/>
    <w:rsid w:val="00D744FA"/>
    <w:rsid w:val="00D812A8"/>
    <w:rsid w:val="00D814B8"/>
    <w:rsid w:val="00D81E92"/>
    <w:rsid w:val="00D85F36"/>
    <w:rsid w:val="00D870BA"/>
    <w:rsid w:val="00D876B9"/>
    <w:rsid w:val="00D9052A"/>
    <w:rsid w:val="00D95BEC"/>
    <w:rsid w:val="00D95DA6"/>
    <w:rsid w:val="00D97792"/>
    <w:rsid w:val="00DA0991"/>
    <w:rsid w:val="00DA0D6E"/>
    <w:rsid w:val="00DA2529"/>
    <w:rsid w:val="00DB130A"/>
    <w:rsid w:val="00DB3A09"/>
    <w:rsid w:val="00DB6AF8"/>
    <w:rsid w:val="00DB7AAE"/>
    <w:rsid w:val="00DC10A1"/>
    <w:rsid w:val="00DC18C2"/>
    <w:rsid w:val="00DC1F95"/>
    <w:rsid w:val="00DC3EF0"/>
    <w:rsid w:val="00DC42DC"/>
    <w:rsid w:val="00DC4CF9"/>
    <w:rsid w:val="00DC53F5"/>
    <w:rsid w:val="00DC5690"/>
    <w:rsid w:val="00DC655F"/>
    <w:rsid w:val="00DD6387"/>
    <w:rsid w:val="00DD7EBD"/>
    <w:rsid w:val="00DF1C04"/>
    <w:rsid w:val="00DF2BAE"/>
    <w:rsid w:val="00DF479C"/>
    <w:rsid w:val="00DF62B6"/>
    <w:rsid w:val="00DF7B42"/>
    <w:rsid w:val="00E01CF7"/>
    <w:rsid w:val="00E03246"/>
    <w:rsid w:val="00E043BD"/>
    <w:rsid w:val="00E046DC"/>
    <w:rsid w:val="00E0537F"/>
    <w:rsid w:val="00E06DEB"/>
    <w:rsid w:val="00E07225"/>
    <w:rsid w:val="00E16E23"/>
    <w:rsid w:val="00E232F9"/>
    <w:rsid w:val="00E25332"/>
    <w:rsid w:val="00E26A44"/>
    <w:rsid w:val="00E2741A"/>
    <w:rsid w:val="00E276F3"/>
    <w:rsid w:val="00E32000"/>
    <w:rsid w:val="00E33ECA"/>
    <w:rsid w:val="00E5409F"/>
    <w:rsid w:val="00E604B9"/>
    <w:rsid w:val="00E619B6"/>
    <w:rsid w:val="00E6334E"/>
    <w:rsid w:val="00E6555B"/>
    <w:rsid w:val="00E65ACF"/>
    <w:rsid w:val="00E67C44"/>
    <w:rsid w:val="00E67E8F"/>
    <w:rsid w:val="00E74353"/>
    <w:rsid w:val="00E76EEA"/>
    <w:rsid w:val="00E77416"/>
    <w:rsid w:val="00E83F5A"/>
    <w:rsid w:val="00E86BFD"/>
    <w:rsid w:val="00E87D9D"/>
    <w:rsid w:val="00E92C05"/>
    <w:rsid w:val="00E9465E"/>
    <w:rsid w:val="00EA0541"/>
    <w:rsid w:val="00EB4215"/>
    <w:rsid w:val="00EB4A11"/>
    <w:rsid w:val="00EB4D76"/>
    <w:rsid w:val="00EB5DBD"/>
    <w:rsid w:val="00EC03AD"/>
    <w:rsid w:val="00EC3C18"/>
    <w:rsid w:val="00EC4096"/>
    <w:rsid w:val="00EC7999"/>
    <w:rsid w:val="00ED1084"/>
    <w:rsid w:val="00ED183D"/>
    <w:rsid w:val="00ED1D34"/>
    <w:rsid w:val="00ED4C36"/>
    <w:rsid w:val="00EE1365"/>
    <w:rsid w:val="00EF7305"/>
    <w:rsid w:val="00F01368"/>
    <w:rsid w:val="00F021FA"/>
    <w:rsid w:val="00F174A7"/>
    <w:rsid w:val="00F26748"/>
    <w:rsid w:val="00F27BD1"/>
    <w:rsid w:val="00F338FB"/>
    <w:rsid w:val="00F33D3E"/>
    <w:rsid w:val="00F41D9A"/>
    <w:rsid w:val="00F42015"/>
    <w:rsid w:val="00F43A8B"/>
    <w:rsid w:val="00F44690"/>
    <w:rsid w:val="00F44993"/>
    <w:rsid w:val="00F47CB3"/>
    <w:rsid w:val="00F53B19"/>
    <w:rsid w:val="00F60B06"/>
    <w:rsid w:val="00F62E97"/>
    <w:rsid w:val="00F635B2"/>
    <w:rsid w:val="00F63D64"/>
    <w:rsid w:val="00F64209"/>
    <w:rsid w:val="00F64978"/>
    <w:rsid w:val="00F701F7"/>
    <w:rsid w:val="00F7043A"/>
    <w:rsid w:val="00F73F53"/>
    <w:rsid w:val="00F81A06"/>
    <w:rsid w:val="00F847AD"/>
    <w:rsid w:val="00F855DA"/>
    <w:rsid w:val="00F90CAC"/>
    <w:rsid w:val="00F93BF5"/>
    <w:rsid w:val="00F941B3"/>
    <w:rsid w:val="00F9435B"/>
    <w:rsid w:val="00F97BC5"/>
    <w:rsid w:val="00F97F0D"/>
    <w:rsid w:val="00FA761C"/>
    <w:rsid w:val="00FB3E6B"/>
    <w:rsid w:val="00FB6E87"/>
    <w:rsid w:val="00FB70DF"/>
    <w:rsid w:val="00FC5859"/>
    <w:rsid w:val="00FC707E"/>
    <w:rsid w:val="00FD1C4C"/>
    <w:rsid w:val="00FD2080"/>
    <w:rsid w:val="00FD2F61"/>
    <w:rsid w:val="00FD6DB7"/>
    <w:rsid w:val="00FD71AE"/>
    <w:rsid w:val="00FD7B3B"/>
    <w:rsid w:val="00FE2246"/>
    <w:rsid w:val="00FE30FC"/>
    <w:rsid w:val="00FE3ACE"/>
    <w:rsid w:val="00FE4060"/>
    <w:rsid w:val="00FF0588"/>
    <w:rsid w:val="00FF21F7"/>
    <w:rsid w:val="00FF3E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List Paragraph" w:uiPriority="34" w:qFormat="1"/>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026230"/>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D191C"/>
    <w:rPr>
      <w:rFonts w:ascii="Tahoma" w:hAnsi="Tahoma" w:cs="Tahoma"/>
      <w:sz w:val="16"/>
      <w:szCs w:val="16"/>
    </w:rPr>
  </w:style>
  <w:style w:type="character" w:customStyle="1" w:styleId="BalloonTextChar">
    <w:name w:val="Balloon Text Char"/>
    <w:basedOn w:val="DefaultParagraphFont"/>
    <w:uiPriority w:val="99"/>
    <w:semiHidden/>
    <w:rsid w:val="00A00CA4"/>
    <w:rPr>
      <w:rFonts w:ascii="Lucida Grande" w:hAnsi="Lucida Grande"/>
      <w:sz w:val="18"/>
      <w:szCs w:val="18"/>
    </w:rPr>
  </w:style>
  <w:style w:type="paragraph" w:customStyle="1" w:styleId="ParaNum">
    <w:name w:val="ParaNum"/>
    <w:basedOn w:val="Normal"/>
    <w:rsid w:val="00E07225"/>
    <w:pPr>
      <w:numPr>
        <w:numId w:val="2"/>
      </w:numPr>
      <w:spacing w:after="120"/>
    </w:pPr>
  </w:style>
  <w:style w:type="paragraph" w:styleId="EndnoteText">
    <w:name w:val="endnote text"/>
    <w:basedOn w:val="Normal"/>
    <w:semiHidden/>
    <w:rsid w:val="00BF0EDB"/>
    <w:rPr>
      <w:sz w:val="20"/>
    </w:rPr>
  </w:style>
  <w:style w:type="character" w:styleId="EndnoteReference">
    <w:name w:val="endnote reference"/>
    <w:basedOn w:val="DefaultParagraphFont"/>
    <w:semiHidden/>
    <w:rsid w:val="00BF0EDB"/>
    <w:rPr>
      <w:vertAlign w:val="superscript"/>
    </w:rPr>
  </w:style>
  <w:style w:type="paragraph" w:styleId="FootnoteText">
    <w:name w:val="footnote text"/>
    <w:link w:val="FootnoteTextChar"/>
    <w:semiHidden/>
    <w:rsid w:val="000E3D42"/>
    <w:pPr>
      <w:spacing w:after="120"/>
    </w:pPr>
  </w:style>
  <w:style w:type="character" w:styleId="FootnoteReference">
    <w:name w:val="footnote reference"/>
    <w:basedOn w:val="DefaultParagraphFont"/>
    <w:semiHidden/>
    <w:rsid w:val="00043B6C"/>
    <w:rPr>
      <w:vertAlign w:val="superscript"/>
    </w:rPr>
  </w:style>
  <w:style w:type="paragraph" w:styleId="TOC1">
    <w:name w:val="toc 1"/>
    <w:basedOn w:val="Normal"/>
    <w:next w:val="Normal"/>
    <w:uiPriority w:val="39"/>
    <w:rsid w:val="00BF0EDB"/>
    <w:pPr>
      <w:tabs>
        <w:tab w:val="left" w:pos="360"/>
        <w:tab w:val="right" w:leader="dot" w:pos="9360"/>
      </w:tabs>
      <w:suppressAutoHyphens/>
      <w:ind w:left="360" w:right="720" w:hanging="360"/>
    </w:pPr>
    <w:rPr>
      <w:caps/>
      <w:noProof/>
    </w:rPr>
  </w:style>
  <w:style w:type="paragraph" w:styleId="TOC2">
    <w:name w:val="toc 2"/>
    <w:basedOn w:val="Normal"/>
    <w:next w:val="Normal"/>
    <w:uiPriority w:val="39"/>
    <w:rsid w:val="00BF0EDB"/>
    <w:pPr>
      <w:tabs>
        <w:tab w:val="left" w:pos="720"/>
        <w:tab w:val="right" w:leader="dot" w:pos="9360"/>
      </w:tabs>
      <w:suppressAutoHyphens/>
      <w:ind w:left="720" w:right="720" w:hanging="360"/>
    </w:pPr>
    <w:rPr>
      <w:noProof/>
    </w:rPr>
  </w:style>
  <w:style w:type="paragraph" w:styleId="TOC3">
    <w:name w:val="toc 3"/>
    <w:basedOn w:val="Normal"/>
    <w:next w:val="Normal"/>
    <w:uiPriority w:val="39"/>
    <w:rsid w:val="00BF0EDB"/>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BF0EDB"/>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BF0EDB"/>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BF0EDB"/>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BF0EDB"/>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BF0EDB"/>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BF0EDB"/>
    <w:pPr>
      <w:tabs>
        <w:tab w:val="left" w:pos="3240"/>
        <w:tab w:val="right" w:leader="dot" w:pos="9360"/>
      </w:tabs>
      <w:suppressAutoHyphens/>
      <w:ind w:left="3240" w:hanging="360"/>
    </w:pPr>
    <w:rPr>
      <w:noProof/>
    </w:rPr>
  </w:style>
  <w:style w:type="paragraph" w:styleId="TOAHeading">
    <w:name w:val="toa heading"/>
    <w:basedOn w:val="Normal"/>
    <w:next w:val="Normal"/>
    <w:semiHidden/>
    <w:rsid w:val="00BF0EDB"/>
    <w:pPr>
      <w:tabs>
        <w:tab w:val="right" w:pos="9360"/>
      </w:tabs>
      <w:suppressAutoHyphens/>
    </w:pPr>
  </w:style>
  <w:style w:type="character" w:customStyle="1" w:styleId="EquationCaption">
    <w:name w:val="_Equation Caption"/>
    <w:rsid w:val="00BF0EDB"/>
  </w:style>
  <w:style w:type="paragraph" w:styleId="Header">
    <w:name w:val="header"/>
    <w:basedOn w:val="Normal"/>
    <w:autoRedefine/>
    <w:rsid w:val="00016C77"/>
    <w:pPr>
      <w:tabs>
        <w:tab w:val="center" w:pos="4680"/>
        <w:tab w:val="right" w:pos="9360"/>
      </w:tabs>
      <w:ind w:firstLine="1080"/>
    </w:pPr>
    <w:rPr>
      <w:rFonts w:ascii="Arial" w:hAnsi="Arial" w:cs="Arial"/>
      <w:b/>
      <w:sz w:val="100"/>
      <w:szCs w:val="100"/>
    </w:rPr>
  </w:style>
  <w:style w:type="paragraph" w:styleId="Footer">
    <w:name w:val="footer"/>
    <w:basedOn w:val="Normal"/>
    <w:rsid w:val="00BF0EDB"/>
    <w:pPr>
      <w:tabs>
        <w:tab w:val="center" w:pos="4320"/>
        <w:tab w:val="right" w:pos="8640"/>
      </w:tabs>
    </w:pPr>
  </w:style>
  <w:style w:type="character" w:styleId="PageNumber">
    <w:name w:val="page number"/>
    <w:basedOn w:val="DefaultParagraphFont"/>
    <w:rsid w:val="00BF0EDB"/>
  </w:style>
  <w:style w:type="paragraph" w:styleId="BlockText">
    <w:name w:val="Block Text"/>
    <w:basedOn w:val="Normal"/>
    <w:rsid w:val="00BF0EDB"/>
    <w:pPr>
      <w:spacing w:after="240"/>
      <w:ind w:left="1440" w:right="1440"/>
    </w:pPr>
  </w:style>
  <w:style w:type="paragraph" w:customStyle="1" w:styleId="Paratitle">
    <w:name w:val="Para title"/>
    <w:basedOn w:val="Normal"/>
    <w:rsid w:val="00BF0EDB"/>
    <w:pPr>
      <w:tabs>
        <w:tab w:val="center" w:pos="9270"/>
      </w:tabs>
      <w:spacing w:after="240"/>
    </w:pPr>
    <w:rPr>
      <w:spacing w:val="-2"/>
    </w:rPr>
  </w:style>
  <w:style w:type="paragraph" w:customStyle="1" w:styleId="Bullet">
    <w:name w:val="Bullet"/>
    <w:basedOn w:val="Normal"/>
    <w:rsid w:val="00BF0EDB"/>
    <w:pPr>
      <w:numPr>
        <w:numId w:val="1"/>
      </w:numPr>
      <w:tabs>
        <w:tab w:val="clear" w:pos="360"/>
        <w:tab w:val="left" w:pos="2160"/>
      </w:tabs>
      <w:spacing w:after="220"/>
      <w:ind w:left="2160" w:hanging="720"/>
    </w:pPr>
  </w:style>
  <w:style w:type="paragraph" w:customStyle="1" w:styleId="TableFormat">
    <w:name w:val="TableFormat"/>
    <w:basedOn w:val="Bullet"/>
    <w:rsid w:val="00BF0EDB"/>
    <w:pPr>
      <w:numPr>
        <w:numId w:val="0"/>
      </w:numPr>
      <w:tabs>
        <w:tab w:val="clear" w:pos="2160"/>
        <w:tab w:val="left" w:pos="5040"/>
      </w:tabs>
      <w:ind w:left="5040" w:hanging="3600"/>
    </w:pPr>
  </w:style>
  <w:style w:type="paragraph" w:customStyle="1" w:styleId="TOCTitle">
    <w:name w:val="TOC Title"/>
    <w:basedOn w:val="Normal"/>
    <w:rsid w:val="00BF0EDB"/>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basedOn w:val="DefaultParagraphFont"/>
    <w:rsid w:val="002A2D2E"/>
    <w:rPr>
      <w:color w:val="0000FF"/>
      <w:u w:val="single"/>
    </w:rPr>
  </w:style>
  <w:style w:type="character" w:customStyle="1" w:styleId="BalloonTextChar1">
    <w:name w:val="Balloon Text Char1"/>
    <w:basedOn w:val="DefaultParagraphFont"/>
    <w:link w:val="BalloonText"/>
    <w:uiPriority w:val="99"/>
    <w:semiHidden/>
    <w:rsid w:val="004D191C"/>
    <w:rPr>
      <w:rFonts w:ascii="Tahoma" w:hAnsi="Tahoma" w:cs="Tahoma"/>
      <w:snapToGrid w:val="0"/>
      <w:kern w:val="28"/>
      <w:sz w:val="16"/>
      <w:szCs w:val="16"/>
    </w:rPr>
  </w:style>
  <w:style w:type="character" w:styleId="CommentReference">
    <w:name w:val="annotation reference"/>
    <w:basedOn w:val="DefaultParagraphFont"/>
    <w:uiPriority w:val="99"/>
    <w:semiHidden/>
    <w:unhideWhenUsed/>
    <w:rsid w:val="00DF1C04"/>
    <w:rPr>
      <w:sz w:val="16"/>
      <w:szCs w:val="16"/>
    </w:rPr>
  </w:style>
  <w:style w:type="paragraph" w:styleId="CommentText">
    <w:name w:val="annotation text"/>
    <w:basedOn w:val="Normal"/>
    <w:link w:val="CommentTextChar"/>
    <w:uiPriority w:val="99"/>
    <w:semiHidden/>
    <w:unhideWhenUsed/>
    <w:rsid w:val="00DF1C04"/>
    <w:rPr>
      <w:sz w:val="20"/>
    </w:rPr>
  </w:style>
  <w:style w:type="character" w:customStyle="1" w:styleId="CommentTextChar">
    <w:name w:val="Comment Text Char"/>
    <w:basedOn w:val="DefaultParagraphFont"/>
    <w:link w:val="CommentText"/>
    <w:uiPriority w:val="99"/>
    <w:semiHidden/>
    <w:rsid w:val="00DF1C04"/>
    <w:rPr>
      <w:snapToGrid w:val="0"/>
      <w:kern w:val="28"/>
    </w:rPr>
  </w:style>
  <w:style w:type="paragraph" w:styleId="CommentSubject">
    <w:name w:val="annotation subject"/>
    <w:basedOn w:val="CommentText"/>
    <w:next w:val="CommentText"/>
    <w:link w:val="CommentSubjectChar"/>
    <w:uiPriority w:val="99"/>
    <w:semiHidden/>
    <w:unhideWhenUsed/>
    <w:rsid w:val="00DF1C04"/>
    <w:rPr>
      <w:b/>
      <w:bCs/>
    </w:rPr>
  </w:style>
  <w:style w:type="character" w:customStyle="1" w:styleId="CommentSubjectChar">
    <w:name w:val="Comment Subject Char"/>
    <w:basedOn w:val="CommentTextChar"/>
    <w:link w:val="CommentSubject"/>
    <w:uiPriority w:val="99"/>
    <w:semiHidden/>
    <w:rsid w:val="00DF1C04"/>
    <w:rPr>
      <w:b/>
      <w:bCs/>
      <w:snapToGrid w:val="0"/>
      <w:kern w:val="28"/>
    </w:rPr>
  </w:style>
  <w:style w:type="paragraph" w:styleId="ListParagraph">
    <w:name w:val="List Paragraph"/>
    <w:basedOn w:val="Normal"/>
    <w:uiPriority w:val="34"/>
    <w:qFormat/>
    <w:rsid w:val="009C52CC"/>
    <w:pPr>
      <w:widowControl/>
      <w:spacing w:after="200" w:line="276" w:lineRule="auto"/>
      <w:ind w:left="720"/>
      <w:contextualSpacing/>
    </w:pPr>
    <w:rPr>
      <w:rFonts w:asciiTheme="minorHAnsi" w:eastAsiaTheme="minorHAnsi" w:hAnsiTheme="minorHAnsi" w:cstheme="minorBidi"/>
      <w:snapToGrid/>
      <w:kern w:val="0"/>
      <w:sz w:val="20"/>
      <w:szCs w:val="22"/>
    </w:rPr>
  </w:style>
  <w:style w:type="character" w:styleId="FollowedHyperlink">
    <w:name w:val="FollowedHyperlink"/>
    <w:basedOn w:val="DefaultParagraphFont"/>
    <w:rsid w:val="00B6048B"/>
    <w:rPr>
      <w:color w:val="800080" w:themeColor="followedHyperlink"/>
      <w:u w:val="single"/>
    </w:rPr>
  </w:style>
  <w:style w:type="character" w:customStyle="1" w:styleId="FootnoteTextChar">
    <w:name w:val="Footnote Text Char"/>
    <w:basedOn w:val="DefaultParagraphFont"/>
    <w:link w:val="FootnoteText"/>
    <w:semiHidden/>
    <w:rsid w:val="002758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List Paragraph" w:uiPriority="34" w:qFormat="1"/>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026230"/>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D191C"/>
    <w:rPr>
      <w:rFonts w:ascii="Tahoma" w:hAnsi="Tahoma" w:cs="Tahoma"/>
      <w:sz w:val="16"/>
      <w:szCs w:val="16"/>
    </w:rPr>
  </w:style>
  <w:style w:type="character" w:customStyle="1" w:styleId="BalloonTextChar">
    <w:name w:val="Balloon Text Char"/>
    <w:basedOn w:val="DefaultParagraphFont"/>
    <w:uiPriority w:val="99"/>
    <w:semiHidden/>
    <w:rsid w:val="00A00CA4"/>
    <w:rPr>
      <w:rFonts w:ascii="Lucida Grande" w:hAnsi="Lucida Grande"/>
      <w:sz w:val="18"/>
      <w:szCs w:val="18"/>
    </w:rPr>
  </w:style>
  <w:style w:type="paragraph" w:customStyle="1" w:styleId="ParaNum">
    <w:name w:val="ParaNum"/>
    <w:basedOn w:val="Normal"/>
    <w:rsid w:val="00E07225"/>
    <w:pPr>
      <w:numPr>
        <w:numId w:val="2"/>
      </w:numPr>
      <w:spacing w:after="120"/>
    </w:pPr>
  </w:style>
  <w:style w:type="paragraph" w:styleId="EndnoteText">
    <w:name w:val="endnote text"/>
    <w:basedOn w:val="Normal"/>
    <w:semiHidden/>
    <w:rsid w:val="00BF0EDB"/>
    <w:rPr>
      <w:sz w:val="20"/>
    </w:rPr>
  </w:style>
  <w:style w:type="character" w:styleId="EndnoteReference">
    <w:name w:val="endnote reference"/>
    <w:basedOn w:val="DefaultParagraphFont"/>
    <w:semiHidden/>
    <w:rsid w:val="00BF0EDB"/>
    <w:rPr>
      <w:vertAlign w:val="superscript"/>
    </w:rPr>
  </w:style>
  <w:style w:type="paragraph" w:styleId="FootnoteText">
    <w:name w:val="footnote text"/>
    <w:link w:val="FootnoteTextChar"/>
    <w:semiHidden/>
    <w:rsid w:val="000E3D42"/>
    <w:pPr>
      <w:spacing w:after="120"/>
    </w:pPr>
  </w:style>
  <w:style w:type="character" w:styleId="FootnoteReference">
    <w:name w:val="footnote reference"/>
    <w:basedOn w:val="DefaultParagraphFont"/>
    <w:semiHidden/>
    <w:rsid w:val="00043B6C"/>
    <w:rPr>
      <w:vertAlign w:val="superscript"/>
    </w:rPr>
  </w:style>
  <w:style w:type="paragraph" w:styleId="TOC1">
    <w:name w:val="toc 1"/>
    <w:basedOn w:val="Normal"/>
    <w:next w:val="Normal"/>
    <w:uiPriority w:val="39"/>
    <w:rsid w:val="00BF0EDB"/>
    <w:pPr>
      <w:tabs>
        <w:tab w:val="left" w:pos="360"/>
        <w:tab w:val="right" w:leader="dot" w:pos="9360"/>
      </w:tabs>
      <w:suppressAutoHyphens/>
      <w:ind w:left="360" w:right="720" w:hanging="360"/>
    </w:pPr>
    <w:rPr>
      <w:caps/>
      <w:noProof/>
    </w:rPr>
  </w:style>
  <w:style w:type="paragraph" w:styleId="TOC2">
    <w:name w:val="toc 2"/>
    <w:basedOn w:val="Normal"/>
    <w:next w:val="Normal"/>
    <w:uiPriority w:val="39"/>
    <w:rsid w:val="00BF0EDB"/>
    <w:pPr>
      <w:tabs>
        <w:tab w:val="left" w:pos="720"/>
        <w:tab w:val="right" w:leader="dot" w:pos="9360"/>
      </w:tabs>
      <w:suppressAutoHyphens/>
      <w:ind w:left="720" w:right="720" w:hanging="360"/>
    </w:pPr>
    <w:rPr>
      <w:noProof/>
    </w:rPr>
  </w:style>
  <w:style w:type="paragraph" w:styleId="TOC3">
    <w:name w:val="toc 3"/>
    <w:basedOn w:val="Normal"/>
    <w:next w:val="Normal"/>
    <w:uiPriority w:val="39"/>
    <w:rsid w:val="00BF0EDB"/>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BF0EDB"/>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BF0EDB"/>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BF0EDB"/>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BF0EDB"/>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BF0EDB"/>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BF0EDB"/>
    <w:pPr>
      <w:tabs>
        <w:tab w:val="left" w:pos="3240"/>
        <w:tab w:val="right" w:leader="dot" w:pos="9360"/>
      </w:tabs>
      <w:suppressAutoHyphens/>
      <w:ind w:left="3240" w:hanging="360"/>
    </w:pPr>
    <w:rPr>
      <w:noProof/>
    </w:rPr>
  </w:style>
  <w:style w:type="paragraph" w:styleId="TOAHeading">
    <w:name w:val="toa heading"/>
    <w:basedOn w:val="Normal"/>
    <w:next w:val="Normal"/>
    <w:semiHidden/>
    <w:rsid w:val="00BF0EDB"/>
    <w:pPr>
      <w:tabs>
        <w:tab w:val="right" w:pos="9360"/>
      </w:tabs>
      <w:suppressAutoHyphens/>
    </w:pPr>
  </w:style>
  <w:style w:type="character" w:customStyle="1" w:styleId="EquationCaption">
    <w:name w:val="_Equation Caption"/>
    <w:rsid w:val="00BF0EDB"/>
  </w:style>
  <w:style w:type="paragraph" w:styleId="Header">
    <w:name w:val="header"/>
    <w:basedOn w:val="Normal"/>
    <w:autoRedefine/>
    <w:rsid w:val="00016C77"/>
    <w:pPr>
      <w:tabs>
        <w:tab w:val="center" w:pos="4680"/>
        <w:tab w:val="right" w:pos="9360"/>
      </w:tabs>
      <w:ind w:firstLine="1080"/>
    </w:pPr>
    <w:rPr>
      <w:rFonts w:ascii="Arial" w:hAnsi="Arial" w:cs="Arial"/>
      <w:b/>
      <w:sz w:val="100"/>
      <w:szCs w:val="100"/>
    </w:rPr>
  </w:style>
  <w:style w:type="paragraph" w:styleId="Footer">
    <w:name w:val="footer"/>
    <w:basedOn w:val="Normal"/>
    <w:rsid w:val="00BF0EDB"/>
    <w:pPr>
      <w:tabs>
        <w:tab w:val="center" w:pos="4320"/>
        <w:tab w:val="right" w:pos="8640"/>
      </w:tabs>
    </w:pPr>
  </w:style>
  <w:style w:type="character" w:styleId="PageNumber">
    <w:name w:val="page number"/>
    <w:basedOn w:val="DefaultParagraphFont"/>
    <w:rsid w:val="00BF0EDB"/>
  </w:style>
  <w:style w:type="paragraph" w:styleId="BlockText">
    <w:name w:val="Block Text"/>
    <w:basedOn w:val="Normal"/>
    <w:rsid w:val="00BF0EDB"/>
    <w:pPr>
      <w:spacing w:after="240"/>
      <w:ind w:left="1440" w:right="1440"/>
    </w:pPr>
  </w:style>
  <w:style w:type="paragraph" w:customStyle="1" w:styleId="Paratitle">
    <w:name w:val="Para title"/>
    <w:basedOn w:val="Normal"/>
    <w:rsid w:val="00BF0EDB"/>
    <w:pPr>
      <w:tabs>
        <w:tab w:val="center" w:pos="9270"/>
      </w:tabs>
      <w:spacing w:after="240"/>
    </w:pPr>
    <w:rPr>
      <w:spacing w:val="-2"/>
    </w:rPr>
  </w:style>
  <w:style w:type="paragraph" w:customStyle="1" w:styleId="Bullet">
    <w:name w:val="Bullet"/>
    <w:basedOn w:val="Normal"/>
    <w:rsid w:val="00BF0EDB"/>
    <w:pPr>
      <w:numPr>
        <w:numId w:val="1"/>
      </w:numPr>
      <w:tabs>
        <w:tab w:val="clear" w:pos="360"/>
        <w:tab w:val="left" w:pos="2160"/>
      </w:tabs>
      <w:spacing w:after="220"/>
      <w:ind w:left="2160" w:hanging="720"/>
    </w:pPr>
  </w:style>
  <w:style w:type="paragraph" w:customStyle="1" w:styleId="TableFormat">
    <w:name w:val="TableFormat"/>
    <w:basedOn w:val="Bullet"/>
    <w:rsid w:val="00BF0EDB"/>
    <w:pPr>
      <w:numPr>
        <w:numId w:val="0"/>
      </w:numPr>
      <w:tabs>
        <w:tab w:val="clear" w:pos="2160"/>
        <w:tab w:val="left" w:pos="5040"/>
      </w:tabs>
      <w:ind w:left="5040" w:hanging="3600"/>
    </w:pPr>
  </w:style>
  <w:style w:type="paragraph" w:customStyle="1" w:styleId="TOCTitle">
    <w:name w:val="TOC Title"/>
    <w:basedOn w:val="Normal"/>
    <w:rsid w:val="00BF0EDB"/>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basedOn w:val="DefaultParagraphFont"/>
    <w:rsid w:val="002A2D2E"/>
    <w:rPr>
      <w:color w:val="0000FF"/>
      <w:u w:val="single"/>
    </w:rPr>
  </w:style>
  <w:style w:type="character" w:customStyle="1" w:styleId="BalloonTextChar1">
    <w:name w:val="Balloon Text Char1"/>
    <w:basedOn w:val="DefaultParagraphFont"/>
    <w:link w:val="BalloonText"/>
    <w:uiPriority w:val="99"/>
    <w:semiHidden/>
    <w:rsid w:val="004D191C"/>
    <w:rPr>
      <w:rFonts w:ascii="Tahoma" w:hAnsi="Tahoma" w:cs="Tahoma"/>
      <w:snapToGrid w:val="0"/>
      <w:kern w:val="28"/>
      <w:sz w:val="16"/>
      <w:szCs w:val="16"/>
    </w:rPr>
  </w:style>
  <w:style w:type="character" w:styleId="CommentReference">
    <w:name w:val="annotation reference"/>
    <w:basedOn w:val="DefaultParagraphFont"/>
    <w:uiPriority w:val="99"/>
    <w:semiHidden/>
    <w:unhideWhenUsed/>
    <w:rsid w:val="00DF1C04"/>
    <w:rPr>
      <w:sz w:val="16"/>
      <w:szCs w:val="16"/>
    </w:rPr>
  </w:style>
  <w:style w:type="paragraph" w:styleId="CommentText">
    <w:name w:val="annotation text"/>
    <w:basedOn w:val="Normal"/>
    <w:link w:val="CommentTextChar"/>
    <w:uiPriority w:val="99"/>
    <w:semiHidden/>
    <w:unhideWhenUsed/>
    <w:rsid w:val="00DF1C04"/>
    <w:rPr>
      <w:sz w:val="20"/>
    </w:rPr>
  </w:style>
  <w:style w:type="character" w:customStyle="1" w:styleId="CommentTextChar">
    <w:name w:val="Comment Text Char"/>
    <w:basedOn w:val="DefaultParagraphFont"/>
    <w:link w:val="CommentText"/>
    <w:uiPriority w:val="99"/>
    <w:semiHidden/>
    <w:rsid w:val="00DF1C04"/>
    <w:rPr>
      <w:snapToGrid w:val="0"/>
      <w:kern w:val="28"/>
    </w:rPr>
  </w:style>
  <w:style w:type="paragraph" w:styleId="CommentSubject">
    <w:name w:val="annotation subject"/>
    <w:basedOn w:val="CommentText"/>
    <w:next w:val="CommentText"/>
    <w:link w:val="CommentSubjectChar"/>
    <w:uiPriority w:val="99"/>
    <w:semiHidden/>
    <w:unhideWhenUsed/>
    <w:rsid w:val="00DF1C04"/>
    <w:rPr>
      <w:b/>
      <w:bCs/>
    </w:rPr>
  </w:style>
  <w:style w:type="character" w:customStyle="1" w:styleId="CommentSubjectChar">
    <w:name w:val="Comment Subject Char"/>
    <w:basedOn w:val="CommentTextChar"/>
    <w:link w:val="CommentSubject"/>
    <w:uiPriority w:val="99"/>
    <w:semiHidden/>
    <w:rsid w:val="00DF1C04"/>
    <w:rPr>
      <w:b/>
      <w:bCs/>
      <w:snapToGrid w:val="0"/>
      <w:kern w:val="28"/>
    </w:rPr>
  </w:style>
  <w:style w:type="paragraph" w:styleId="ListParagraph">
    <w:name w:val="List Paragraph"/>
    <w:basedOn w:val="Normal"/>
    <w:uiPriority w:val="34"/>
    <w:qFormat/>
    <w:rsid w:val="009C52CC"/>
    <w:pPr>
      <w:widowControl/>
      <w:spacing w:after="200" w:line="276" w:lineRule="auto"/>
      <w:ind w:left="720"/>
      <w:contextualSpacing/>
    </w:pPr>
    <w:rPr>
      <w:rFonts w:asciiTheme="minorHAnsi" w:eastAsiaTheme="minorHAnsi" w:hAnsiTheme="minorHAnsi" w:cstheme="minorBidi"/>
      <w:snapToGrid/>
      <w:kern w:val="0"/>
      <w:sz w:val="20"/>
      <w:szCs w:val="22"/>
    </w:rPr>
  </w:style>
  <w:style w:type="character" w:styleId="FollowedHyperlink">
    <w:name w:val="FollowedHyperlink"/>
    <w:basedOn w:val="DefaultParagraphFont"/>
    <w:rsid w:val="00B6048B"/>
    <w:rPr>
      <w:color w:val="800080" w:themeColor="followedHyperlink"/>
      <w:u w:val="single"/>
    </w:rPr>
  </w:style>
  <w:style w:type="character" w:customStyle="1" w:styleId="FootnoteTextChar">
    <w:name w:val="Footnote Text Char"/>
    <w:basedOn w:val="DefaultParagraphFont"/>
    <w:link w:val="FootnoteText"/>
    <w:semiHidden/>
    <w:rsid w:val="00275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Public%20Notice%20Paragraph%20T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\Forms\OS Process\Public Notice Paragraph TOC.dot</Template>
  <TotalTime>0</TotalTime>
  <Pages>18</Pages>
  <Words>8304</Words>
  <Characters>47333</Characters>
  <Application>Microsoft Macintosh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55526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2013-11-01T17:35:00Z</cp:lastPrinted>
  <dcterms:created xsi:type="dcterms:W3CDTF">2013-11-04T18:54:00Z</dcterms:created>
  <dcterms:modified xsi:type="dcterms:W3CDTF">2013-11-04T18:54:00Z</dcterms:modified>
  <cp:category> </cp:category>
  <cp:contentStatus> </cp:contentStatus>
</cp:coreProperties>
</file>