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6B687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Clarification on </w:t>
            </w:r>
            <w:r w:rsidR="006B687E">
              <w:rPr>
                <w:rFonts w:hint="eastAsia"/>
                <w:b/>
                <w:lang w:eastAsia="ko-KR"/>
              </w:rPr>
              <w:t>Direct Communication Link Management</w:t>
            </w:r>
            <w:r>
              <w:rPr>
                <w:rFonts w:hint="eastAsia"/>
                <w:b/>
                <w:lang w:eastAsia="ko-KR"/>
              </w:rPr>
              <w:t xml:space="preserve">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114C7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6B687E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Pr="00B114C7" w:rsidRDefault="00B114C7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9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310574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B114C7">
              <w:rPr>
                <w:rFonts w:hint="eastAsia"/>
                <w:lang w:eastAsia="ko-KR"/>
              </w:rPr>
              <w:t>Letter Ballot #38 Recirc</w:t>
            </w:r>
            <w:r w:rsidR="00310574">
              <w:rPr>
                <w:rFonts w:hint="eastAsia"/>
                <w:lang w:eastAsia="ko-KR"/>
              </w:rPr>
              <w:t>ulation</w:t>
            </w:r>
            <w:r w:rsidR="00B114C7">
              <w:rPr>
                <w:rFonts w:hint="eastAsia"/>
                <w:lang w:eastAsia="ko-KR"/>
              </w:rPr>
              <w:t xml:space="preserve">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6B687E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This contribution proposes text changes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to clarify </w:t>
            </w:r>
            <w:r w:rsidR="006B687E">
              <w:rPr>
                <w:rFonts w:hint="eastAsia"/>
                <w:lang w:eastAsia="ko-KR"/>
              </w:rPr>
              <w:t>direct communication link management 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310574">
        <w:rPr>
          <w:rFonts w:ascii="Arial" w:hAnsi="Arial" w:hint="eastAsia"/>
        </w:rPr>
        <w:lastRenderedPageBreak/>
        <w:t xml:space="preserve">Clarification on </w:t>
      </w:r>
      <w:r w:rsidR="006B687E">
        <w:rPr>
          <w:rFonts w:ascii="Arial" w:hAnsi="Arial" w:hint="eastAsia"/>
          <w:lang w:eastAsia="ko-KR"/>
        </w:rPr>
        <w:t>Direct Communication Link Management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Lim, </w:t>
      </w:r>
      <w:proofErr w:type="spellStart"/>
      <w:r>
        <w:rPr>
          <w:rFonts w:ascii="Arial" w:hAnsi="Arial" w:hint="eastAsia"/>
          <w:lang w:eastAsia="ko-KR"/>
        </w:rPr>
        <w:t>Dongseung</w:t>
      </w:r>
      <w:proofErr w:type="spellEnd"/>
      <w:r>
        <w:rPr>
          <w:rFonts w:ascii="Arial" w:hAnsi="Arial" w:hint="eastAsia"/>
          <w:lang w:eastAsia="ko-KR"/>
        </w:rPr>
        <w:t xml:space="preserve"> Kwon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92701D" w:rsidRDefault="00873E96">
      <w:pPr>
        <w:pStyle w:val="Body"/>
        <w:rPr>
          <w:lang w:eastAsia="ko-KR"/>
        </w:rPr>
      </w:pPr>
      <w:r w:rsidRPr="00873E96">
        <w:t xml:space="preserve">The description on direct communication link management </w:t>
      </w:r>
      <w:r w:rsidRPr="00873E96">
        <w:rPr>
          <w:rFonts w:hint="eastAsia"/>
        </w:rPr>
        <w:t>in IEEE 802.16.1a</w:t>
      </w:r>
      <w:r>
        <w:t xml:space="preserve"> </w:t>
      </w:r>
      <w:r w:rsidRPr="00873E96">
        <w:t>needs to be clarified including signaling mechanisms of the defined messages.</w:t>
      </w:r>
    </w:p>
    <w:p w:rsidR="008D747C" w:rsidRPr="00E15B2A" w:rsidRDefault="008D747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</w:t>
      </w:r>
      <w:r w:rsidR="00FD0B4C" w:rsidRPr="00FD0B4C">
        <w:rPr>
          <w:rFonts w:hint="eastAsia"/>
          <w:vertAlign w:val="superscript"/>
          <w:lang w:eastAsia="ko-KR"/>
        </w:rPr>
        <w:t>TM</w:t>
      </w:r>
      <w:r w:rsidR="00FD0B4C">
        <w:rPr>
          <w:rFonts w:hint="eastAsia"/>
          <w:lang w:eastAsia="ko-KR"/>
        </w:rPr>
        <w:t xml:space="preserve">/D2,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Access Systems - Draft Amendment: Higher Reliability Networks, </w:t>
      </w:r>
      <w:r w:rsidR="00FD0B4C">
        <w:rPr>
          <w:rFonts w:hint="eastAsia"/>
          <w:lang w:eastAsia="ko-KR"/>
        </w:rPr>
        <w:t>Apr</w:t>
      </w:r>
      <w:r w:rsidR="00C97D5D">
        <w:rPr>
          <w:rFonts w:hint="eastAsia"/>
          <w:lang w:eastAsia="ko-KR"/>
        </w:rPr>
        <w:t>.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>IEEE P802.16.1</w:t>
      </w:r>
      <w:r w:rsidR="00FD0B4C" w:rsidRPr="00C97D5D">
        <w:rPr>
          <w:vertAlign w:val="superscript"/>
          <w:lang w:eastAsia="ko-KR"/>
        </w:rPr>
        <w:t>TM</w:t>
      </w:r>
      <w:r w:rsidR="00FD0B4C" w:rsidRPr="00FD0B4C">
        <w:rPr>
          <w:lang w:eastAsia="ko-KR"/>
        </w:rPr>
        <w:t>/D</w:t>
      </w:r>
      <w:r w:rsidR="00C97D5D">
        <w:rPr>
          <w:rFonts w:hint="eastAsia"/>
          <w:lang w:eastAsia="ko-KR"/>
        </w:rPr>
        <w:t>6</w:t>
      </w:r>
      <w:r w:rsidR="00FD0B4C" w:rsidRPr="00FD0B4C">
        <w:rPr>
          <w:lang w:eastAsia="ko-KR"/>
        </w:rPr>
        <w:t xml:space="preserve">, IEEE Draft for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Wireless Access Systems, </w:t>
      </w:r>
      <w:r w:rsidR="00C97D5D">
        <w:rPr>
          <w:rFonts w:hint="eastAsia"/>
          <w:lang w:eastAsia="ko-KR"/>
        </w:rPr>
        <w:t>Apr.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E31965" w:rsidRPr="00470633" w:rsidRDefault="00E31965" w:rsidP="00D70923">
      <w:pPr>
        <w:pStyle w:val="Body"/>
        <w:rPr>
          <w:rFonts w:cs="Times"/>
          <w:color w:val="000000"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 w:rsidR="00574D98">
        <w:rPr>
          <w:rFonts w:cs="Times" w:hint="eastAsia"/>
          <w:i/>
          <w:szCs w:val="24"/>
          <w:lang w:eastAsia="ko-KR"/>
        </w:rPr>
        <w:t xml:space="preserve">Remedy #1: </w:t>
      </w:r>
      <w:r w:rsidR="00FA3901"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="00FA3901"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sentence</w:t>
      </w:r>
      <w:r w:rsidR="00470633">
        <w:rPr>
          <w:rFonts w:cs="Times" w:hint="eastAsia"/>
          <w:i/>
          <w:szCs w:val="24"/>
          <w:lang w:eastAsia="ko-KR"/>
        </w:rPr>
        <w:t>s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470633">
        <w:rPr>
          <w:rFonts w:cs="Times"/>
          <w:i/>
          <w:szCs w:val="24"/>
          <w:lang w:eastAsia="ko-KR"/>
        </w:rPr>
        <w:t>in Section 6.</w:t>
      </w:r>
      <w:r w:rsidR="00470633">
        <w:rPr>
          <w:rFonts w:cs="Times" w:hint="eastAsia"/>
          <w:i/>
          <w:szCs w:val="24"/>
          <w:lang w:eastAsia="ko-KR"/>
        </w:rPr>
        <w:t>12.2.2.1.2.1</w:t>
      </w:r>
      <w:r w:rsidR="00574D98">
        <w:rPr>
          <w:rFonts w:cs="Times" w:hint="eastAsia"/>
          <w:i/>
          <w:szCs w:val="24"/>
          <w:lang w:eastAsia="ko-KR"/>
        </w:rPr>
        <w:t>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332056">
        <w:rPr>
          <w:rFonts w:cs="Times" w:hint="eastAsia"/>
          <w:i/>
          <w:szCs w:val="24"/>
          <w:lang w:eastAsia="ko-KR"/>
        </w:rPr>
        <w:t xml:space="preserve">115 </w:t>
      </w:r>
      <w:r w:rsidRPr="00470633">
        <w:rPr>
          <w:rFonts w:cs="Times"/>
          <w:i/>
          <w:szCs w:val="24"/>
          <w:lang w:eastAsia="ko-KR"/>
        </w:rPr>
        <w:t>in the IEEE P802.16.1a/D2 Draft Standard as follows.]</w:t>
      </w:r>
    </w:p>
    <w:p w:rsidR="00147D78" w:rsidRPr="00470633" w:rsidRDefault="00147D78" w:rsidP="00147D78">
      <w:pPr>
        <w:wordWrap/>
        <w:adjustRightInd w:val="0"/>
        <w:rPr>
          <w:rFonts w:ascii="Arial" w:hAnsi="Arial" w:cs="Arial"/>
          <w:b/>
          <w:bCs/>
          <w:sz w:val="24"/>
          <w:szCs w:val="24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6.12.2.2.1.2.1.1 Direct communication link creation</w:t>
      </w:r>
    </w:p>
    <w:p w:rsidR="00470633" w:rsidRDefault="00147D78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6903E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When HR-BS creates direct communication link between two HR-MSs. It shall send link creation message</w:t>
      </w:r>
      <w:r w:rsidR="00470633" w:rsidRPr="006903E2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6903E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to both source and destination HR-MSs. Direct communication link creation can only be initiated by the HR-BS. The HR-MSs shall send back a response once they receive the direct communication link creation request. Once the HR-BS receives responses from both HR-MSs, it can continue on other steps of direct communication setup.</w:t>
      </w:r>
      <w:r w:rsidR="000D7C2B" w:rsidRPr="006903E2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="000D7C2B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When </w:t>
      </w:r>
      <w:r w:rsid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an </w:t>
      </w:r>
      <w:r w:rsidR="000D7C2B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HR-BS creates a direct communication link between two HR-MSs, the HR-BS </w:t>
      </w:r>
      <w:r w:rsidR="000D7C2B" w:rsidRPr="006903E2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 xml:space="preserve">shall request creation of the </w:t>
      </w:r>
      <w:r w:rsidR="000D7C2B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direct communication link to the HR-MSs </w:t>
      </w:r>
      <w:r w:rsidR="00DD42D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by sending</w:t>
      </w:r>
      <w:r w:rsidR="000D7C2B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 AAI-DC-LC-REQ</w:t>
      </w:r>
      <w:r w:rsidR="00DD42D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to the HR-MSs</w:t>
      </w:r>
      <w:r w:rsidR="000D7C2B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. </w:t>
      </w:r>
      <w:r w:rsidR="006B687E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If one of the HR-MSs is not associated with the HR-BS, </w:t>
      </w:r>
      <w:r w:rsidR="001628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then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its peer</w:t>
      </w:r>
      <w:r w:rsidR="006B687E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should </w:t>
      </w:r>
      <w:r w:rsidR="006B687E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forward the received AAI-DC-LC-REQ to it. </w:t>
      </w:r>
      <w:r w:rsidR="000D7C2B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 response to the received AAI-DC-LC-REQ</w:t>
      </w:r>
      <w:r w:rsid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from the serving HR-BS or the </w:t>
      </w:r>
      <w:r w:rsidR="001628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peer</w:t>
      </w:r>
      <w:r w:rsid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6B687E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HR-MS</w:t>
      </w:r>
      <w:r w:rsidR="000D7C2B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, the HR-MSs shall send an AAI-DC-LC-RSP to the HR-BS</w:t>
      </w:r>
      <w:r w:rsidR="00964D9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or the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peer</w:t>
      </w:r>
      <w:r w:rsidR="00964D9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="006903E2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. </w:t>
      </w:r>
      <w:r w:rsidR="006B687E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The AAI-DC-LC-RSP from the HR-MS not associated with the HR-BS </w:t>
      </w:r>
      <w:r w:rsidR="006D4D2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should be</w:t>
      </w:r>
      <w:r w:rsidR="006B687E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forwarded to the HR-BS by the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peer</w:t>
      </w:r>
      <w:r w:rsidR="006B687E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HR-MS. </w:t>
      </w:r>
      <w:r w:rsidR="006903E2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Once the HR-BS receives the response including </w:t>
      </w:r>
      <w:r w:rsidR="006903E2" w:rsidRPr="006903E2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confirmation</w:t>
      </w:r>
      <w:r w:rsidR="006903E2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code set to 0 from both the HR-MSs, it can continue on next steps to establish a direct communication service flow.</w:t>
      </w:r>
      <w:r w:rsidR="00964D9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If at least one of the </w:t>
      </w:r>
      <w:r w:rsidR="00964D9C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confirmation</w:t>
      </w:r>
      <w:r w:rsidR="00964D9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codes determined by the HR-MSs is set to 1, then the HR-BS stops creating the direct communication link.</w:t>
      </w:r>
    </w:p>
    <w:p w:rsidR="000D7C2B" w:rsidRPr="00574D98" w:rsidRDefault="000D7C2B" w:rsidP="00574D98">
      <w:pPr>
        <w:pStyle w:val="Body"/>
        <w:rPr>
          <w:rFonts w:cs="Times"/>
          <w:i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#2: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sentence</w:t>
      </w:r>
      <w:r>
        <w:rPr>
          <w:rFonts w:cs="Times" w:hint="eastAsia"/>
          <w:i/>
          <w:szCs w:val="24"/>
          <w:lang w:eastAsia="ko-KR"/>
        </w:rPr>
        <w:t>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6.</w:t>
      </w:r>
      <w:r>
        <w:rPr>
          <w:rFonts w:cs="Times" w:hint="eastAsia"/>
          <w:i/>
          <w:szCs w:val="24"/>
          <w:lang w:eastAsia="ko-KR"/>
        </w:rPr>
        <w:t>12.2.2.1.2.1.2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115</w:t>
      </w:r>
      <w:r w:rsidRPr="00470633">
        <w:rPr>
          <w:rFonts w:cs="Times"/>
          <w:i/>
          <w:szCs w:val="24"/>
          <w:lang w:eastAsia="ko-KR"/>
        </w:rPr>
        <w:t xml:space="preserve"> in the IEEE P802.16.1a/D2 </w:t>
      </w:r>
      <w:r w:rsidRPr="00470633">
        <w:rPr>
          <w:rFonts w:cs="Times"/>
          <w:i/>
          <w:szCs w:val="24"/>
          <w:lang w:eastAsia="ko-KR"/>
        </w:rPr>
        <w:lastRenderedPageBreak/>
        <w:t>Draft Standard as follows.]</w:t>
      </w:r>
    </w:p>
    <w:p w:rsidR="00147D78" w:rsidRPr="00470633" w:rsidRDefault="00147D78" w:rsidP="00147D78">
      <w:pPr>
        <w:wordWrap/>
        <w:adjustRightInd w:val="0"/>
        <w:rPr>
          <w:rFonts w:ascii="Arial" w:hAnsi="Arial" w:cs="Arial"/>
          <w:b/>
          <w:bCs/>
          <w:sz w:val="24"/>
          <w:szCs w:val="24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6.12.2.2.1.2.1.2 Direct Communication Link Deletion</w:t>
      </w:r>
    </w:p>
    <w:p w:rsidR="00147D78" w:rsidRPr="00D07A29" w:rsidRDefault="00147D78" w:rsidP="00147D78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  <w:r w:rsidRPr="00D07A29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When HR-BS wants</w:t>
      </w:r>
      <w:r w:rsidR="006903E2" w:rsidRPr="00D07A29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to</w:t>
      </w:r>
      <w:r w:rsidRPr="00D07A29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 remove a direct communication link, it shall send deletion request to both HR-MS and wait for responses from the HR-MSs.</w:t>
      </w:r>
    </w:p>
    <w:p w:rsidR="00470633" w:rsidRPr="00D07A29" w:rsidRDefault="00470633" w:rsidP="00147D78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147D78" w:rsidRPr="00D07A29" w:rsidRDefault="00147D78" w:rsidP="00147D78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  <w:r w:rsidRPr="00D07A29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HR-MS shall reply with reasons to HR-BS when it receives the link deletion request from HR-BS.</w:t>
      </w:r>
    </w:p>
    <w:p w:rsidR="006D4D2C" w:rsidRPr="006D4D2C" w:rsidRDefault="006D4D2C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6D4D2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When an HR-BS wants to remove a direct communication link between two HR-MSs, the HR-BS shall request deletion of the direct communication link to the HR-MSs </w:t>
      </w:r>
      <w:r w:rsidR="00DD42D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by sending</w:t>
      </w:r>
      <w:r w:rsidRPr="006D4D2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 AAI-DC-LD-REQ</w:t>
      </w:r>
      <w:r w:rsidR="00DD42D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to the HR-BSs</w:t>
      </w:r>
      <w:r w:rsidRPr="006D4D2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. 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If one of the HR-MSs is not associated with the HR-BS,</w:t>
      </w:r>
      <w:r w:rsidR="001628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then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its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peer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should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forward the received AAI-DC-L</w:t>
      </w:r>
      <w:r w:rsidR="002A6B6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-REQ to it. </w:t>
      </w:r>
      <w:r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 response to the received AAI-DC-L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</w:t>
      </w:r>
      <w:r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-REQ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from the serving HR-BS or the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peer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, the HR-MSs shall send an AAI-DC-L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</w:t>
      </w:r>
      <w:r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-RSP to the HR-BS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or the peer</w:t>
      </w:r>
      <w:r w:rsidR="00964D9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="006C6CDC" w:rsidRP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associated with the HR-BS</w:t>
      </w:r>
      <w:r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. 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The AAI-DC-L</w:t>
      </w:r>
      <w:r w:rsidR="00964D9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-RSP from the HR-MS not associated with the HR-BS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should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be forwarded to the HR-BS by the other HR-MS. </w:t>
      </w:r>
      <w:r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Once the HR-BS receives the response</w:t>
      </w:r>
      <w:r w:rsidR="009E262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from both the HR-MSs</w:t>
      </w:r>
      <w:r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, it </w:t>
      </w:r>
      <w:r w:rsidR="00DD42D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may</w:t>
      </w:r>
      <w:r w:rsidR="009E262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release the TWDCs assigned to the HR-MSs</w:t>
      </w:r>
      <w:r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.</w:t>
      </w:r>
    </w:p>
    <w:p w:rsidR="00470633" w:rsidRDefault="00470633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#3: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sentence</w:t>
      </w:r>
      <w:r>
        <w:rPr>
          <w:rFonts w:cs="Times" w:hint="eastAsia"/>
          <w:i/>
          <w:szCs w:val="24"/>
          <w:lang w:eastAsia="ko-KR"/>
        </w:rPr>
        <w:t>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6.</w:t>
      </w:r>
      <w:r>
        <w:rPr>
          <w:rFonts w:cs="Times" w:hint="eastAsia"/>
          <w:i/>
          <w:szCs w:val="24"/>
          <w:lang w:eastAsia="ko-KR"/>
        </w:rPr>
        <w:t>12.2.2.1.2.1.3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116</w:t>
      </w:r>
      <w:r w:rsidRPr="00470633">
        <w:rPr>
          <w:rFonts w:cs="Times"/>
          <w:i/>
          <w:szCs w:val="24"/>
          <w:lang w:eastAsia="ko-KR"/>
        </w:rPr>
        <w:t xml:space="preserve"> in the IEEE P802.16.1a/D2 Draft Standard as follows.]</w:t>
      </w:r>
    </w:p>
    <w:p w:rsidR="00147D78" w:rsidRPr="00470633" w:rsidRDefault="00147D78" w:rsidP="00147D78">
      <w:pPr>
        <w:wordWrap/>
        <w:adjustRightInd w:val="0"/>
        <w:rPr>
          <w:rFonts w:ascii="Arial" w:hAnsi="Arial" w:cs="Arial"/>
          <w:b/>
          <w:bCs/>
          <w:sz w:val="24"/>
          <w:szCs w:val="24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6.12.2.2.1.2.1.3 Direct Communication Link Report</w:t>
      </w:r>
    </w:p>
    <w:p w:rsidR="00147D78" w:rsidRPr="006B687E" w:rsidRDefault="00147D78" w:rsidP="00147D78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  <w:r w:rsidRPr="006B687E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HR-BS may require the HR-MS report the status of the direct communication link by sending a request to</w:t>
      </w:r>
      <w:r w:rsidR="00470633" w:rsidRPr="006B687E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6B687E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relative HR-MS.</w:t>
      </w:r>
    </w:p>
    <w:p w:rsidR="00470633" w:rsidRPr="006B687E" w:rsidRDefault="00470633" w:rsidP="00147D78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147D78" w:rsidRPr="006B687E" w:rsidRDefault="00147D78" w:rsidP="00470633">
      <w:pPr>
        <w:wordWrap/>
        <w:adjustRightInd w:val="0"/>
        <w:rPr>
          <w:rFonts w:ascii="Times" w:hAnsi="Times" w:cs="Times"/>
          <w:strike/>
          <w:color w:val="FF0000"/>
          <w:sz w:val="24"/>
          <w:szCs w:val="24"/>
          <w:lang w:eastAsia="ko-KR"/>
        </w:rPr>
      </w:pPr>
      <w:r w:rsidRPr="006B687E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HR-MS shall send back report regarding the direct communication link when it receives a link report</w:t>
      </w:r>
      <w:r w:rsidR="00470633" w:rsidRPr="006B687E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6B687E">
        <w:rPr>
          <w:rFonts w:ascii="Times" w:hAnsi="Times" w:cs="Times"/>
          <w:strike/>
          <w:color w:val="FF0000"/>
          <w:sz w:val="24"/>
          <w:szCs w:val="24"/>
          <w:lang w:eastAsia="ko-KR"/>
        </w:rPr>
        <w:t>request from HR-BS.</w:t>
      </w:r>
    </w:p>
    <w:p w:rsidR="006B687E" w:rsidRPr="00493F1C" w:rsidRDefault="001628B4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n </w:t>
      </w:r>
      <w:r w:rsidR="00F25D25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HR-BS </w:t>
      </w:r>
      <w:r w:rsidR="00DD42D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may require an HR-MS involving direct communication to report the status of 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its</w:t>
      </w:r>
      <w:r w:rsidR="00DD42D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dir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ect communication link by sending an AAI-DC-LR-REQ to the HR-MS. 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If 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the HR-MS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is not associated with the HR-BS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its peer HR-MS is associated with the HR-BS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, 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then 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the 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peer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should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forward the received AAI-DC-L</w:t>
      </w:r>
      <w:r w:rsidR="002A6B6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R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-REQ to 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the HR-BS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. </w:t>
      </w:r>
      <w:r w:rsidR="00F25D25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 response to the received AAI-DC-L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R</w:t>
      </w:r>
      <w:r w:rsidR="00F25D25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-REQ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from the serving HR-BS or the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peer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="00F25D25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, the HR-MS shall send an AAI-DC-L</w:t>
      </w:r>
      <w:r w:rsidR="002A6B6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R</w:t>
      </w:r>
      <w:r w:rsidR="00F25D25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-RSP to the HR-BS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or the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peer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="00F25D25" w:rsidRPr="006903E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. 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The AAI-DC-L</w:t>
      </w:r>
      <w:r w:rsidR="002A6B6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R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-</w:t>
      </w:r>
      <w:r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RSP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from the HR-MS not associated with the HR-BS should be forwarded to the HR-BS by the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peer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associated with the HR-BS</w:t>
      </w:r>
      <w:r w:rsidR="00F25D25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.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If the HR-BS receives the response including </w:t>
      </w:r>
      <w:r w:rsidR="00E52603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Link state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set to 0 from the HR-MS, the HR-BS maintains the direct communication link activated. Otherwise, the HR-BS </w:t>
      </w:r>
      <w:r w:rsidR="00332056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may request the HR-MSs involving the direct communication to delete its link </w:t>
      </w:r>
      <w:r w:rsidR="00E52603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using</w:t>
      </w:r>
      <w:r w:rsidR="00332056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the link deletion </w:t>
      </w:r>
      <w:r w:rsidR="00E52603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procedure </w:t>
      </w:r>
      <w:r w:rsidR="00332056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in 6.12.2.2.1.2.1.2. Also, the HR-BS </w:t>
      </w:r>
      <w:r w:rsidR="006C6CD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may</w:t>
      </w:r>
      <w:r w:rsidR="00332056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hold </w:t>
      </w:r>
      <w:r w:rsidR="00493F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the direct communication link</w:t>
      </w:r>
      <w:r w:rsidR="00332056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deactivated rather than </w:t>
      </w:r>
      <w:r w:rsidR="00E52603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delete</w:t>
      </w:r>
      <w:r w:rsidR="002A6B6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</w:t>
      </w:r>
      <w:r w:rsidR="00493F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it, and the HR-BS may request the HR-MS to report its </w:t>
      </w:r>
      <w:r w:rsidR="00E52603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link </w:t>
      </w:r>
      <w:r w:rsidR="00493F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stat</w:t>
      </w:r>
      <w:r w:rsidR="00E52603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us</w:t>
      </w:r>
      <w:r w:rsidR="00332056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again</w:t>
      </w:r>
      <w:r w:rsidR="00493F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in order to check whether it becomes </w:t>
      </w:r>
      <w:r w:rsidR="00332056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active</w:t>
      </w:r>
      <w:r w:rsidR="00493F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or not.</w:t>
      </w:r>
      <w:r w:rsidR="00E52603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If the link status </w:t>
      </w:r>
      <w:r w:rsidR="002A6B6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of the deactivated direct communication link </w:t>
      </w:r>
      <w:r w:rsidR="00E52603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is reported as active, then the HR-BS can change the direct communication link activated</w:t>
      </w:r>
      <w:r w:rsidR="002A6B6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establish service flow on it</w:t>
      </w:r>
      <w:r w:rsidR="00E52603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.</w:t>
      </w: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</w:p>
    <w:bookmarkEnd w:id="1"/>
    <w:sectPr w:rsidR="008D747C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7F" w:rsidRDefault="00C97D5D">
      <w:r>
        <w:separator/>
      </w:r>
    </w:p>
  </w:endnote>
  <w:endnote w:type="continuationSeparator" w:id="0">
    <w:p w:rsidR="0024547F" w:rsidRDefault="00C9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2A6B6C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A6B6C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7F" w:rsidRDefault="00C97D5D">
      <w:r>
        <w:separator/>
      </w:r>
    </w:p>
  </w:footnote>
  <w:footnote w:type="continuationSeparator" w:id="0">
    <w:p w:rsidR="0024547F" w:rsidRDefault="00C9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6C792A">
      <w:rPr>
        <w:rFonts w:hint="eastAsia"/>
        <w:lang w:eastAsia="ko-KR"/>
      </w:rPr>
      <w:t>0337</w:t>
    </w:r>
    <w:r w:rsidRPr="009C07E4">
      <w:t>-</w:t>
    </w:r>
    <w:r>
      <w:t>00</w:t>
    </w:r>
    <w:r w:rsidRPr="009C07E4">
      <w:t>-</w:t>
    </w:r>
    <w:bookmarkEnd w:id="2"/>
    <w:bookmarkEnd w:id="3"/>
    <w:r w:rsidR="00310574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92FBC"/>
    <w:rsid w:val="0009430D"/>
    <w:rsid w:val="00095AE2"/>
    <w:rsid w:val="000D7C2B"/>
    <w:rsid w:val="000F39E3"/>
    <w:rsid w:val="00147D78"/>
    <w:rsid w:val="001628B4"/>
    <w:rsid w:val="001873E1"/>
    <w:rsid w:val="001945BD"/>
    <w:rsid w:val="001C31EF"/>
    <w:rsid w:val="002257F4"/>
    <w:rsid w:val="002431FB"/>
    <w:rsid w:val="0024547F"/>
    <w:rsid w:val="002907D6"/>
    <w:rsid w:val="002A2744"/>
    <w:rsid w:val="002A6B6C"/>
    <w:rsid w:val="002D41FE"/>
    <w:rsid w:val="002F5D4C"/>
    <w:rsid w:val="00310574"/>
    <w:rsid w:val="003316E2"/>
    <w:rsid w:val="00332056"/>
    <w:rsid w:val="00340F4B"/>
    <w:rsid w:val="00373B86"/>
    <w:rsid w:val="00385B6E"/>
    <w:rsid w:val="004419CE"/>
    <w:rsid w:val="00470633"/>
    <w:rsid w:val="00474B3D"/>
    <w:rsid w:val="00493F1C"/>
    <w:rsid w:val="004C4989"/>
    <w:rsid w:val="0055480C"/>
    <w:rsid w:val="00574D98"/>
    <w:rsid w:val="00594A58"/>
    <w:rsid w:val="005A6A10"/>
    <w:rsid w:val="005B2A89"/>
    <w:rsid w:val="00620E9A"/>
    <w:rsid w:val="006660AD"/>
    <w:rsid w:val="00675A03"/>
    <w:rsid w:val="006903E2"/>
    <w:rsid w:val="006B687E"/>
    <w:rsid w:val="006C6CDC"/>
    <w:rsid w:val="006C792A"/>
    <w:rsid w:val="006D4D2C"/>
    <w:rsid w:val="006E6CA9"/>
    <w:rsid w:val="006F5F69"/>
    <w:rsid w:val="007013EE"/>
    <w:rsid w:val="007A65B2"/>
    <w:rsid w:val="007C2472"/>
    <w:rsid w:val="007C2BC7"/>
    <w:rsid w:val="00860281"/>
    <w:rsid w:val="00873E96"/>
    <w:rsid w:val="00883A58"/>
    <w:rsid w:val="008B705A"/>
    <w:rsid w:val="008D747C"/>
    <w:rsid w:val="0092701D"/>
    <w:rsid w:val="00931504"/>
    <w:rsid w:val="00936442"/>
    <w:rsid w:val="00940B69"/>
    <w:rsid w:val="009434A5"/>
    <w:rsid w:val="00964D9C"/>
    <w:rsid w:val="0096683C"/>
    <w:rsid w:val="00970550"/>
    <w:rsid w:val="009B4BE0"/>
    <w:rsid w:val="009C07E4"/>
    <w:rsid w:val="009E262A"/>
    <w:rsid w:val="009F36DA"/>
    <w:rsid w:val="00A26E23"/>
    <w:rsid w:val="00A277C3"/>
    <w:rsid w:val="00A44A86"/>
    <w:rsid w:val="00A83017"/>
    <w:rsid w:val="00A9536D"/>
    <w:rsid w:val="00AA5F61"/>
    <w:rsid w:val="00AA7CB7"/>
    <w:rsid w:val="00AE6F86"/>
    <w:rsid w:val="00B114C7"/>
    <w:rsid w:val="00B47939"/>
    <w:rsid w:val="00BE10E9"/>
    <w:rsid w:val="00BE18FC"/>
    <w:rsid w:val="00BE734F"/>
    <w:rsid w:val="00C0402F"/>
    <w:rsid w:val="00C724AF"/>
    <w:rsid w:val="00C97D5D"/>
    <w:rsid w:val="00CF093A"/>
    <w:rsid w:val="00D07A29"/>
    <w:rsid w:val="00D70923"/>
    <w:rsid w:val="00D73040"/>
    <w:rsid w:val="00DD42DB"/>
    <w:rsid w:val="00DE2F03"/>
    <w:rsid w:val="00E07AB2"/>
    <w:rsid w:val="00E15B2A"/>
    <w:rsid w:val="00E31965"/>
    <w:rsid w:val="00E47D14"/>
    <w:rsid w:val="00E52603"/>
    <w:rsid w:val="00E5656C"/>
    <w:rsid w:val="00E6713D"/>
    <w:rsid w:val="00E80323"/>
    <w:rsid w:val="00EB060C"/>
    <w:rsid w:val="00F030F1"/>
    <w:rsid w:val="00F25D25"/>
    <w:rsid w:val="00F36FDC"/>
    <w:rsid w:val="00F81C39"/>
    <w:rsid w:val="00F86E56"/>
    <w:rsid w:val="00FA1B3D"/>
    <w:rsid w:val="00FA3901"/>
    <w:rsid w:val="00FA7C5E"/>
    <w:rsid w:val="00FD0B4C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.shin@etri.re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7405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Wooram Shin</cp:lastModifiedBy>
  <cp:revision>27</cp:revision>
  <cp:lastPrinted>2113-01-01T05:00:00Z</cp:lastPrinted>
  <dcterms:created xsi:type="dcterms:W3CDTF">2011-12-29T23:12:00Z</dcterms:created>
  <dcterms:modified xsi:type="dcterms:W3CDTF">2012-05-05T05:12:00Z</dcterms:modified>
  <cp:category/>
</cp:coreProperties>
</file>