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IEEE P802.15</w:t>
      </w:r>
    </w:p>
    <w:p>
      <w:pPr>
        <w:pStyle w:val="Normal"/>
        <w:jc w:val="center"/>
        <w:rPr>
          <w:b/>
          <w:b/>
          <w:bCs/>
          <w:sz w:val="28"/>
          <w:szCs w:val="28"/>
        </w:rPr>
      </w:pPr>
      <w:r>
        <w:rPr>
          <w:b/>
          <w:bCs/>
          <w:sz w:val="28"/>
          <w:szCs w:val="28"/>
        </w:rPr>
        <w:t>Wireless Specialty Networks</w:t>
      </w:r>
    </w:p>
    <w:p>
      <w:pPr>
        <w:pStyle w:val="Normal"/>
        <w:rPr/>
      </w:pPr>
      <w:r>
        <w:rPr/>
      </w:r>
    </w:p>
    <w:p>
      <w:pPr>
        <w:pStyle w:val="Normal"/>
        <w:rPr/>
      </w:pPr>
      <w:r>
        <w:rPr/>
      </w:r>
    </w:p>
    <w:tbl>
      <w:tblPr>
        <w:tblW w:w="10070" w:type="dxa"/>
        <w:jc w:val="left"/>
        <w:tblInd w:w="0" w:type="dxa"/>
        <w:tblLayout w:type="fixed"/>
        <w:tblCellMar>
          <w:top w:w="0" w:type="dxa"/>
          <w:left w:w="108" w:type="dxa"/>
          <w:bottom w:w="0" w:type="dxa"/>
          <w:right w:w="108" w:type="dxa"/>
        </w:tblCellMar>
      </w:tblPr>
      <w:tblGrid>
        <w:gridCol w:w="1795"/>
        <w:gridCol w:w="1505"/>
        <w:gridCol w:w="1400"/>
        <w:gridCol w:w="2040"/>
        <w:gridCol w:w="1240"/>
        <w:gridCol w:w="2090"/>
      </w:tblGrid>
      <w:tr>
        <w:trPr/>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Title:</w:t>
            </w:r>
          </w:p>
        </w:tc>
        <w:tc>
          <w:tcPr>
            <w:tcW w:w="8275" w:type="dxa"/>
            <w:gridSpan w:val="5"/>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eastAsia="Times New Roman"/>
                <w:b/>
                <w:b/>
                <w:bCs/>
                <w:kern w:val="2"/>
                <w:sz w:val="24"/>
                <w:szCs w:val="24"/>
                <w:lang w:val="en-US" w:eastAsia="en-US" w:bidi="ar-SA"/>
              </w:rPr>
            </w:pPr>
            <w:r>
              <w:rPr>
                <w:rFonts w:eastAsia="Times New Roman"/>
                <w:b/>
                <w:bCs/>
                <w:kern w:val="2"/>
                <w:sz w:val="24"/>
                <w:szCs w:val="24"/>
                <w:lang w:val="en-US" w:eastAsia="en-US" w:bidi="ar-SA"/>
              </w:rPr>
            </w:r>
          </w:p>
          <w:p>
            <w:pPr>
              <w:pStyle w:val="Normal"/>
              <w:widowControl/>
              <w:spacing w:lineRule="auto" w:line="240" w:before="0" w:after="0"/>
              <w:jc w:val="left"/>
              <w:rPr>
                <w:b/>
                <w:b/>
                <w:bCs/>
              </w:rPr>
            </w:pPr>
            <w:r>
              <w:rPr>
                <w:rFonts w:eastAsia="Times New Roman"/>
                <w:b/>
                <w:bCs/>
                <w:kern w:val="2"/>
                <w:sz w:val="24"/>
                <w:szCs w:val="24"/>
                <w:lang w:val="en-US" w:eastAsia="en-US" w:bidi="ar-SA"/>
              </w:rPr>
              <w:t>Fixing Security Issues in the 4ab draft</w:t>
            </w:r>
          </w:p>
          <w:p>
            <w:pPr>
              <w:pStyle w:val="Normal"/>
              <w:widowControl/>
              <w:spacing w:lineRule="auto" w:line="240" w:before="0" w:after="0"/>
              <w:jc w:val="left"/>
              <w:rPr>
                <w:rFonts w:ascii="Times New Roman" w:hAnsi="Times New Roman" w:eastAsia="Times New Roman"/>
                <w:b/>
                <w:b/>
                <w:bCs/>
                <w:kern w:val="2"/>
                <w:sz w:val="24"/>
                <w:szCs w:val="24"/>
                <w:lang w:val="en-US" w:eastAsia="en-US" w:bidi="ar-SA"/>
              </w:rPr>
            </w:pPr>
            <w:r>
              <w:rPr>
                <w:rFonts w:eastAsia="Times New Roman"/>
                <w:b/>
                <w:bCs/>
                <w:kern w:val="2"/>
                <w:sz w:val="24"/>
                <w:szCs w:val="24"/>
                <w:lang w:val="en-US" w:eastAsia="en-US" w:bidi="ar-SA"/>
              </w:rPr>
            </w:r>
          </w:p>
        </w:tc>
      </w:tr>
      <w:tr>
        <w:trPr/>
        <w:tc>
          <w:tcPr>
            <w:tcW w:w="17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Date Submitted:</w:t>
            </w:r>
          </w:p>
        </w:tc>
        <w:tc>
          <w:tcPr>
            <w:tcW w:w="8275" w:type="dxa"/>
            <w:gridSpan w:val="5"/>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2025-</w:t>
            </w:r>
            <w:r>
              <w:rPr>
                <w:rFonts w:eastAsia="Times New Roman"/>
                <w:kern w:val="2"/>
                <w:sz w:val="24"/>
                <w:szCs w:val="24"/>
                <w:lang w:val="en-US" w:eastAsia="en-US" w:bidi="ar-SA"/>
              </w:rPr>
              <w:t>10</w:t>
            </w:r>
            <w:r>
              <w:rPr>
                <w:rFonts w:eastAsia="Times New Roman"/>
                <w:kern w:val="2"/>
                <w:sz w:val="24"/>
                <w:szCs w:val="24"/>
                <w:lang w:val="en-US" w:eastAsia="en-US" w:bidi="ar-SA"/>
              </w:rPr>
              <w:t>-</w:t>
            </w:r>
            <w:r>
              <w:rPr>
                <w:rFonts w:eastAsia="Times New Roman"/>
                <w:kern w:val="2"/>
                <w:sz w:val="24"/>
                <w:szCs w:val="24"/>
                <w:lang w:val="en-US" w:eastAsia="en-US" w:bidi="ar-SA"/>
              </w:rPr>
              <w:t>05</w:t>
            </w:r>
          </w:p>
        </w:tc>
      </w:tr>
      <w:tr>
        <w:trPr/>
        <w:tc>
          <w:tcPr>
            <w:tcW w:w="17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Name:</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Tero Kivinen</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Affiliation:</w:t>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Wi-SUN Alliance</w:t>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E-Mail</w:t>
            </w:r>
          </w:p>
        </w:tc>
        <w:tc>
          <w:tcPr>
            <w:tcW w:w="20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kivinen@iki.fi</w:t>
            </w:r>
          </w:p>
        </w:tc>
      </w:tr>
      <w:tr>
        <w:trPr/>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Abstract:</w:t>
            </w:r>
          </w:p>
        </w:tc>
        <w:tc>
          <w:tcPr>
            <w:tcW w:w="8275" w:type="dxa"/>
            <w:gridSpan w:val="5"/>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r>
          </w:p>
          <w:p>
            <w:pPr>
              <w:pStyle w:val="Normal"/>
              <w:widowControl/>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 xml:space="preserve">Provide </w:t>
            </w:r>
            <w:r>
              <w:rPr>
                <w:rFonts w:eastAsia="Times New Roman"/>
                <w:kern w:val="2"/>
                <w:sz w:val="24"/>
                <w:szCs w:val="24"/>
                <w:lang w:val="en-US" w:eastAsia="en-US" w:bidi="ar-SA"/>
              </w:rPr>
              <w:t xml:space="preserve">secure format </w:t>
            </w:r>
            <w:r>
              <w:rPr>
                <w:rFonts w:eastAsia="Times New Roman"/>
                <w:kern w:val="2"/>
                <w:sz w:val="24"/>
                <w:szCs w:val="24"/>
                <w:lang w:val="en-US" w:eastAsia="en-US" w:bidi="ar-SA"/>
              </w:rPr>
              <w:t>for compact frames, replacing the current broken format in 4ab draft.</w:t>
            </w:r>
          </w:p>
          <w:p>
            <w:pPr>
              <w:pStyle w:val="Normal"/>
              <w:widowControl/>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r>
          </w:p>
        </w:tc>
      </w:tr>
    </w:tbl>
    <w:p>
      <w:pPr>
        <w:pStyle w:val="Normal"/>
        <w:rPr/>
      </w:pPr>
      <w:r>
        <w:rPr/>
      </w:r>
    </w:p>
    <w:p>
      <w:pPr>
        <w:pStyle w:val="Normal"/>
        <w:rPr/>
      </w:pPr>
      <w:r>
        <w:rPr/>
      </w:r>
      <w:r>
        <w:br w:type="page"/>
      </w:r>
    </w:p>
    <w:tbl>
      <w:tblPr>
        <w:tblW w:w="5000" w:type="pct"/>
        <w:jc w:val="left"/>
        <w:tblInd w:w="-5" w:type="dxa"/>
        <w:tblLayout w:type="fixed"/>
        <w:tblCellMar>
          <w:top w:w="55" w:type="dxa"/>
          <w:left w:w="55" w:type="dxa"/>
          <w:bottom w:w="55" w:type="dxa"/>
          <w:right w:w="55" w:type="dxa"/>
        </w:tblCellMar>
      </w:tblPr>
      <w:tblGrid>
        <w:gridCol w:w="2323"/>
        <w:gridCol w:w="1842"/>
        <w:gridCol w:w="5915"/>
      </w:tblGrid>
      <w:tr>
        <w:trPr/>
        <w:tc>
          <w:tcPr>
            <w:tcW w:w="10080" w:type="dxa"/>
            <w:gridSpan w:val="3"/>
            <w:tcBorders>
              <w:top w:val="single" w:sz="4" w:space="0" w:color="000000"/>
              <w:left w:val="single" w:sz="4" w:space="0" w:color="000000"/>
              <w:bottom w:val="single" w:sz="4" w:space="0" w:color="000000"/>
              <w:right w:val="single" w:sz="4" w:space="0" w:color="000000"/>
            </w:tcBorders>
            <w:shd w:fill="B2B2B2" w:val="clear"/>
          </w:tcPr>
          <w:p>
            <w:pPr>
              <w:pStyle w:val="TableContents"/>
              <w:pageBreakBefore/>
              <w:spacing w:before="0" w:after="160"/>
              <w:jc w:val="center"/>
              <w:rPr>
                <w:rFonts w:ascii="Arial" w:hAnsi="Arial"/>
                <w:b/>
                <w:b/>
                <w:bCs/>
              </w:rPr>
            </w:pPr>
            <w:r>
              <w:rPr>
                <w:rFonts w:ascii="Arial" w:hAnsi="Arial"/>
                <w:b/>
                <w:bCs/>
              </w:rPr>
              <w:t xml:space="preserve"> </w:t>
            </w:r>
            <w:r>
              <w:rPr>
                <w:rFonts w:ascii="Arial" w:hAnsi="Arial"/>
                <w:b/>
                <w:bCs/>
              </w:rPr>
              <w:t xml:space="preserve">Change history of </w:t>
            </w:r>
            <w:r>
              <w:rPr>
                <w:rFonts w:ascii="Arial" w:hAnsi="Arial"/>
                <w:b/>
                <w:bCs/>
              </w:rPr>
              <w:t>this document</w:t>
            </w:r>
          </w:p>
        </w:tc>
      </w:tr>
      <w:tr>
        <w:trPr/>
        <w:tc>
          <w:tcPr>
            <w:tcW w:w="2323" w:type="dxa"/>
            <w:tcBorders>
              <w:left w:val="single" w:sz="4" w:space="0" w:color="000000"/>
              <w:bottom w:val="single" w:sz="4" w:space="0" w:color="000000"/>
            </w:tcBorders>
            <w:shd w:fill="B2B2B2" w:val="clear"/>
          </w:tcPr>
          <w:p>
            <w:pPr>
              <w:pStyle w:val="TableContents"/>
              <w:spacing w:before="0" w:after="160"/>
              <w:jc w:val="center"/>
              <w:rPr>
                <w:rFonts w:ascii="Arial" w:hAnsi="Arial"/>
                <w:b/>
                <w:b/>
                <w:bCs/>
              </w:rPr>
            </w:pPr>
            <w:r>
              <w:rPr>
                <w:rFonts w:ascii="Arial" w:hAnsi="Arial"/>
                <w:b/>
                <w:bCs/>
              </w:rPr>
              <w:t>Revision</w:t>
            </w:r>
          </w:p>
        </w:tc>
        <w:tc>
          <w:tcPr>
            <w:tcW w:w="1842" w:type="dxa"/>
            <w:tcBorders>
              <w:left w:val="single" w:sz="4" w:space="0" w:color="000000"/>
              <w:bottom w:val="single" w:sz="4" w:space="0" w:color="000000"/>
            </w:tcBorders>
            <w:shd w:fill="B2B2B2" w:val="clear"/>
          </w:tcPr>
          <w:p>
            <w:pPr>
              <w:pStyle w:val="TableContents"/>
              <w:spacing w:before="0" w:after="160"/>
              <w:jc w:val="center"/>
              <w:rPr>
                <w:rFonts w:ascii="Arial" w:hAnsi="Arial"/>
                <w:b/>
                <w:b/>
                <w:bCs/>
              </w:rPr>
            </w:pPr>
            <w:r>
              <w:rPr>
                <w:rFonts w:ascii="Arial" w:hAnsi="Arial"/>
                <w:b/>
                <w:bCs/>
              </w:rPr>
              <w:t>Date</w:t>
            </w:r>
          </w:p>
        </w:tc>
        <w:tc>
          <w:tcPr>
            <w:tcW w:w="5915" w:type="dxa"/>
            <w:tcBorders>
              <w:left w:val="single" w:sz="4" w:space="0" w:color="000000"/>
              <w:bottom w:val="single" w:sz="4" w:space="0" w:color="000000"/>
              <w:right w:val="single" w:sz="4" w:space="0" w:color="000000"/>
            </w:tcBorders>
            <w:shd w:fill="B2B2B2" w:val="clear"/>
          </w:tcPr>
          <w:p>
            <w:pPr>
              <w:pStyle w:val="TableContents"/>
              <w:spacing w:before="0" w:after="160"/>
              <w:jc w:val="center"/>
              <w:rPr>
                <w:rFonts w:ascii="Arial" w:hAnsi="Arial"/>
                <w:b/>
                <w:b/>
                <w:bCs/>
              </w:rPr>
            </w:pPr>
            <w:r>
              <w:rPr>
                <w:rFonts w:ascii="Arial" w:hAnsi="Arial"/>
                <w:b/>
                <w:bCs/>
              </w:rPr>
              <w:t>Description</w:t>
            </w:r>
          </w:p>
        </w:tc>
      </w:tr>
      <w:tr>
        <w:trPr/>
        <w:tc>
          <w:tcPr>
            <w:tcW w:w="2323" w:type="dxa"/>
            <w:tcBorders>
              <w:left w:val="single" w:sz="4" w:space="0" w:color="000000"/>
              <w:bottom w:val="single" w:sz="4" w:space="0" w:color="000000"/>
            </w:tcBorders>
          </w:tcPr>
          <w:p>
            <w:pPr>
              <w:pStyle w:val="TableContents"/>
              <w:spacing w:before="0" w:after="160"/>
              <w:rPr>
                <w:rFonts w:ascii="Arial" w:hAnsi="Arial"/>
                <w:sz w:val="20"/>
                <w:szCs w:val="20"/>
              </w:rPr>
            </w:pPr>
            <w:r>
              <w:rPr>
                <w:rFonts w:ascii="Arial" w:hAnsi="Arial"/>
                <w:sz w:val="20"/>
                <w:szCs w:val="20"/>
              </w:rPr>
              <w:t>15-25-0</w:t>
            </w:r>
            <w:r>
              <w:rPr>
                <w:rFonts w:ascii="Arial" w:hAnsi="Arial"/>
                <w:sz w:val="20"/>
                <w:szCs w:val="20"/>
              </w:rPr>
              <w:t>505</w:t>
            </w:r>
            <w:r>
              <w:rPr>
                <w:rFonts w:ascii="Arial" w:hAnsi="Arial"/>
                <w:sz w:val="20"/>
                <w:szCs w:val="20"/>
              </w:rPr>
              <w:t>-00</w:t>
            </w:r>
          </w:p>
        </w:tc>
        <w:tc>
          <w:tcPr>
            <w:tcW w:w="1842" w:type="dxa"/>
            <w:tcBorders>
              <w:left w:val="single" w:sz="4" w:space="0" w:color="000000"/>
              <w:bottom w:val="single" w:sz="4" w:space="0" w:color="000000"/>
            </w:tcBorders>
          </w:tcPr>
          <w:p>
            <w:pPr>
              <w:pStyle w:val="TableContents"/>
              <w:spacing w:before="0" w:after="160"/>
              <w:rPr>
                <w:rFonts w:ascii="Arial" w:hAnsi="Arial"/>
                <w:sz w:val="20"/>
                <w:szCs w:val="20"/>
              </w:rPr>
            </w:pPr>
            <w:r>
              <w:rPr>
                <w:rFonts w:ascii="Arial" w:hAnsi="Arial"/>
                <w:sz w:val="20"/>
                <w:szCs w:val="20"/>
              </w:rPr>
              <w:t>2025-</w:t>
            </w:r>
            <w:r>
              <w:rPr>
                <w:rFonts w:ascii="Arial" w:hAnsi="Arial"/>
                <w:sz w:val="20"/>
                <w:szCs w:val="20"/>
              </w:rPr>
              <w:t>10</w:t>
            </w:r>
            <w:r>
              <w:rPr>
                <w:rFonts w:ascii="Arial" w:hAnsi="Arial"/>
                <w:sz w:val="20"/>
                <w:szCs w:val="20"/>
              </w:rPr>
              <w:t>-</w:t>
            </w:r>
            <w:r>
              <w:rPr>
                <w:rFonts w:ascii="Arial" w:hAnsi="Arial"/>
                <w:sz w:val="20"/>
                <w:szCs w:val="20"/>
              </w:rPr>
              <w:t>05</w:t>
            </w:r>
          </w:p>
        </w:tc>
        <w:tc>
          <w:tcPr>
            <w:tcW w:w="5915" w:type="dxa"/>
            <w:tcBorders>
              <w:left w:val="single" w:sz="4" w:space="0" w:color="000000"/>
              <w:bottom w:val="single" w:sz="4" w:space="0" w:color="000000"/>
              <w:right w:val="single" w:sz="4" w:space="0" w:color="000000"/>
            </w:tcBorders>
          </w:tcPr>
          <w:p>
            <w:pPr>
              <w:pStyle w:val="TableContents"/>
              <w:spacing w:before="0" w:after="160"/>
              <w:rPr>
                <w:rFonts w:ascii="Arial" w:hAnsi="Arial"/>
                <w:sz w:val="20"/>
                <w:szCs w:val="20"/>
              </w:rPr>
            </w:pPr>
            <w:r>
              <w:rPr>
                <w:rFonts w:ascii="Arial" w:hAnsi="Arial"/>
                <w:sz w:val="20"/>
                <w:szCs w:val="20"/>
              </w:rPr>
              <w:t>Initial version</w:t>
            </w:r>
          </w:p>
        </w:tc>
      </w:tr>
      <w:tr>
        <w:trPr/>
        <w:tc>
          <w:tcPr>
            <w:tcW w:w="2323" w:type="dxa"/>
            <w:tcBorders>
              <w:left w:val="single" w:sz="4" w:space="0" w:color="000000"/>
              <w:bottom w:val="single" w:sz="4" w:space="0" w:color="000000"/>
            </w:tcBorders>
          </w:tcPr>
          <w:p>
            <w:pPr>
              <w:pStyle w:val="TableContents"/>
              <w:spacing w:before="0" w:after="160"/>
              <w:rPr>
                <w:rFonts w:ascii="Arial" w:hAnsi="Arial"/>
                <w:sz w:val="20"/>
                <w:szCs w:val="20"/>
              </w:rPr>
            </w:pPr>
            <w:r>
              <w:rPr>
                <w:rFonts w:ascii="Arial" w:hAnsi="Arial"/>
                <w:sz w:val="20"/>
                <w:szCs w:val="20"/>
              </w:rPr>
            </w:r>
          </w:p>
        </w:tc>
        <w:tc>
          <w:tcPr>
            <w:tcW w:w="1842" w:type="dxa"/>
            <w:tcBorders>
              <w:left w:val="single" w:sz="4" w:space="0" w:color="000000"/>
              <w:bottom w:val="single" w:sz="4" w:space="0" w:color="000000"/>
            </w:tcBorders>
          </w:tcPr>
          <w:p>
            <w:pPr>
              <w:pStyle w:val="TableContents"/>
              <w:spacing w:before="0" w:after="160"/>
              <w:rPr>
                <w:rFonts w:ascii="Arial" w:hAnsi="Arial"/>
                <w:sz w:val="20"/>
                <w:szCs w:val="20"/>
              </w:rPr>
            </w:pPr>
            <w:r>
              <w:rPr>
                <w:rFonts w:ascii="Arial" w:hAnsi="Arial"/>
                <w:sz w:val="20"/>
                <w:szCs w:val="20"/>
              </w:rPr>
            </w:r>
          </w:p>
        </w:tc>
        <w:tc>
          <w:tcPr>
            <w:tcW w:w="5915" w:type="dxa"/>
            <w:tcBorders>
              <w:left w:val="single" w:sz="4" w:space="0" w:color="000000"/>
              <w:bottom w:val="single" w:sz="4" w:space="0" w:color="000000"/>
              <w:right w:val="single" w:sz="4" w:space="0" w:color="000000"/>
            </w:tcBorders>
          </w:tcPr>
          <w:p>
            <w:pPr>
              <w:pStyle w:val="TableContents"/>
              <w:spacing w:before="0" w:after="160"/>
              <w:rPr>
                <w:rFonts w:ascii="Arial" w:hAnsi="Arial"/>
                <w:sz w:val="20"/>
                <w:szCs w:val="20"/>
              </w:rPr>
            </w:pPr>
            <w:r>
              <w:rPr>
                <w:rFonts w:ascii="Arial" w:hAnsi="Arial"/>
                <w:sz w:val="20"/>
                <w:szCs w:val="20"/>
              </w:rPr>
            </w:r>
          </w:p>
        </w:tc>
      </w:tr>
      <w:tr>
        <w:trPr/>
        <w:tc>
          <w:tcPr>
            <w:tcW w:w="2323" w:type="dxa"/>
            <w:tcBorders>
              <w:left w:val="single" w:sz="4" w:space="0" w:color="000000"/>
              <w:bottom w:val="single" w:sz="4" w:space="0" w:color="000000"/>
            </w:tcBorders>
          </w:tcPr>
          <w:p>
            <w:pPr>
              <w:pStyle w:val="TableContents"/>
              <w:spacing w:before="0" w:after="160"/>
              <w:rPr>
                <w:rFonts w:ascii="Arial" w:hAnsi="Arial"/>
                <w:sz w:val="20"/>
                <w:szCs w:val="20"/>
              </w:rPr>
            </w:pPr>
            <w:r>
              <w:rPr>
                <w:rFonts w:ascii="Arial" w:hAnsi="Arial"/>
                <w:sz w:val="20"/>
                <w:szCs w:val="20"/>
              </w:rPr>
            </w:r>
          </w:p>
        </w:tc>
        <w:tc>
          <w:tcPr>
            <w:tcW w:w="1842" w:type="dxa"/>
            <w:tcBorders>
              <w:left w:val="single" w:sz="4" w:space="0" w:color="000000"/>
              <w:bottom w:val="single" w:sz="4" w:space="0" w:color="000000"/>
            </w:tcBorders>
          </w:tcPr>
          <w:p>
            <w:pPr>
              <w:pStyle w:val="TableContents"/>
              <w:spacing w:before="0" w:after="160"/>
              <w:rPr>
                <w:rFonts w:ascii="Arial" w:hAnsi="Arial"/>
                <w:sz w:val="20"/>
                <w:szCs w:val="20"/>
              </w:rPr>
            </w:pPr>
            <w:r>
              <w:rPr>
                <w:rFonts w:ascii="Arial" w:hAnsi="Arial"/>
                <w:sz w:val="20"/>
                <w:szCs w:val="20"/>
              </w:rPr>
            </w:r>
          </w:p>
        </w:tc>
        <w:tc>
          <w:tcPr>
            <w:tcW w:w="5915" w:type="dxa"/>
            <w:tcBorders>
              <w:left w:val="single" w:sz="4" w:space="0" w:color="000000"/>
              <w:bottom w:val="single" w:sz="4" w:space="0" w:color="000000"/>
              <w:right w:val="single" w:sz="4" w:space="0" w:color="000000"/>
            </w:tcBorders>
          </w:tcPr>
          <w:p>
            <w:pPr>
              <w:pStyle w:val="TableContents"/>
              <w:spacing w:before="0" w:after="160"/>
              <w:rPr>
                <w:rFonts w:ascii="Arial" w:hAnsi="Arial"/>
                <w:sz w:val="20"/>
                <w:szCs w:val="20"/>
              </w:rPr>
            </w:pPr>
            <w:r>
              <w:rPr>
                <w:rFonts w:ascii="Arial" w:hAnsi="Arial"/>
                <w:sz w:val="20"/>
                <w:szCs w:val="20"/>
              </w:rPr>
            </w:r>
          </w:p>
        </w:tc>
      </w:tr>
    </w:tbl>
    <w:p>
      <w:pPr>
        <w:pStyle w:val="IEEEHeading1"/>
        <w:numPr>
          <w:ilvl w:val="0"/>
          <w:numId w:val="3"/>
        </w:numPr>
        <w:ind w:left="0" w:right="0" w:hanging="0"/>
        <w:rPr/>
      </w:pPr>
      <w:r>
        <w:rPr/>
        <w:t>Issues with current secured compact frame formats</w:t>
      </w:r>
    </w:p>
    <w:p>
      <w:pPr>
        <w:pStyle w:val="IEEEText"/>
        <w:rPr/>
      </w:pPr>
      <w:r>
        <w:rPr/>
        <w:t xml:space="preserve">The current proposal trying to provide security the compact frames is broken, as the nonce can be trivially be protected, and the format can only be used in the block based mode. The nonce uses Block index as part of the frame counter, and the Block index can be set by the attacker by sending Start of Ranging Compact frame. </w:t>
      </w:r>
    </w:p>
    <w:p>
      <w:pPr>
        <w:pStyle w:val="IEEEText"/>
        <w:rPr/>
      </w:pPr>
      <w:r>
        <w:rPr/>
        <w:t>The Start of Ranging Compact frame cannot be protected, as the frame counter used to protect it, depends on the starting block index field inside the frame, and also Start of Ranging Compact frame is not part of any ranging block, but is outside of them, making it impossible to be protected.</w:t>
      </w:r>
    </w:p>
    <w:p>
      <w:pPr>
        <w:pStyle w:val="IEEEText"/>
        <w:rPr/>
      </w:pPr>
      <w:r>
        <w:rPr/>
        <w:t>The attack goes like this:</w:t>
      </w:r>
    </w:p>
    <w:p>
      <w:pPr>
        <w:pStyle w:val="IEEEText"/>
        <w:numPr>
          <w:ilvl w:val="0"/>
          <w:numId w:val="7"/>
        </w:numPr>
        <w:rPr/>
      </w:pPr>
      <w:r>
        <w:rPr/>
        <w:t>Attacker listens one block ranging operation between devices using encrypted secured compact frames.</w:t>
      </w:r>
    </w:p>
    <w:p>
      <w:pPr>
        <w:pStyle w:val="IEEEText"/>
        <w:numPr>
          <w:ilvl w:val="0"/>
          <w:numId w:val="7"/>
        </w:numPr>
        <w:rPr/>
      </w:pPr>
      <w:r>
        <w:rPr/>
        <w:t>Attacker sends new Start of Ranging Compact frame that sets the Starting block index back to the same value it had in step 1.</w:t>
      </w:r>
    </w:p>
    <w:p>
      <w:pPr>
        <w:pStyle w:val="IEEEText"/>
        <w:numPr>
          <w:ilvl w:val="0"/>
          <w:numId w:val="7"/>
        </w:numPr>
        <w:rPr/>
      </w:pPr>
      <w:r>
        <w:rPr/>
        <w:t>Attacker now listens frames from recipient, and as those uses same frame counter than in the previous step, it can simply XOR the encrypted frames with same frame counter to each other and break the encryption of the frame.</w:t>
      </w:r>
    </w:p>
    <w:p>
      <w:pPr>
        <w:pStyle w:val="IEEEText"/>
        <w:numPr>
          <w:ilvl w:val="0"/>
          <w:numId w:val="7"/>
        </w:numPr>
        <w:rPr/>
      </w:pPr>
      <w:r>
        <w:rPr/>
        <w:t>This causes security vulnerability in the whole system.</w:t>
      </w:r>
    </w:p>
    <w:p>
      <w:pPr>
        <w:pStyle w:val="IEEEText"/>
        <w:rPr/>
      </w:pPr>
      <w:r>
        <w:rPr/>
        <w:t xml:space="preserve">If the recipient verifies that starting block index can’t go backwards, i.e., it always needs to be larger than previously seen, then the attacker can cause easy denial of service attack by sending one Start of Ranging Compact frame where the Starting block index is set to 0xffff, and after that recipient will reject all secured frames, and rekey is required to recover from the situation. </w:t>
      </w:r>
    </w:p>
    <w:p>
      <w:pPr>
        <w:pStyle w:val="IEEEHeading1"/>
        <w:numPr>
          <w:ilvl w:val="0"/>
          <w:numId w:val="3"/>
        </w:numPr>
        <w:ind w:left="0" w:right="0" w:hanging="0"/>
        <w:rPr/>
      </w:pPr>
      <w:r>
        <w:rPr/>
        <w:t>Protecting compact frames by encapsulating them to standard frames</w:t>
      </w:r>
    </w:p>
    <w:p>
      <w:pPr>
        <w:pStyle w:val="IEEEHeading2"/>
        <w:numPr>
          <w:ilvl w:val="1"/>
          <w:numId w:val="3"/>
        </w:numPr>
        <w:ind w:left="0" w:right="0" w:hanging="0"/>
        <w:rPr/>
      </w:pPr>
      <w:r>
        <w:rPr/>
        <w:t>General</w:t>
      </w:r>
    </w:p>
    <w:p>
      <w:pPr>
        <w:pStyle w:val="IEEEText"/>
        <w:rPr/>
      </w:pPr>
      <w:r>
        <w:rPr/>
        <w:t xml:space="preserve">The TG4ab draft contains new frame format called compact frames, which has serious </w:t>
      </w:r>
      <w:r>
        <w:rPr/>
        <w:t xml:space="preserve">security </w:t>
      </w:r>
      <w:r>
        <w:rPr/>
        <w:t xml:space="preserve">shortcomings. </w:t>
      </w:r>
    </w:p>
    <w:p>
      <w:pPr>
        <w:pStyle w:val="IEEEUnnumberedList"/>
        <w:numPr>
          <w:ilvl w:val="0"/>
          <w:numId w:val="5"/>
        </w:numPr>
        <w:rPr/>
      </w:pPr>
      <w:r>
        <w:rPr/>
        <w:t>Not all of the frames can be secured</w:t>
      </w:r>
    </w:p>
    <w:p>
      <w:pPr>
        <w:pStyle w:val="IEEEUnnumberedList"/>
        <w:numPr>
          <w:ilvl w:val="0"/>
          <w:numId w:val="5"/>
        </w:numPr>
        <w:rPr/>
      </w:pPr>
      <w:r>
        <w:rPr/>
        <w:t>When secured it requires upper layer coordination to be able to keep frame counters in sync and not to reuse frame counters.</w:t>
      </w:r>
    </w:p>
    <w:p>
      <w:pPr>
        <w:pStyle w:val="IEEEUnnumberedList"/>
        <w:numPr>
          <w:ilvl w:val="0"/>
          <w:numId w:val="5"/>
        </w:numPr>
        <w:rPr/>
      </w:pPr>
      <w:r>
        <w:rPr/>
        <w:t>As the parts of the frame counter is sent inside the unsecured frames this provides ability for attacker to break the security completely</w:t>
      </w:r>
    </w:p>
    <w:p>
      <w:pPr>
        <w:pStyle w:val="IEEEText"/>
        <w:rPr/>
      </w:pPr>
      <w:r>
        <w:rPr/>
        <w:t>This document provides and alternative way to do same thing but using existing IEEE Std 802.15.4 frame formats.</w:t>
      </w:r>
    </w:p>
    <w:p>
      <w:pPr>
        <w:pStyle w:val="IEEEHeading2"/>
        <w:numPr>
          <w:ilvl w:val="1"/>
          <w:numId w:val="3"/>
        </w:numPr>
        <w:ind w:left="0" w:right="0" w:hanging="0"/>
        <w:rPr/>
      </w:pPr>
      <w:r>
        <w:rPr/>
        <w:t>Options</w:t>
      </w:r>
    </w:p>
    <w:p>
      <w:pPr>
        <w:pStyle w:val="IEEEText"/>
        <w:rPr/>
      </w:pPr>
      <w:r>
        <w:rPr/>
        <w:t xml:space="preserve">In IEEE Std 802.15.4 there is multiple ways to do same things, and depending on the properties required different options can be selected. </w:t>
      </w:r>
      <w:r>
        <w:rPr/>
        <w:t>Here is some possible options</w:t>
      </w:r>
      <w:r>
        <w:rPr/>
        <w:t>:</w:t>
      </w:r>
    </w:p>
    <w:p>
      <w:pPr>
        <w:pStyle w:val="IEEEUnnumberedList"/>
        <w:numPr>
          <w:ilvl w:val="0"/>
          <w:numId w:val="8"/>
        </w:numPr>
        <w:rPr/>
      </w:pPr>
      <w:r>
        <w:rPr/>
        <w:t>MAC Command frames</w:t>
      </w:r>
    </w:p>
    <w:p>
      <w:pPr>
        <w:pStyle w:val="IEEEUnnumberedList"/>
        <w:numPr>
          <w:ilvl w:val="0"/>
          <w:numId w:val="8"/>
        </w:numPr>
        <w:rPr/>
      </w:pPr>
      <w:r>
        <w:rPr/>
        <w:t>Multipurpose frames containing IEs</w:t>
      </w:r>
    </w:p>
    <w:p>
      <w:pPr>
        <w:pStyle w:val="IEEEUnnumberedList"/>
        <w:numPr>
          <w:ilvl w:val="0"/>
          <w:numId w:val="8"/>
        </w:numPr>
        <w:rPr/>
      </w:pPr>
      <w:r>
        <w:rPr/>
        <w:t>Multipurpose frames with version number of 0b01 or 0b10.</w:t>
      </w:r>
    </w:p>
    <w:p>
      <w:pPr>
        <w:pStyle w:val="IEEEUnnumberedList"/>
        <w:numPr>
          <w:ilvl w:val="1"/>
          <w:numId w:val="8"/>
        </w:numPr>
        <w:rPr/>
      </w:pPr>
      <w:r>
        <w:rPr/>
        <w:t>Add new version of multipurpose frame which has one octet (version 0b01) or two octet (version 0b10) of sub-id field after the header before IEs.</w:t>
      </w:r>
    </w:p>
    <w:p>
      <w:pPr>
        <w:pStyle w:val="IEEEText"/>
        <w:rPr/>
      </w:pPr>
      <w:r>
        <w:rPr/>
        <w:t xml:space="preserve">All above </w:t>
      </w:r>
      <w:r>
        <w:rPr/>
        <w:t>use normal addressing formats, and can use the privacy addresses specified in the TG4ac. Different addressing schemes are used depending on the environment:</w:t>
      </w:r>
    </w:p>
    <w:p>
      <w:pPr>
        <w:pStyle w:val="IEEEUnnumberedList"/>
        <w:numPr>
          <w:ilvl w:val="0"/>
          <w:numId w:val="8"/>
        </w:numPr>
        <w:rPr/>
      </w:pPr>
      <w:r>
        <w:rPr/>
        <w:t>SrcAddrMode of NONE meaning no addresses, when the source frame address is already known (i.e., it is coordinator or whoever is initiating the system), and DstAddrMode of SHORT or EXTENDED with or without PAN ID.</w:t>
      </w:r>
    </w:p>
    <w:p>
      <w:pPr>
        <w:pStyle w:val="IEEEUnnumberedList"/>
        <w:numPr>
          <w:ilvl w:val="0"/>
          <w:numId w:val="8"/>
        </w:numPr>
        <w:rPr/>
      </w:pPr>
      <w:r>
        <w:rPr/>
        <w:t xml:space="preserve">SrcAddrMode of SHORT or EXTENDED with or without PAN ID and a DstAddrMode of NONE with </w:t>
      </w:r>
      <w:r>
        <w:rPr>
          <w:i/>
          <w:iCs/>
        </w:rPr>
        <w:t>macImplicitBroadcast</w:t>
      </w:r>
      <w:r>
        <w:rPr/>
        <w:t xml:space="preserve"> set to true (i.e., when the message is to be sent to group of devices).</w:t>
      </w:r>
    </w:p>
    <w:p>
      <w:pPr>
        <w:pStyle w:val="IEEEText"/>
        <w:rPr/>
      </w:pPr>
      <w:r>
        <w:rPr/>
        <w:t xml:space="preserve">These methods allow </w:t>
      </w:r>
      <w:r>
        <w:rPr/>
        <w:t>0/</w:t>
      </w:r>
      <w:r>
        <w:rPr/>
        <w:t>2/4/8/10 octet long addressing fields with full privacy if needed.</w:t>
      </w:r>
    </w:p>
    <w:p>
      <w:pPr>
        <w:pStyle w:val="IEEEText"/>
        <w:rPr/>
      </w:pPr>
      <w:r>
        <w:rPr/>
        <w:t>This document selected the MAC Command frames option.</w:t>
      </w:r>
    </w:p>
    <w:p>
      <w:pPr>
        <w:pStyle w:val="IEEEHeading1"/>
        <w:numPr>
          <w:ilvl w:val="0"/>
          <w:numId w:val="3"/>
        </w:numPr>
        <w:ind w:left="0" w:right="0" w:hanging="0"/>
        <w:rPr/>
      </w:pPr>
      <w:r>
        <w:rPr/>
        <w:t>MAC Command frame format</w:t>
      </w:r>
    </w:p>
    <w:p>
      <w:pPr>
        <w:pStyle w:val="IEEEHeading2"/>
        <w:numPr>
          <w:ilvl w:val="1"/>
          <w:numId w:val="3"/>
        </w:numPr>
        <w:ind w:left="0" w:right="0" w:hanging="0"/>
        <w:rPr/>
      </w:pPr>
      <w:r>
        <w:rPr/>
        <w:t xml:space="preserve">General </w:t>
      </w:r>
      <w:r>
        <w:rPr/>
        <w:t>format</w:t>
      </w:r>
    </w:p>
    <w:p>
      <w:pPr>
        <w:pStyle w:val="IEEEText"/>
        <w:rPr/>
      </w:pPr>
      <w:r>
        <w:rPr/>
        <w:t xml:space="preserve">This format uses </w:t>
      </w:r>
      <w:r>
        <w:rPr/>
        <w:t xml:space="preserve">MAC Command frames to send the </w:t>
      </w:r>
      <w:r>
        <w:rPr/>
        <w:t xml:space="preserve">compact </w:t>
      </w:r>
      <w:r>
        <w:rPr/>
        <w:t xml:space="preserve">frames. </w:t>
      </w:r>
      <w:r>
        <w:rPr/>
        <w:t xml:space="preserve">Each </w:t>
      </w:r>
      <w:r>
        <w:rPr/>
        <w:t xml:space="preserve">Compact frame type </w:t>
      </w:r>
      <w:r>
        <w:rPr/>
        <w:t xml:space="preserve">is allocated </w:t>
      </w:r>
      <w:r>
        <w:rPr/>
        <w:t xml:space="preserve">one MAC Command ID (17 command IDs), and as the addressing fields are already in the MHR PRA Hash and PRA Prand are not needed </w:t>
      </w:r>
      <w:r>
        <w:rPr/>
        <w:t>and are omitted from the compact frames</w:t>
      </w:r>
      <w:r>
        <w:rPr/>
        <w:t>.</w:t>
      </w:r>
    </w:p>
    <w:p>
      <w:pPr>
        <w:pStyle w:val="IEEEText"/>
        <w:rPr/>
      </w:pPr>
      <w:r>
        <w:rPr/>
        <w:t xml:space="preserve">The Content field of the MAC command contains the Message ID and Message Content from </w:t>
      </w:r>
      <w:r>
        <w:rPr/>
        <w:t>t</w:t>
      </w:r>
      <w:r>
        <w:rPr/>
        <w:t>he Compact Frame.</w:t>
      </w:r>
    </w:p>
    <w:p>
      <w:pPr>
        <w:pStyle w:val="IEEEText"/>
        <w:rPr/>
      </w:pPr>
      <w:r>
        <w:rPr/>
        <w:t xml:space="preserve">Frames shall be formatted as illustrated in </w:t>
      </w:r>
      <w:r>
        <w:rPr/>
        <w:fldChar w:fldCharType="begin"/>
      </w:r>
      <w:r>
        <w:rPr/>
        <w:instrText xml:space="preserve"> REF __RefNumPara__1274_795959613 \r \h </w:instrText>
      </w:r>
      <w:r>
        <w:rPr/>
        <w:fldChar w:fldCharType="separate"/>
      </w:r>
      <w:r>
        <w:rPr/>
        <w:t>Figure 1</w:t>
      </w:r>
      <w:r>
        <w:rPr/>
        <w:fldChar w:fldCharType="end"/>
      </w:r>
      <w:r>
        <w:rPr/>
        <w:t>.</w:t>
      </w:r>
    </w:p>
    <w:tbl>
      <w:tblPr>
        <w:tblW w:w="10075" w:type="dxa"/>
        <w:jc w:val="left"/>
        <w:tblInd w:w="-10" w:type="dxa"/>
        <w:tblLayout w:type="fixed"/>
        <w:tblCellMar>
          <w:top w:w="55" w:type="dxa"/>
          <w:left w:w="55" w:type="dxa"/>
          <w:bottom w:w="55" w:type="dxa"/>
          <w:right w:w="55" w:type="dxa"/>
        </w:tblCellMar>
      </w:tblPr>
      <w:tblGrid>
        <w:gridCol w:w="876"/>
        <w:gridCol w:w="877"/>
        <w:gridCol w:w="1072"/>
        <w:gridCol w:w="1013"/>
        <w:gridCol w:w="987"/>
        <w:gridCol w:w="1025"/>
        <w:gridCol w:w="988"/>
        <w:gridCol w:w="950"/>
        <w:gridCol w:w="1537"/>
        <w:gridCol w:w="750"/>
      </w:tblGrid>
      <w:tr>
        <w:trPr/>
        <w:tc>
          <w:tcPr>
            <w:tcW w:w="876"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Octets: 2</w:t>
            </w:r>
          </w:p>
        </w:tc>
        <w:tc>
          <w:tcPr>
            <w:tcW w:w="877"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0/1</w:t>
            </w:r>
          </w:p>
        </w:tc>
        <w:tc>
          <w:tcPr>
            <w:tcW w:w="1072"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variable</w:t>
            </w:r>
          </w:p>
        </w:tc>
        <w:tc>
          <w:tcPr>
            <w:tcW w:w="1013"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variable</w:t>
            </w:r>
          </w:p>
        </w:tc>
        <w:tc>
          <w:tcPr>
            <w:tcW w:w="2012" w:type="dxa"/>
            <w:gridSpan w:val="2"/>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variable</w:t>
            </w:r>
          </w:p>
        </w:tc>
        <w:tc>
          <w:tcPr>
            <w:tcW w:w="988"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1</w:t>
            </w:r>
          </w:p>
        </w:tc>
        <w:tc>
          <w:tcPr>
            <w:tcW w:w="950"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1</w:t>
            </w:r>
          </w:p>
        </w:tc>
        <w:tc>
          <w:tcPr>
            <w:tcW w:w="1537"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variable</w:t>
            </w:r>
          </w:p>
        </w:tc>
        <w:tc>
          <w:tcPr>
            <w:tcW w:w="750" w:type="dxa"/>
            <w:tcBorders>
              <w:top w:val="single" w:sz="8" w:space="0" w:color="000000"/>
              <w:left w:val="single" w:sz="8" w:space="0" w:color="000000"/>
              <w:bottom w:val="single" w:sz="8" w:space="0" w:color="000000"/>
              <w:right w:val="single" w:sz="8" w:space="0" w:color="000000"/>
            </w:tcBorders>
          </w:tcPr>
          <w:p>
            <w:pPr>
              <w:pStyle w:val="TableContents"/>
              <w:spacing w:before="0" w:after="160"/>
              <w:jc w:val="center"/>
              <w:rPr>
                <w:b/>
                <w:b/>
                <w:bCs/>
                <w:sz w:val="20"/>
              </w:rPr>
            </w:pPr>
            <w:r>
              <w:rPr>
                <w:b/>
                <w:bCs/>
                <w:sz w:val="20"/>
              </w:rPr>
              <w:t>2/4</w:t>
            </w:r>
          </w:p>
        </w:tc>
      </w:tr>
      <w:tr>
        <w:trPr/>
        <w:tc>
          <w:tcPr>
            <w:tcW w:w="876" w:type="dxa"/>
            <w:vMerge w:val="restart"/>
            <w:tcBorders>
              <w:left w:val="single" w:sz="8" w:space="0" w:color="000000"/>
              <w:bottom w:val="single" w:sz="8" w:space="0" w:color="000000"/>
            </w:tcBorders>
          </w:tcPr>
          <w:p>
            <w:pPr>
              <w:pStyle w:val="TableContents"/>
              <w:spacing w:before="0" w:after="160"/>
              <w:jc w:val="center"/>
              <w:rPr>
                <w:sz w:val="20"/>
              </w:rPr>
            </w:pPr>
            <w:r>
              <w:rPr>
                <w:sz w:val="20"/>
              </w:rPr>
              <w:t>Frame Control</w:t>
            </w:r>
          </w:p>
        </w:tc>
        <w:tc>
          <w:tcPr>
            <w:tcW w:w="877" w:type="dxa"/>
            <w:vMerge w:val="restart"/>
            <w:tcBorders>
              <w:left w:val="single" w:sz="8" w:space="0" w:color="000000"/>
              <w:bottom w:val="single" w:sz="8" w:space="0" w:color="000000"/>
            </w:tcBorders>
          </w:tcPr>
          <w:p>
            <w:pPr>
              <w:pStyle w:val="TableContents"/>
              <w:spacing w:before="0" w:after="160"/>
              <w:jc w:val="center"/>
              <w:rPr>
                <w:sz w:val="20"/>
              </w:rPr>
            </w:pPr>
            <w:r>
              <w:rPr>
                <w:sz w:val="20"/>
              </w:rPr>
              <w:t>Sequence Number</w:t>
            </w:r>
          </w:p>
        </w:tc>
        <w:tc>
          <w:tcPr>
            <w:tcW w:w="1072" w:type="dxa"/>
            <w:vMerge w:val="restart"/>
            <w:tcBorders>
              <w:left w:val="single" w:sz="8" w:space="0" w:color="000000"/>
              <w:bottom w:val="single" w:sz="8" w:space="0" w:color="000000"/>
            </w:tcBorders>
          </w:tcPr>
          <w:p>
            <w:pPr>
              <w:pStyle w:val="TableContents"/>
              <w:spacing w:before="0" w:after="160"/>
              <w:jc w:val="center"/>
              <w:rPr>
                <w:sz w:val="20"/>
              </w:rPr>
            </w:pPr>
            <w:r>
              <w:rPr>
                <w:sz w:val="20"/>
              </w:rPr>
              <w:t>Addressing fields</w:t>
            </w:r>
          </w:p>
        </w:tc>
        <w:tc>
          <w:tcPr>
            <w:tcW w:w="1013" w:type="dxa"/>
            <w:vMerge w:val="restart"/>
            <w:tcBorders>
              <w:left w:val="single" w:sz="8" w:space="0" w:color="000000"/>
              <w:bottom w:val="single" w:sz="8" w:space="0" w:color="000000"/>
            </w:tcBorders>
          </w:tcPr>
          <w:p>
            <w:pPr>
              <w:pStyle w:val="TableContents"/>
              <w:spacing w:before="0" w:after="160"/>
              <w:jc w:val="center"/>
              <w:rPr>
                <w:sz w:val="20"/>
              </w:rPr>
            </w:pPr>
            <w:r>
              <w:rPr>
                <w:sz w:val="20"/>
              </w:rPr>
              <w:t>Auxiliary Security Header</w:t>
            </w:r>
          </w:p>
        </w:tc>
        <w:tc>
          <w:tcPr>
            <w:tcW w:w="2012" w:type="dxa"/>
            <w:gridSpan w:val="2"/>
            <w:tcBorders>
              <w:left w:val="single" w:sz="8" w:space="0" w:color="000000"/>
              <w:bottom w:val="single" w:sz="8" w:space="0" w:color="000000"/>
            </w:tcBorders>
          </w:tcPr>
          <w:p>
            <w:pPr>
              <w:pStyle w:val="TableContents"/>
              <w:spacing w:before="0" w:after="160"/>
              <w:jc w:val="center"/>
              <w:rPr>
                <w:sz w:val="20"/>
              </w:rPr>
            </w:pPr>
            <w:r>
              <w:rPr>
                <w:sz w:val="20"/>
              </w:rPr>
              <w:t>IE</w:t>
            </w:r>
          </w:p>
        </w:tc>
        <w:tc>
          <w:tcPr>
            <w:tcW w:w="988" w:type="dxa"/>
            <w:vMerge w:val="restart"/>
            <w:tcBorders>
              <w:left w:val="single" w:sz="8" w:space="0" w:color="000000"/>
              <w:bottom w:val="single" w:sz="8" w:space="0" w:color="000000"/>
            </w:tcBorders>
          </w:tcPr>
          <w:p>
            <w:pPr>
              <w:pStyle w:val="TableContents"/>
              <w:spacing w:before="0" w:after="160"/>
              <w:jc w:val="center"/>
              <w:rPr>
                <w:sz w:val="20"/>
              </w:rPr>
            </w:pPr>
            <w:r>
              <w:rPr>
                <w:sz w:val="20"/>
              </w:rPr>
              <w:t>Command ID</w:t>
            </w:r>
          </w:p>
        </w:tc>
        <w:tc>
          <w:tcPr>
            <w:tcW w:w="950" w:type="dxa"/>
            <w:vMerge w:val="restart"/>
            <w:tcBorders>
              <w:left w:val="single" w:sz="8" w:space="0" w:color="000000"/>
              <w:bottom w:val="single" w:sz="8" w:space="0" w:color="000000"/>
            </w:tcBorders>
          </w:tcPr>
          <w:p>
            <w:pPr>
              <w:pStyle w:val="TableContents"/>
              <w:spacing w:before="0" w:after="160"/>
              <w:jc w:val="center"/>
              <w:rPr>
                <w:sz w:val="20"/>
              </w:rPr>
            </w:pPr>
            <w:r>
              <w:rPr>
                <w:sz w:val="20"/>
              </w:rPr>
              <w:t>Message ID</w:t>
            </w:r>
          </w:p>
        </w:tc>
        <w:tc>
          <w:tcPr>
            <w:tcW w:w="1537" w:type="dxa"/>
            <w:vMerge w:val="restart"/>
            <w:tcBorders>
              <w:left w:val="single" w:sz="8" w:space="0" w:color="000000"/>
              <w:bottom w:val="single" w:sz="8" w:space="0" w:color="000000"/>
            </w:tcBorders>
          </w:tcPr>
          <w:p>
            <w:pPr>
              <w:pStyle w:val="TableContents"/>
              <w:spacing w:before="0" w:after="160"/>
              <w:jc w:val="center"/>
              <w:rPr>
                <w:sz w:val="20"/>
              </w:rPr>
            </w:pPr>
            <w:r>
              <w:rPr>
                <w:sz w:val="20"/>
              </w:rPr>
              <w:t>Message Content</w:t>
            </w:r>
          </w:p>
        </w:tc>
        <w:tc>
          <w:tcPr>
            <w:tcW w:w="750" w:type="dxa"/>
            <w:vMerge w:val="restart"/>
            <w:tcBorders>
              <w:left w:val="single" w:sz="8" w:space="0" w:color="000000"/>
              <w:bottom w:val="single" w:sz="8" w:space="0" w:color="000000"/>
              <w:right w:val="single" w:sz="8" w:space="0" w:color="000000"/>
            </w:tcBorders>
          </w:tcPr>
          <w:p>
            <w:pPr>
              <w:pStyle w:val="TableContents"/>
              <w:spacing w:before="0" w:after="160"/>
              <w:jc w:val="center"/>
              <w:rPr>
                <w:sz w:val="20"/>
              </w:rPr>
            </w:pPr>
            <w:r>
              <w:rPr>
                <w:sz w:val="20"/>
              </w:rPr>
              <w:t>FCS</w:t>
            </w:r>
          </w:p>
        </w:tc>
      </w:tr>
      <w:tr>
        <w:trPr/>
        <w:tc>
          <w:tcPr>
            <w:tcW w:w="876" w:type="dxa"/>
            <w:vMerge w:val="continue"/>
            <w:tcBorders>
              <w:left w:val="single" w:sz="8" w:space="0" w:color="000000"/>
              <w:bottom w:val="single" w:sz="8" w:space="0" w:color="000000"/>
            </w:tcBorders>
          </w:tcPr>
          <w:p>
            <w:pPr>
              <w:pStyle w:val="Normal"/>
              <w:widowControl/>
              <w:bidi w:val="0"/>
              <w:spacing w:lineRule="auto" w:line="276" w:before="0" w:after="160"/>
              <w:jc w:val="left"/>
              <w:rPr/>
            </w:pPr>
            <w:r>
              <w:rPr/>
            </w:r>
          </w:p>
        </w:tc>
        <w:tc>
          <w:tcPr>
            <w:tcW w:w="877" w:type="dxa"/>
            <w:vMerge w:val="continue"/>
            <w:tcBorders>
              <w:left w:val="single" w:sz="8" w:space="0" w:color="000000"/>
              <w:bottom w:val="single" w:sz="8" w:space="0" w:color="000000"/>
            </w:tcBorders>
          </w:tcPr>
          <w:p>
            <w:pPr>
              <w:pStyle w:val="Normal"/>
              <w:widowControl/>
              <w:bidi w:val="0"/>
              <w:spacing w:lineRule="auto" w:line="276" w:before="0" w:after="160"/>
              <w:jc w:val="left"/>
              <w:rPr/>
            </w:pPr>
            <w:r>
              <w:rPr/>
            </w:r>
          </w:p>
        </w:tc>
        <w:tc>
          <w:tcPr>
            <w:tcW w:w="1072" w:type="dxa"/>
            <w:vMerge w:val="continue"/>
            <w:tcBorders>
              <w:left w:val="single" w:sz="8" w:space="0" w:color="000000"/>
              <w:bottom w:val="single" w:sz="8" w:space="0" w:color="000000"/>
            </w:tcBorders>
          </w:tcPr>
          <w:p>
            <w:pPr>
              <w:pStyle w:val="Normal"/>
              <w:widowControl/>
              <w:bidi w:val="0"/>
              <w:spacing w:lineRule="auto" w:line="276" w:before="0" w:after="160"/>
              <w:jc w:val="left"/>
              <w:rPr/>
            </w:pPr>
            <w:r>
              <w:rPr/>
            </w:r>
          </w:p>
        </w:tc>
        <w:tc>
          <w:tcPr>
            <w:tcW w:w="1013" w:type="dxa"/>
            <w:vMerge w:val="continue"/>
            <w:tcBorders>
              <w:left w:val="single" w:sz="8" w:space="0" w:color="000000"/>
              <w:bottom w:val="single" w:sz="8" w:space="0" w:color="000000"/>
            </w:tcBorders>
          </w:tcPr>
          <w:p>
            <w:pPr>
              <w:pStyle w:val="Normal"/>
              <w:widowControl/>
              <w:bidi w:val="0"/>
              <w:spacing w:lineRule="auto" w:line="276" w:before="0" w:after="160"/>
              <w:jc w:val="left"/>
              <w:rPr/>
            </w:pPr>
            <w:r>
              <w:rPr/>
            </w:r>
          </w:p>
        </w:tc>
        <w:tc>
          <w:tcPr>
            <w:tcW w:w="987" w:type="dxa"/>
            <w:tcBorders>
              <w:left w:val="single" w:sz="8" w:space="0" w:color="000000"/>
              <w:bottom w:val="single" w:sz="8" w:space="0" w:color="000000"/>
            </w:tcBorders>
          </w:tcPr>
          <w:p>
            <w:pPr>
              <w:pStyle w:val="TableContents"/>
              <w:spacing w:before="0" w:after="160"/>
              <w:jc w:val="center"/>
              <w:rPr>
                <w:sz w:val="20"/>
              </w:rPr>
            </w:pPr>
            <w:r>
              <w:rPr>
                <w:sz w:val="20"/>
              </w:rPr>
              <w:t>Header IEs</w:t>
            </w:r>
          </w:p>
        </w:tc>
        <w:tc>
          <w:tcPr>
            <w:tcW w:w="1025" w:type="dxa"/>
            <w:tcBorders>
              <w:left w:val="single" w:sz="8" w:space="0" w:color="000000"/>
              <w:bottom w:val="single" w:sz="8" w:space="0" w:color="000000"/>
            </w:tcBorders>
          </w:tcPr>
          <w:p>
            <w:pPr>
              <w:pStyle w:val="TableContents"/>
              <w:spacing w:before="0" w:after="160"/>
              <w:jc w:val="center"/>
              <w:rPr>
                <w:sz w:val="20"/>
              </w:rPr>
            </w:pPr>
            <w:r>
              <w:rPr>
                <w:sz w:val="20"/>
              </w:rPr>
              <w:t>Payload IEs</w:t>
            </w:r>
          </w:p>
        </w:tc>
        <w:tc>
          <w:tcPr>
            <w:tcW w:w="988" w:type="dxa"/>
            <w:vMerge w:val="continue"/>
            <w:tcBorders>
              <w:left w:val="single" w:sz="8" w:space="0" w:color="000000"/>
              <w:bottom w:val="single" w:sz="8" w:space="0" w:color="000000"/>
            </w:tcBorders>
          </w:tcPr>
          <w:p>
            <w:pPr>
              <w:pStyle w:val="Normal"/>
              <w:widowControl/>
              <w:bidi w:val="0"/>
              <w:spacing w:lineRule="auto" w:line="276" w:before="0" w:after="160"/>
              <w:jc w:val="left"/>
              <w:rPr/>
            </w:pPr>
            <w:r>
              <w:rPr/>
            </w:r>
          </w:p>
        </w:tc>
        <w:tc>
          <w:tcPr>
            <w:tcW w:w="950" w:type="dxa"/>
            <w:vMerge w:val="continue"/>
            <w:tcBorders>
              <w:left w:val="single" w:sz="8" w:space="0" w:color="000000"/>
              <w:bottom w:val="single" w:sz="8" w:space="0" w:color="000000"/>
            </w:tcBorders>
          </w:tcPr>
          <w:p>
            <w:pPr>
              <w:pStyle w:val="Normal"/>
              <w:widowControl/>
              <w:bidi w:val="0"/>
              <w:spacing w:lineRule="auto" w:line="276" w:before="0" w:after="160"/>
              <w:jc w:val="left"/>
              <w:rPr/>
            </w:pPr>
            <w:r>
              <w:rPr/>
            </w:r>
          </w:p>
        </w:tc>
        <w:tc>
          <w:tcPr>
            <w:tcW w:w="1537" w:type="dxa"/>
            <w:vMerge w:val="continue"/>
            <w:tcBorders>
              <w:left w:val="single" w:sz="8" w:space="0" w:color="000000"/>
              <w:bottom w:val="single" w:sz="8" w:space="0" w:color="000000"/>
            </w:tcBorders>
          </w:tcPr>
          <w:p>
            <w:pPr>
              <w:pStyle w:val="Normal"/>
              <w:widowControl/>
              <w:bidi w:val="0"/>
              <w:spacing w:lineRule="auto" w:line="276" w:before="0" w:after="160"/>
              <w:jc w:val="left"/>
              <w:rPr/>
            </w:pPr>
            <w:r>
              <w:rPr/>
            </w:r>
          </w:p>
        </w:tc>
        <w:tc>
          <w:tcPr>
            <w:tcW w:w="750" w:type="dxa"/>
            <w:vMerge w:val="continue"/>
            <w:tcBorders>
              <w:left w:val="single" w:sz="8" w:space="0" w:color="000000"/>
              <w:bottom w:val="single" w:sz="8" w:space="0" w:color="000000"/>
              <w:right w:val="single" w:sz="8" w:space="0" w:color="000000"/>
            </w:tcBorders>
          </w:tcPr>
          <w:p>
            <w:pPr>
              <w:pStyle w:val="Normal"/>
              <w:widowControl/>
              <w:bidi w:val="0"/>
              <w:spacing w:lineRule="auto" w:line="276" w:before="0" w:after="160"/>
              <w:jc w:val="left"/>
              <w:rPr/>
            </w:pPr>
            <w:r>
              <w:rPr/>
            </w:r>
          </w:p>
        </w:tc>
      </w:tr>
      <w:tr>
        <w:trPr/>
        <w:tc>
          <w:tcPr>
            <w:tcW w:w="4825" w:type="dxa"/>
            <w:gridSpan w:val="5"/>
            <w:tcBorders>
              <w:left w:val="single" w:sz="8" w:space="0" w:color="000000"/>
              <w:bottom w:val="single" w:sz="8" w:space="0" w:color="000000"/>
            </w:tcBorders>
          </w:tcPr>
          <w:p>
            <w:pPr>
              <w:pStyle w:val="TableContents"/>
              <w:spacing w:before="0" w:after="160"/>
              <w:jc w:val="center"/>
              <w:rPr>
                <w:sz w:val="20"/>
              </w:rPr>
            </w:pPr>
            <w:r>
              <w:rPr>
                <w:sz w:val="20"/>
              </w:rPr>
              <w:t>MHR</w:t>
            </w:r>
          </w:p>
        </w:tc>
        <w:tc>
          <w:tcPr>
            <w:tcW w:w="4500" w:type="dxa"/>
            <w:gridSpan w:val="4"/>
            <w:tcBorders>
              <w:left w:val="single" w:sz="8" w:space="0" w:color="000000"/>
              <w:bottom w:val="single" w:sz="8" w:space="0" w:color="000000"/>
            </w:tcBorders>
          </w:tcPr>
          <w:p>
            <w:pPr>
              <w:pStyle w:val="TableContents"/>
              <w:spacing w:before="0" w:after="160"/>
              <w:jc w:val="center"/>
              <w:rPr>
                <w:sz w:val="20"/>
              </w:rPr>
            </w:pPr>
            <w:r>
              <w:rPr>
                <w:sz w:val="20"/>
              </w:rPr>
              <w:t>MAC Payload</w:t>
            </w:r>
          </w:p>
        </w:tc>
        <w:tc>
          <w:tcPr>
            <w:tcW w:w="750" w:type="dxa"/>
            <w:tcBorders>
              <w:left w:val="single" w:sz="8" w:space="0" w:color="000000"/>
              <w:bottom w:val="single" w:sz="8" w:space="0" w:color="000000"/>
              <w:right w:val="single" w:sz="8" w:space="0" w:color="000000"/>
            </w:tcBorders>
          </w:tcPr>
          <w:p>
            <w:pPr>
              <w:pStyle w:val="TableContents"/>
              <w:spacing w:before="0" w:after="160"/>
              <w:jc w:val="center"/>
              <w:rPr>
                <w:sz w:val="20"/>
              </w:rPr>
            </w:pPr>
            <w:r>
              <w:rPr>
                <w:sz w:val="20"/>
              </w:rPr>
              <w:t>MFR</w:t>
            </w:r>
          </w:p>
        </w:tc>
      </w:tr>
    </w:tbl>
    <w:p>
      <w:pPr>
        <w:pStyle w:val="IEEEFigureTitle"/>
        <w:numPr>
          <w:ilvl w:val="0"/>
          <w:numId w:val="6"/>
        </w:numPr>
        <w:ind w:left="0" w:right="0" w:hanging="0"/>
        <w:rPr/>
      </w:pPr>
      <w:bookmarkStart w:id="0" w:name="__RefNumPara__1274_795959613"/>
      <w:bookmarkEnd w:id="0"/>
      <w:r>
        <w:rPr>
          <w:rFonts w:eastAsia="DejaVu Sans" w:cs="DejaVu Sans" w:ascii="DejaVu Sans" w:hAnsi="DejaVu Sans"/>
        </w:rPr>
        <w:t>—</w:t>
      </w:r>
      <w:r>
        <w:rPr>
          <w:rFonts w:eastAsia="DejaVu Sans" w:cs="DejaVu Sans"/>
        </w:rPr>
        <w:t>MAC Command frames for compact frames</w:t>
      </w:r>
    </w:p>
    <w:p>
      <w:pPr>
        <w:pStyle w:val="IEEEHeading1"/>
        <w:numPr>
          <w:ilvl w:val="0"/>
          <w:numId w:val="3"/>
        </w:numPr>
        <w:ind w:left="0" w:right="0" w:hanging="0"/>
        <w:rPr/>
      </w:pPr>
      <w:r>
        <w:rPr/>
        <w:t>Changes to the P802.15.4ab-D03 draft</w:t>
      </w:r>
    </w:p>
    <w:p>
      <w:pPr>
        <w:pStyle w:val="IEEEHeading2"/>
        <w:numPr>
          <w:ilvl w:val="1"/>
          <w:numId w:val="3"/>
        </w:numPr>
        <w:ind w:left="0" w:right="0" w:hanging="0"/>
        <w:rPr/>
      </w:pPr>
      <w:r>
        <w:rPr/>
        <w:t>Clause 7 MAC frame formats changes</w:t>
      </w:r>
    </w:p>
    <w:p>
      <w:pPr>
        <w:pStyle w:val="IEEEText"/>
        <w:rPr/>
      </w:pPr>
      <w:r>
        <w:rPr/>
        <w:t>Add following entries to table 7-11:</w:t>
      </w:r>
    </w:p>
    <w:tbl>
      <w:tblPr>
        <w:tblW w:w="5000" w:type="pct"/>
        <w:jc w:val="left"/>
        <w:tblInd w:w="-15" w:type="dxa"/>
        <w:tblLayout w:type="fixed"/>
        <w:tblCellMar>
          <w:top w:w="28" w:type="dxa"/>
          <w:left w:w="28" w:type="dxa"/>
          <w:bottom w:w="28" w:type="dxa"/>
          <w:right w:w="28" w:type="dxa"/>
        </w:tblCellMar>
      </w:tblPr>
      <w:tblGrid>
        <w:gridCol w:w="2143"/>
        <w:gridCol w:w="5669"/>
        <w:gridCol w:w="2268"/>
      </w:tblGrid>
      <w:tr>
        <w:trPr>
          <w:tblHeader w:val="true"/>
          <w:trHeight w:val="367" w:hRule="atLeast"/>
        </w:trPr>
        <w:tc>
          <w:tcPr>
            <w:tcW w:w="2143" w:type="dxa"/>
            <w:tcBorders>
              <w:top w:val="single" w:sz="12" w:space="0" w:color="000000"/>
              <w:left w:val="single" w:sz="12" w:space="0" w:color="000000"/>
              <w:bottom w:val="single" w:sz="2" w:space="0" w:color="000000"/>
            </w:tcBorders>
          </w:tcPr>
          <w:p>
            <w:pPr>
              <w:pStyle w:val="TableHeading"/>
              <w:pBdr/>
              <w:spacing w:lineRule="auto" w:line="240" w:before="0" w:after="0"/>
              <w:rPr>
                <w:sz w:val="20"/>
              </w:rPr>
            </w:pPr>
            <w:r>
              <w:rPr>
                <w:sz w:val="20"/>
              </w:rPr>
              <w:t>Command ID</w:t>
            </w:r>
          </w:p>
        </w:tc>
        <w:tc>
          <w:tcPr>
            <w:tcW w:w="5669" w:type="dxa"/>
            <w:tcBorders>
              <w:top w:val="single" w:sz="12" w:space="0" w:color="000000"/>
              <w:left w:val="single" w:sz="2" w:space="0" w:color="000000"/>
              <w:bottom w:val="single" w:sz="2" w:space="0" w:color="000000"/>
            </w:tcBorders>
          </w:tcPr>
          <w:p>
            <w:pPr>
              <w:pStyle w:val="TableHeading"/>
              <w:pBdr/>
              <w:spacing w:lineRule="auto" w:line="240" w:before="0" w:after="0"/>
              <w:rPr>
                <w:sz w:val="20"/>
              </w:rPr>
            </w:pPr>
            <w:r>
              <w:rPr>
                <w:sz w:val="20"/>
              </w:rPr>
              <w:t>Command name</w:t>
            </w:r>
          </w:p>
        </w:tc>
        <w:tc>
          <w:tcPr>
            <w:tcW w:w="2268" w:type="dxa"/>
            <w:tcBorders>
              <w:top w:val="single" w:sz="12" w:space="0" w:color="000000"/>
              <w:left w:val="single" w:sz="2" w:space="0" w:color="000000"/>
              <w:bottom w:val="single" w:sz="2" w:space="0" w:color="000000"/>
              <w:right w:val="single" w:sz="12" w:space="0" w:color="000000"/>
            </w:tcBorders>
          </w:tcPr>
          <w:p>
            <w:pPr>
              <w:pStyle w:val="TableHeading"/>
              <w:pBdr/>
              <w:spacing w:lineRule="auto" w:line="240" w:before="0" w:after="0"/>
              <w:rPr>
                <w:sz w:val="20"/>
              </w:rPr>
            </w:pPr>
            <w:r>
              <w:rPr>
                <w:sz w:val="20"/>
              </w:rPr>
              <w:t>Subclause</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Advertising Poll</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10.39.11.4, 10.39.11.3.1</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Advertising Response</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10.39.11.4, 10.39.11.3.2</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Start of Ranging</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10.39.11.4, 10.39.11.3.4</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One-to-one Poll</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10.39.11.4, 10.39.11.3.5</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One-to-one Response</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10.39.11.4, 10.39.11.3.6</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One-to-one Initiator Report</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10.39.11.4, 10.39.11.3.7</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One-to-one Responder Report</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10.39.11.4, 10.39.11.3.8</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Advertising Confirmation</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10.39.11.4, 10.39.11.3.3</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One-to-many Poll</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10.39.11.4, 10.39.11.3.9</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One-to-many Response</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10.39.11.4, 10.39.11.3.10</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One-to-many Responder Report</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10.39.11.4, 10.39.11.3.11</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One-to-many Initiator Report</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10.39.11.4, 10.39.11.3.12</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Public Advertising Poll</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10.39.11.4, 10.39.11.3.13</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Public Advertising Response</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10.39.11.4, 10.39.11.3.14</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Public Start of Ranging</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10.39.11.4, 10.39.11.3.15</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Public Advertising Confirmation</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10.39.11.4, 10.39.11.3.16</w:t>
            </w:r>
          </w:p>
        </w:tc>
      </w:tr>
      <w:tr>
        <w:trPr/>
        <w:tc>
          <w:tcPr>
            <w:tcW w:w="2143" w:type="dxa"/>
            <w:tcBorders>
              <w:left w:val="single" w:sz="12" w:space="0" w:color="000000"/>
              <w:bottom w:val="single" w:sz="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2" w:space="0" w:color="000000"/>
            </w:tcBorders>
          </w:tcPr>
          <w:p>
            <w:pPr>
              <w:pStyle w:val="TableContents"/>
              <w:pBdr/>
              <w:spacing w:lineRule="auto" w:line="240" w:before="0" w:after="0"/>
              <w:ind w:left="113" w:right="0" w:hanging="0"/>
              <w:rPr>
                <w:sz w:val="20"/>
              </w:rPr>
            </w:pPr>
            <w:r>
              <w:rPr>
                <w:sz w:val="20"/>
              </w:rPr>
              <w:t xml:space="preserve">Compact frame: </w:t>
            </w:r>
            <w:r>
              <w:rPr>
                <w:sz w:val="20"/>
              </w:rPr>
              <w:t>Acquisition</w:t>
            </w:r>
          </w:p>
        </w:tc>
        <w:tc>
          <w:tcPr>
            <w:tcW w:w="2268" w:type="dxa"/>
            <w:tcBorders>
              <w:left w:val="single" w:sz="2" w:space="0" w:color="000000"/>
              <w:bottom w:val="single" w:sz="2" w:space="0" w:color="000000"/>
              <w:right w:val="single" w:sz="12" w:space="0" w:color="000000"/>
            </w:tcBorders>
          </w:tcPr>
          <w:p>
            <w:pPr>
              <w:pStyle w:val="TableContents"/>
              <w:pBdr/>
              <w:spacing w:lineRule="auto" w:line="240" w:before="0" w:after="0"/>
              <w:jc w:val="center"/>
              <w:rPr>
                <w:sz w:val="20"/>
              </w:rPr>
            </w:pPr>
            <w:r>
              <w:rPr>
                <w:sz w:val="20"/>
              </w:rPr>
              <w:t>10.39.11.4, 10.39.11.3.17</w:t>
            </w:r>
          </w:p>
        </w:tc>
      </w:tr>
      <w:tr>
        <w:trPr/>
        <w:tc>
          <w:tcPr>
            <w:tcW w:w="2143" w:type="dxa"/>
            <w:tcBorders>
              <w:left w:val="single" w:sz="12" w:space="0" w:color="000000"/>
              <w:bottom w:val="single" w:sz="12" w:space="0" w:color="000000"/>
            </w:tcBorders>
          </w:tcPr>
          <w:p>
            <w:pPr>
              <w:pStyle w:val="TableContents"/>
              <w:pBdr/>
              <w:spacing w:lineRule="auto" w:line="240" w:before="0" w:after="0"/>
              <w:jc w:val="center"/>
              <w:rPr>
                <w:sz w:val="20"/>
              </w:rPr>
            </w:pPr>
            <w:r>
              <w:rPr>
                <w:sz w:val="20"/>
              </w:rPr>
              <w:t>&lt;</w:t>
            </w:r>
            <w:r>
              <w:rPr>
                <w:sz w:val="20"/>
              </w:rPr>
              <w:t>ANA&gt;</w:t>
            </w:r>
          </w:p>
        </w:tc>
        <w:tc>
          <w:tcPr>
            <w:tcW w:w="5669" w:type="dxa"/>
            <w:tcBorders>
              <w:left w:val="single" w:sz="2" w:space="0" w:color="000000"/>
              <w:bottom w:val="single" w:sz="12" w:space="0" w:color="000000"/>
            </w:tcBorders>
          </w:tcPr>
          <w:p>
            <w:pPr>
              <w:pStyle w:val="TableContents"/>
              <w:pBdr/>
              <w:spacing w:lineRule="auto" w:line="240" w:before="0" w:after="0"/>
              <w:ind w:left="113" w:right="0" w:hanging="0"/>
              <w:rPr>
                <w:sz w:val="20"/>
              </w:rPr>
            </w:pPr>
            <w:r>
              <w:rPr>
                <w:sz w:val="20"/>
              </w:rPr>
              <w:t xml:space="preserve">Compact frame: </w:t>
            </w:r>
            <w:r>
              <w:rPr>
                <w:sz w:val="20"/>
              </w:rPr>
              <w:t>Vendor Specific</w:t>
            </w:r>
          </w:p>
        </w:tc>
        <w:tc>
          <w:tcPr>
            <w:tcW w:w="2268" w:type="dxa"/>
            <w:tcBorders>
              <w:left w:val="single" w:sz="2" w:space="0" w:color="000000"/>
              <w:bottom w:val="single" w:sz="12" w:space="0" w:color="000000"/>
              <w:right w:val="single" w:sz="12" w:space="0" w:color="000000"/>
            </w:tcBorders>
          </w:tcPr>
          <w:p>
            <w:pPr>
              <w:pStyle w:val="TableContents"/>
              <w:pBdr/>
              <w:spacing w:lineRule="auto" w:line="240" w:before="0" w:after="0"/>
              <w:jc w:val="center"/>
              <w:rPr>
                <w:sz w:val="20"/>
              </w:rPr>
            </w:pPr>
            <w:r>
              <w:rPr>
                <w:sz w:val="20"/>
              </w:rPr>
              <w:t>10.39.11.4, 10.39.11.3.18</w:t>
            </w:r>
          </w:p>
        </w:tc>
      </w:tr>
    </w:tbl>
    <w:p>
      <w:pPr>
        <w:pStyle w:val="IEEEText"/>
        <w:rPr/>
      </w:pPr>
      <w:r>
        <w:rPr/>
      </w:r>
    </w:p>
    <w:p>
      <w:pPr>
        <w:pStyle w:val="IEEEHeading2"/>
        <w:numPr>
          <w:ilvl w:val="1"/>
          <w:numId w:val="3"/>
        </w:numPr>
        <w:ind w:left="0" w:right="0" w:hanging="0"/>
        <w:rPr/>
      </w:pPr>
      <w:r>
        <w:rPr/>
        <w:t>Clause 8 MAC services changes</w:t>
      </w:r>
    </w:p>
    <w:p>
      <w:pPr>
        <w:pStyle w:val="IEEEText"/>
        <w:rPr/>
      </w:pPr>
      <w:r>
        <w:rPr/>
        <w:t xml:space="preserve">Remove CompactSecurityEnabled, and CompactSecurityParams from the Table 1. </w:t>
      </w:r>
    </w:p>
    <w:p>
      <w:pPr>
        <w:pStyle w:val="IEEEText"/>
        <w:rPr/>
      </w:pPr>
      <w:r>
        <w:rPr/>
        <w:t>Remove the “The CompactSecurityParams structure groups the parameters specifying Compact frame security. The elements of the CompactSecurityParams are defined in Table 2.” and remove Table 2 from the section 8.3.4.</w:t>
      </w:r>
    </w:p>
    <w:p>
      <w:pPr>
        <w:pStyle w:val="IEEEHeading2"/>
        <w:numPr>
          <w:ilvl w:val="1"/>
          <w:numId w:val="3"/>
        </w:numPr>
        <w:ind w:left="0" w:right="0" w:hanging="0"/>
        <w:rPr/>
      </w:pPr>
      <w:r>
        <w:rPr/>
        <w:t>Clause 9 Security changes</w:t>
      </w:r>
    </w:p>
    <w:p>
      <w:pPr>
        <w:pStyle w:val="IEEEText"/>
        <w:rPr/>
      </w:pPr>
      <w:r>
        <w:rPr/>
        <w:t>Remove all changes to the Clause 9. They are not needed, as this secured format uses standard security format.</w:t>
      </w:r>
    </w:p>
    <w:p>
      <w:pPr>
        <w:pStyle w:val="IEEEHeading2"/>
        <w:numPr>
          <w:ilvl w:val="1"/>
          <w:numId w:val="3"/>
        </w:numPr>
        <w:ind w:left="0" w:right="0" w:hanging="0"/>
        <w:rPr/>
      </w:pPr>
      <w:r>
        <w:rPr/>
        <w:t>Clause 10.32.3.5 Hyper block mode changes</w:t>
      </w:r>
    </w:p>
    <w:p>
      <w:pPr>
        <w:pStyle w:val="IEEEText"/>
        <w:rPr/>
      </w:pPr>
      <w:r>
        <w:rPr/>
        <w:t>Remove following paragraphs:</w:t>
      </w:r>
    </w:p>
    <w:p>
      <w:pPr>
        <w:pStyle w:val="IEEEText"/>
        <w:ind w:left="720" w:hanging="0"/>
        <w:rPr/>
      </w:pPr>
      <w:r>
        <w:rPr/>
        <w:t>If secure Compact frames are used in hyper block mode, the controller shall ensure that the values of hyper block index and relative block index does not cause the value of the ranging block index to exceed 2</w:t>
      </w:r>
      <w:r>
        <w:rPr>
          <w:vertAlign w:val="superscript"/>
        </w:rPr>
        <w:t>16</w:t>
      </w:r>
      <w:r>
        <w:rPr/>
        <w:t xml:space="preserve"> – 1.</w:t>
      </w:r>
    </w:p>
    <w:p>
      <w:pPr>
        <w:pStyle w:val="IEEEText"/>
        <w:rPr/>
      </w:pPr>
      <w:r>
        <w:rPr/>
      </w:r>
    </w:p>
    <w:p>
      <w:pPr>
        <w:pStyle w:val="IEEEText"/>
        <w:ind w:left="720" w:hanging="0"/>
        <w:rPr/>
      </w:pPr>
      <w:r>
        <w:rPr/>
        <w:t>NOTE—The maximum value of ranging block index in this case is restricted by the size of the Block Index field of the Frame Counter field for Compact frame nonce as specified in 9.3.2.4.</w:t>
      </w:r>
    </w:p>
    <w:p>
      <w:pPr>
        <w:pStyle w:val="IEEEHeading2"/>
        <w:numPr>
          <w:ilvl w:val="1"/>
          <w:numId w:val="3"/>
        </w:numPr>
        <w:rPr/>
      </w:pPr>
      <w:r>
        <w:rPr/>
        <w:t>Clause 10.38 Compact frame format changes</w:t>
      </w:r>
    </w:p>
    <w:p>
      <w:pPr>
        <w:pStyle w:val="IEEEText"/>
        <w:rPr/>
      </w:pPr>
      <w:r>
        <w:rPr/>
        <w:t>Remove value “17 Secured” from the Table 10.</w:t>
      </w:r>
    </w:p>
    <w:p>
      <w:pPr>
        <w:pStyle w:val="IEEEHeading2"/>
        <w:numPr>
          <w:ilvl w:val="1"/>
          <w:numId w:val="3"/>
        </w:numPr>
        <w:ind w:left="0" w:right="0" w:hanging="0"/>
        <w:rPr/>
      </w:pPr>
      <w:r>
        <w:rPr/>
        <w:t>Clause 10.39.11 Messages for MMS UWB operation changes</w:t>
      </w:r>
    </w:p>
    <w:p>
      <w:pPr>
        <w:pStyle w:val="IEEEText"/>
        <w:rPr/>
      </w:pPr>
      <w:r>
        <w:rPr/>
        <w:t>In section 10.39.11.1.1 General remove “, or with a MIC field which shall be one of MIC-32, MIC-64, MIC-128, ENC-MIC-32, ENC-MIC-64 or ENC-MIC-128 as defined by Table 9-6” from the first paragraph.</w:t>
      </w:r>
    </w:p>
    <w:p>
      <w:pPr>
        <w:pStyle w:val="IEEEText"/>
        <w:rPr/>
      </w:pPr>
      <w:r>
        <w:rPr/>
        <w:t>Remove section 10.39.11.1.2.3 Extended Address completely.</w:t>
      </w:r>
    </w:p>
    <w:p>
      <w:pPr>
        <w:pStyle w:val="IEEEHeading2"/>
        <w:numPr>
          <w:ilvl w:val="1"/>
          <w:numId w:val="3"/>
        </w:numPr>
        <w:ind w:left="0" w:right="0" w:hanging="0"/>
        <w:rPr/>
      </w:pPr>
      <w:r>
        <w:rPr/>
        <w:t xml:space="preserve">Clause </w:t>
      </w:r>
      <w:r>
        <w:rPr/>
        <w:t xml:space="preserve">10.39.11.2 Security of MMS Compact frames </w:t>
      </w:r>
      <w:r>
        <w:rPr/>
        <w:t>changes</w:t>
      </w:r>
    </w:p>
    <w:p>
      <w:pPr>
        <w:pStyle w:val="IEEEText"/>
        <w:rPr/>
      </w:pPr>
      <w:r>
        <w:rPr/>
        <w:t>Replace whole section “10.39.11.2 Security of MMS Compact frames” with following paragraph:</w:t>
      </w:r>
    </w:p>
    <w:p>
      <w:pPr>
        <w:pStyle w:val="IEEEText"/>
        <w:ind w:left="720" w:hanging="0"/>
        <w:rPr/>
      </w:pPr>
      <w:r>
        <w:rPr/>
        <w:t xml:space="preserve">Any secured compact frame may be secured by using the MAC Command frames as described in 10.39.11.4. Those MAC Command frames uses standard addressing fields, thus they may use normal security described in Clause 9. </w:t>
      </w:r>
    </w:p>
    <w:p>
      <w:pPr>
        <w:pStyle w:val="IEEEText"/>
        <w:rPr/>
      </w:pPr>
      <w:r>
        <w:rPr/>
        <w:t>Remove tables 25 and 26.</w:t>
      </w:r>
    </w:p>
    <w:p>
      <w:pPr>
        <w:pStyle w:val="IEEEHeading2"/>
        <w:numPr>
          <w:ilvl w:val="1"/>
          <w:numId w:val="3"/>
        </w:numPr>
        <w:ind w:left="0" w:right="0" w:hanging="0"/>
        <w:rPr/>
      </w:pPr>
      <w:r>
        <w:rPr/>
        <w:t>Clause 10.39.11.3.19 removal</w:t>
      </w:r>
    </w:p>
    <w:p>
      <w:pPr>
        <w:pStyle w:val="IEEEText"/>
        <w:rPr/>
      </w:pPr>
      <w:r>
        <w:rPr/>
        <w:t>Remove clause 10.39.11.3.19 Secured Compact frame, as that is no longer needed as this secured format uses standard security format.</w:t>
      </w:r>
    </w:p>
    <w:p>
      <w:pPr>
        <w:pStyle w:val="IEEEHeading2"/>
        <w:numPr>
          <w:ilvl w:val="1"/>
          <w:numId w:val="3"/>
        </w:numPr>
        <w:ind w:left="0" w:right="0" w:hanging="0"/>
        <w:rPr/>
      </w:pPr>
      <w:r>
        <w:rPr/>
        <w:t>Clause 10.39.11.4 addition</w:t>
      </w:r>
    </w:p>
    <w:p>
      <w:pPr>
        <w:pStyle w:val="IEEEText"/>
        <w:rPr/>
      </w:pPr>
      <w:r>
        <w:rPr/>
        <w:t>Add new section 10.39.11.4 MAC Command format for compact frames as follows:</w:t>
      </w:r>
    </w:p>
    <w:p>
      <w:pPr>
        <w:pStyle w:val="IEEEText"/>
        <w:ind w:left="720" w:hanging="0"/>
        <w:rPr/>
      </w:pPr>
      <w:r>
        <w:rPr/>
        <w:t>Each compact frame is allocated an Command ID that can be used to embed the compact frame inside the MAC Command frame format. This allows using standard security, privacy and other features provided by standard frames.</w:t>
      </w:r>
    </w:p>
    <w:p>
      <w:pPr>
        <w:pStyle w:val="IEEEText"/>
        <w:ind w:left="720" w:hanging="0"/>
        <w:rPr/>
      </w:pPr>
      <w:r>
        <w:rPr/>
        <w:t xml:space="preserve">Frames shall be formatted as illustrated in </w:t>
      </w:r>
      <w:r>
        <w:rPr/>
        <w:fldChar w:fldCharType="begin"/>
      </w:r>
      <w:r>
        <w:rPr/>
        <w:instrText xml:space="preserve"> REF __RefNumPara__1274_795959613_Copy_1 \w \h </w:instrText>
      </w:r>
      <w:r>
        <w:rPr/>
        <w:fldChar w:fldCharType="separate"/>
      </w:r>
      <w:r>
        <w:rPr/>
        <w:t>Figure 2</w:t>
      </w:r>
      <w:r>
        <w:rPr/>
        <w:fldChar w:fldCharType="end"/>
      </w:r>
      <w:r>
        <w:rPr/>
        <w:t>.</w:t>
      </w:r>
    </w:p>
    <w:tbl>
      <w:tblPr>
        <w:tblW w:w="10075" w:type="dxa"/>
        <w:jc w:val="left"/>
        <w:tblInd w:w="-10" w:type="dxa"/>
        <w:tblLayout w:type="fixed"/>
        <w:tblCellMar>
          <w:top w:w="55" w:type="dxa"/>
          <w:left w:w="55" w:type="dxa"/>
          <w:bottom w:w="55" w:type="dxa"/>
          <w:right w:w="55" w:type="dxa"/>
        </w:tblCellMar>
      </w:tblPr>
      <w:tblGrid>
        <w:gridCol w:w="876"/>
        <w:gridCol w:w="877"/>
        <w:gridCol w:w="1072"/>
        <w:gridCol w:w="1013"/>
        <w:gridCol w:w="987"/>
        <w:gridCol w:w="1025"/>
        <w:gridCol w:w="988"/>
        <w:gridCol w:w="950"/>
        <w:gridCol w:w="1537"/>
        <w:gridCol w:w="750"/>
      </w:tblGrid>
      <w:tr>
        <w:trPr/>
        <w:tc>
          <w:tcPr>
            <w:tcW w:w="876"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Octets: 2</w:t>
            </w:r>
          </w:p>
        </w:tc>
        <w:tc>
          <w:tcPr>
            <w:tcW w:w="877"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0/1</w:t>
            </w:r>
          </w:p>
        </w:tc>
        <w:tc>
          <w:tcPr>
            <w:tcW w:w="1072"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variable</w:t>
            </w:r>
          </w:p>
        </w:tc>
        <w:tc>
          <w:tcPr>
            <w:tcW w:w="1013"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variable</w:t>
            </w:r>
          </w:p>
        </w:tc>
        <w:tc>
          <w:tcPr>
            <w:tcW w:w="2012" w:type="dxa"/>
            <w:gridSpan w:val="2"/>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variable</w:t>
            </w:r>
          </w:p>
        </w:tc>
        <w:tc>
          <w:tcPr>
            <w:tcW w:w="988"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1</w:t>
            </w:r>
          </w:p>
        </w:tc>
        <w:tc>
          <w:tcPr>
            <w:tcW w:w="950"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1</w:t>
            </w:r>
          </w:p>
        </w:tc>
        <w:tc>
          <w:tcPr>
            <w:tcW w:w="1537" w:type="dxa"/>
            <w:tcBorders>
              <w:top w:val="single" w:sz="8" w:space="0" w:color="000000"/>
              <w:left w:val="single" w:sz="8" w:space="0" w:color="000000"/>
              <w:bottom w:val="single" w:sz="8" w:space="0" w:color="000000"/>
            </w:tcBorders>
          </w:tcPr>
          <w:p>
            <w:pPr>
              <w:pStyle w:val="TableContents"/>
              <w:spacing w:before="0" w:after="160"/>
              <w:jc w:val="center"/>
              <w:rPr>
                <w:b/>
                <w:b/>
                <w:bCs/>
                <w:sz w:val="20"/>
              </w:rPr>
            </w:pPr>
            <w:r>
              <w:rPr>
                <w:b/>
                <w:bCs/>
                <w:sz w:val="20"/>
              </w:rPr>
              <w:t>variable</w:t>
            </w:r>
          </w:p>
        </w:tc>
        <w:tc>
          <w:tcPr>
            <w:tcW w:w="750" w:type="dxa"/>
            <w:tcBorders>
              <w:top w:val="single" w:sz="8" w:space="0" w:color="000000"/>
              <w:left w:val="single" w:sz="8" w:space="0" w:color="000000"/>
              <w:bottom w:val="single" w:sz="8" w:space="0" w:color="000000"/>
              <w:right w:val="single" w:sz="8" w:space="0" w:color="000000"/>
            </w:tcBorders>
          </w:tcPr>
          <w:p>
            <w:pPr>
              <w:pStyle w:val="TableContents"/>
              <w:spacing w:before="0" w:after="160"/>
              <w:jc w:val="center"/>
              <w:rPr>
                <w:b/>
                <w:b/>
                <w:bCs/>
                <w:sz w:val="20"/>
              </w:rPr>
            </w:pPr>
            <w:r>
              <w:rPr>
                <w:b/>
                <w:bCs/>
                <w:sz w:val="20"/>
              </w:rPr>
              <w:t>2/4</w:t>
            </w:r>
          </w:p>
        </w:tc>
      </w:tr>
      <w:tr>
        <w:trPr/>
        <w:tc>
          <w:tcPr>
            <w:tcW w:w="876" w:type="dxa"/>
            <w:vMerge w:val="restart"/>
            <w:tcBorders>
              <w:left w:val="single" w:sz="8" w:space="0" w:color="000000"/>
              <w:bottom w:val="single" w:sz="8" w:space="0" w:color="000000"/>
            </w:tcBorders>
          </w:tcPr>
          <w:p>
            <w:pPr>
              <w:pStyle w:val="TableContents"/>
              <w:spacing w:before="0" w:after="160"/>
              <w:jc w:val="center"/>
              <w:rPr>
                <w:sz w:val="20"/>
              </w:rPr>
            </w:pPr>
            <w:r>
              <w:rPr>
                <w:sz w:val="20"/>
              </w:rPr>
              <w:t>Frame Control</w:t>
            </w:r>
          </w:p>
        </w:tc>
        <w:tc>
          <w:tcPr>
            <w:tcW w:w="877" w:type="dxa"/>
            <w:vMerge w:val="restart"/>
            <w:tcBorders>
              <w:left w:val="single" w:sz="8" w:space="0" w:color="000000"/>
              <w:bottom w:val="single" w:sz="8" w:space="0" w:color="000000"/>
            </w:tcBorders>
          </w:tcPr>
          <w:p>
            <w:pPr>
              <w:pStyle w:val="TableContents"/>
              <w:spacing w:before="0" w:after="160"/>
              <w:jc w:val="center"/>
              <w:rPr>
                <w:sz w:val="20"/>
              </w:rPr>
            </w:pPr>
            <w:r>
              <w:rPr>
                <w:sz w:val="20"/>
              </w:rPr>
              <w:t>Sequence Number</w:t>
            </w:r>
          </w:p>
        </w:tc>
        <w:tc>
          <w:tcPr>
            <w:tcW w:w="1072" w:type="dxa"/>
            <w:vMerge w:val="restart"/>
            <w:tcBorders>
              <w:left w:val="single" w:sz="8" w:space="0" w:color="000000"/>
              <w:bottom w:val="single" w:sz="8" w:space="0" w:color="000000"/>
            </w:tcBorders>
          </w:tcPr>
          <w:p>
            <w:pPr>
              <w:pStyle w:val="TableContents"/>
              <w:spacing w:before="0" w:after="160"/>
              <w:jc w:val="center"/>
              <w:rPr>
                <w:sz w:val="20"/>
              </w:rPr>
            </w:pPr>
            <w:r>
              <w:rPr>
                <w:sz w:val="20"/>
              </w:rPr>
              <w:t>Addressing fields</w:t>
            </w:r>
          </w:p>
        </w:tc>
        <w:tc>
          <w:tcPr>
            <w:tcW w:w="1013" w:type="dxa"/>
            <w:vMerge w:val="restart"/>
            <w:tcBorders>
              <w:left w:val="single" w:sz="8" w:space="0" w:color="000000"/>
              <w:bottom w:val="single" w:sz="8" w:space="0" w:color="000000"/>
            </w:tcBorders>
          </w:tcPr>
          <w:p>
            <w:pPr>
              <w:pStyle w:val="TableContents"/>
              <w:spacing w:before="0" w:after="160"/>
              <w:jc w:val="center"/>
              <w:rPr>
                <w:sz w:val="20"/>
              </w:rPr>
            </w:pPr>
            <w:r>
              <w:rPr>
                <w:sz w:val="20"/>
              </w:rPr>
              <w:t>Auxiliary Security Header</w:t>
            </w:r>
          </w:p>
        </w:tc>
        <w:tc>
          <w:tcPr>
            <w:tcW w:w="2012" w:type="dxa"/>
            <w:gridSpan w:val="2"/>
            <w:tcBorders>
              <w:left w:val="single" w:sz="8" w:space="0" w:color="000000"/>
              <w:bottom w:val="single" w:sz="8" w:space="0" w:color="000000"/>
            </w:tcBorders>
          </w:tcPr>
          <w:p>
            <w:pPr>
              <w:pStyle w:val="TableContents"/>
              <w:spacing w:before="0" w:after="160"/>
              <w:jc w:val="center"/>
              <w:rPr>
                <w:sz w:val="20"/>
              </w:rPr>
            </w:pPr>
            <w:r>
              <w:rPr>
                <w:sz w:val="20"/>
              </w:rPr>
              <w:t>IE</w:t>
            </w:r>
          </w:p>
        </w:tc>
        <w:tc>
          <w:tcPr>
            <w:tcW w:w="988" w:type="dxa"/>
            <w:vMerge w:val="restart"/>
            <w:tcBorders>
              <w:left w:val="single" w:sz="8" w:space="0" w:color="000000"/>
              <w:bottom w:val="single" w:sz="8" w:space="0" w:color="000000"/>
            </w:tcBorders>
          </w:tcPr>
          <w:p>
            <w:pPr>
              <w:pStyle w:val="TableContents"/>
              <w:spacing w:before="0" w:after="160"/>
              <w:jc w:val="center"/>
              <w:rPr>
                <w:sz w:val="20"/>
              </w:rPr>
            </w:pPr>
            <w:r>
              <w:rPr>
                <w:sz w:val="20"/>
              </w:rPr>
              <w:t>Command ID</w:t>
            </w:r>
          </w:p>
        </w:tc>
        <w:tc>
          <w:tcPr>
            <w:tcW w:w="950" w:type="dxa"/>
            <w:vMerge w:val="restart"/>
            <w:tcBorders>
              <w:left w:val="single" w:sz="8" w:space="0" w:color="000000"/>
              <w:bottom w:val="single" w:sz="8" w:space="0" w:color="000000"/>
            </w:tcBorders>
          </w:tcPr>
          <w:p>
            <w:pPr>
              <w:pStyle w:val="TableContents"/>
              <w:spacing w:before="0" w:after="160"/>
              <w:jc w:val="center"/>
              <w:rPr>
                <w:sz w:val="20"/>
              </w:rPr>
            </w:pPr>
            <w:r>
              <w:rPr>
                <w:sz w:val="20"/>
              </w:rPr>
              <w:t>Message ID</w:t>
            </w:r>
          </w:p>
        </w:tc>
        <w:tc>
          <w:tcPr>
            <w:tcW w:w="1537" w:type="dxa"/>
            <w:vMerge w:val="restart"/>
            <w:tcBorders>
              <w:left w:val="single" w:sz="8" w:space="0" w:color="000000"/>
              <w:bottom w:val="single" w:sz="8" w:space="0" w:color="000000"/>
            </w:tcBorders>
          </w:tcPr>
          <w:p>
            <w:pPr>
              <w:pStyle w:val="TableContents"/>
              <w:spacing w:before="0" w:after="160"/>
              <w:jc w:val="center"/>
              <w:rPr>
                <w:sz w:val="20"/>
              </w:rPr>
            </w:pPr>
            <w:r>
              <w:rPr>
                <w:sz w:val="20"/>
              </w:rPr>
              <w:t>Message Content</w:t>
            </w:r>
          </w:p>
        </w:tc>
        <w:tc>
          <w:tcPr>
            <w:tcW w:w="750" w:type="dxa"/>
            <w:vMerge w:val="restart"/>
            <w:tcBorders>
              <w:left w:val="single" w:sz="8" w:space="0" w:color="000000"/>
              <w:bottom w:val="single" w:sz="8" w:space="0" w:color="000000"/>
              <w:right w:val="single" w:sz="8" w:space="0" w:color="000000"/>
            </w:tcBorders>
          </w:tcPr>
          <w:p>
            <w:pPr>
              <w:pStyle w:val="TableContents"/>
              <w:spacing w:before="0" w:after="160"/>
              <w:jc w:val="center"/>
              <w:rPr>
                <w:sz w:val="20"/>
              </w:rPr>
            </w:pPr>
            <w:r>
              <w:rPr>
                <w:sz w:val="20"/>
              </w:rPr>
              <w:t>FCS</w:t>
            </w:r>
          </w:p>
        </w:tc>
      </w:tr>
      <w:tr>
        <w:trPr/>
        <w:tc>
          <w:tcPr>
            <w:tcW w:w="876" w:type="dxa"/>
            <w:vMerge w:val="continue"/>
            <w:tcBorders>
              <w:left w:val="single" w:sz="8" w:space="0" w:color="000000"/>
              <w:bottom w:val="single" w:sz="8" w:space="0" w:color="000000"/>
            </w:tcBorders>
          </w:tcPr>
          <w:p>
            <w:pPr>
              <w:pStyle w:val="Normal"/>
              <w:spacing w:before="0" w:after="160"/>
              <w:rPr/>
            </w:pPr>
            <w:r>
              <w:rPr/>
            </w:r>
          </w:p>
        </w:tc>
        <w:tc>
          <w:tcPr>
            <w:tcW w:w="877" w:type="dxa"/>
            <w:vMerge w:val="continue"/>
            <w:tcBorders>
              <w:left w:val="single" w:sz="8" w:space="0" w:color="000000"/>
              <w:bottom w:val="single" w:sz="8" w:space="0" w:color="000000"/>
            </w:tcBorders>
          </w:tcPr>
          <w:p>
            <w:pPr>
              <w:pStyle w:val="Normal"/>
              <w:spacing w:before="0" w:after="160"/>
              <w:rPr/>
            </w:pPr>
            <w:r>
              <w:rPr/>
            </w:r>
          </w:p>
        </w:tc>
        <w:tc>
          <w:tcPr>
            <w:tcW w:w="1072" w:type="dxa"/>
            <w:vMerge w:val="continue"/>
            <w:tcBorders>
              <w:left w:val="single" w:sz="8" w:space="0" w:color="000000"/>
              <w:bottom w:val="single" w:sz="8" w:space="0" w:color="000000"/>
            </w:tcBorders>
          </w:tcPr>
          <w:p>
            <w:pPr>
              <w:pStyle w:val="Normal"/>
              <w:spacing w:before="0" w:after="160"/>
              <w:rPr/>
            </w:pPr>
            <w:r>
              <w:rPr/>
            </w:r>
          </w:p>
        </w:tc>
        <w:tc>
          <w:tcPr>
            <w:tcW w:w="1013" w:type="dxa"/>
            <w:vMerge w:val="continue"/>
            <w:tcBorders>
              <w:left w:val="single" w:sz="8" w:space="0" w:color="000000"/>
              <w:bottom w:val="single" w:sz="8" w:space="0" w:color="000000"/>
            </w:tcBorders>
          </w:tcPr>
          <w:p>
            <w:pPr>
              <w:pStyle w:val="Normal"/>
              <w:spacing w:before="0" w:after="160"/>
              <w:rPr/>
            </w:pPr>
            <w:r>
              <w:rPr/>
            </w:r>
          </w:p>
        </w:tc>
        <w:tc>
          <w:tcPr>
            <w:tcW w:w="987" w:type="dxa"/>
            <w:tcBorders>
              <w:left w:val="single" w:sz="8" w:space="0" w:color="000000"/>
              <w:bottom w:val="single" w:sz="8" w:space="0" w:color="000000"/>
            </w:tcBorders>
          </w:tcPr>
          <w:p>
            <w:pPr>
              <w:pStyle w:val="TableContents"/>
              <w:spacing w:before="0" w:after="160"/>
              <w:jc w:val="center"/>
              <w:rPr>
                <w:sz w:val="20"/>
              </w:rPr>
            </w:pPr>
            <w:r>
              <w:rPr>
                <w:sz w:val="20"/>
              </w:rPr>
              <w:t>Header IEs</w:t>
            </w:r>
          </w:p>
        </w:tc>
        <w:tc>
          <w:tcPr>
            <w:tcW w:w="1025" w:type="dxa"/>
            <w:tcBorders>
              <w:left w:val="single" w:sz="8" w:space="0" w:color="000000"/>
              <w:bottom w:val="single" w:sz="8" w:space="0" w:color="000000"/>
            </w:tcBorders>
          </w:tcPr>
          <w:p>
            <w:pPr>
              <w:pStyle w:val="TableContents"/>
              <w:spacing w:before="0" w:after="160"/>
              <w:jc w:val="center"/>
              <w:rPr>
                <w:sz w:val="20"/>
              </w:rPr>
            </w:pPr>
            <w:r>
              <w:rPr>
                <w:sz w:val="20"/>
              </w:rPr>
              <w:t>Payload IEs</w:t>
            </w:r>
          </w:p>
        </w:tc>
        <w:tc>
          <w:tcPr>
            <w:tcW w:w="988" w:type="dxa"/>
            <w:vMerge w:val="continue"/>
            <w:tcBorders>
              <w:left w:val="single" w:sz="8" w:space="0" w:color="000000"/>
              <w:bottom w:val="single" w:sz="8" w:space="0" w:color="000000"/>
            </w:tcBorders>
          </w:tcPr>
          <w:p>
            <w:pPr>
              <w:pStyle w:val="Normal"/>
              <w:spacing w:before="0" w:after="160"/>
              <w:rPr/>
            </w:pPr>
            <w:r>
              <w:rPr/>
            </w:r>
          </w:p>
        </w:tc>
        <w:tc>
          <w:tcPr>
            <w:tcW w:w="950" w:type="dxa"/>
            <w:vMerge w:val="continue"/>
            <w:tcBorders>
              <w:left w:val="single" w:sz="8" w:space="0" w:color="000000"/>
              <w:bottom w:val="single" w:sz="8" w:space="0" w:color="000000"/>
            </w:tcBorders>
          </w:tcPr>
          <w:p>
            <w:pPr>
              <w:pStyle w:val="Normal"/>
              <w:spacing w:before="0" w:after="160"/>
              <w:rPr/>
            </w:pPr>
            <w:r>
              <w:rPr/>
            </w:r>
          </w:p>
        </w:tc>
        <w:tc>
          <w:tcPr>
            <w:tcW w:w="1537" w:type="dxa"/>
            <w:vMerge w:val="continue"/>
            <w:tcBorders>
              <w:left w:val="single" w:sz="8" w:space="0" w:color="000000"/>
              <w:bottom w:val="single" w:sz="8" w:space="0" w:color="000000"/>
            </w:tcBorders>
          </w:tcPr>
          <w:p>
            <w:pPr>
              <w:pStyle w:val="Normal"/>
              <w:spacing w:before="0" w:after="160"/>
              <w:rPr/>
            </w:pPr>
            <w:r>
              <w:rPr/>
            </w:r>
          </w:p>
        </w:tc>
        <w:tc>
          <w:tcPr>
            <w:tcW w:w="750" w:type="dxa"/>
            <w:vMerge w:val="continue"/>
            <w:tcBorders>
              <w:left w:val="single" w:sz="8" w:space="0" w:color="000000"/>
              <w:bottom w:val="single" w:sz="8" w:space="0" w:color="000000"/>
              <w:right w:val="single" w:sz="8" w:space="0" w:color="000000"/>
            </w:tcBorders>
          </w:tcPr>
          <w:p>
            <w:pPr>
              <w:pStyle w:val="Normal"/>
              <w:spacing w:before="0" w:after="160"/>
              <w:rPr/>
            </w:pPr>
            <w:r>
              <w:rPr/>
            </w:r>
          </w:p>
        </w:tc>
      </w:tr>
      <w:tr>
        <w:trPr/>
        <w:tc>
          <w:tcPr>
            <w:tcW w:w="4825" w:type="dxa"/>
            <w:gridSpan w:val="5"/>
            <w:tcBorders>
              <w:left w:val="single" w:sz="8" w:space="0" w:color="000000"/>
              <w:bottom w:val="single" w:sz="8" w:space="0" w:color="000000"/>
            </w:tcBorders>
          </w:tcPr>
          <w:p>
            <w:pPr>
              <w:pStyle w:val="TableContents"/>
              <w:spacing w:before="0" w:after="160"/>
              <w:jc w:val="center"/>
              <w:rPr>
                <w:sz w:val="20"/>
              </w:rPr>
            </w:pPr>
            <w:r>
              <w:rPr>
                <w:sz w:val="20"/>
              </w:rPr>
              <w:t>MHR</w:t>
            </w:r>
          </w:p>
        </w:tc>
        <w:tc>
          <w:tcPr>
            <w:tcW w:w="4500" w:type="dxa"/>
            <w:gridSpan w:val="4"/>
            <w:tcBorders>
              <w:left w:val="single" w:sz="8" w:space="0" w:color="000000"/>
              <w:bottom w:val="single" w:sz="8" w:space="0" w:color="000000"/>
            </w:tcBorders>
          </w:tcPr>
          <w:p>
            <w:pPr>
              <w:pStyle w:val="TableContents"/>
              <w:spacing w:before="0" w:after="160"/>
              <w:jc w:val="center"/>
              <w:rPr>
                <w:sz w:val="20"/>
              </w:rPr>
            </w:pPr>
            <w:r>
              <w:rPr>
                <w:sz w:val="20"/>
              </w:rPr>
              <w:t>MAC Payload</w:t>
            </w:r>
          </w:p>
        </w:tc>
        <w:tc>
          <w:tcPr>
            <w:tcW w:w="750" w:type="dxa"/>
            <w:tcBorders>
              <w:left w:val="single" w:sz="8" w:space="0" w:color="000000"/>
              <w:bottom w:val="single" w:sz="8" w:space="0" w:color="000000"/>
              <w:right w:val="single" w:sz="8" w:space="0" w:color="000000"/>
            </w:tcBorders>
          </w:tcPr>
          <w:p>
            <w:pPr>
              <w:pStyle w:val="TableContents"/>
              <w:spacing w:before="0" w:after="160"/>
              <w:jc w:val="center"/>
              <w:rPr>
                <w:sz w:val="20"/>
              </w:rPr>
            </w:pPr>
            <w:r>
              <w:rPr>
                <w:sz w:val="20"/>
              </w:rPr>
              <w:t>MFR</w:t>
            </w:r>
          </w:p>
        </w:tc>
      </w:tr>
    </w:tbl>
    <w:p>
      <w:pPr>
        <w:pStyle w:val="IEEEFigureTitle"/>
        <w:numPr>
          <w:ilvl w:val="0"/>
          <w:numId w:val="6"/>
        </w:numPr>
        <w:ind w:left="0" w:right="0" w:hanging="0"/>
        <w:rPr/>
      </w:pPr>
      <w:bookmarkStart w:id="1" w:name="__RefNumPara__1274_795959613_Copy_1"/>
      <w:bookmarkEnd w:id="1"/>
      <w:r>
        <w:rPr>
          <w:rFonts w:eastAsia="DejaVu Sans" w:cs="DejaVu Sans" w:ascii="DejaVu Sans" w:hAnsi="DejaVu Sans"/>
        </w:rPr>
        <w:t>—</w:t>
      </w:r>
      <w:r>
        <w:rPr>
          <w:rFonts w:eastAsia="DejaVu Sans" w:cs="DejaVu Sans"/>
        </w:rPr>
        <w:t>MAC Command frames for compact frames</w:t>
      </w:r>
    </w:p>
    <w:p>
      <w:pPr>
        <w:pStyle w:val="IEEEText"/>
        <w:spacing w:before="240" w:after="240"/>
        <w:ind w:left="720" w:hanging="0"/>
        <w:rPr/>
      </w:pPr>
      <w:r>
        <w:rPr/>
        <w:t>The Command ID for each compact frame type is specified in Table 7-11. Message ID is described in section 10.39.11.1.3.1. The Message Contents field contains the Message Content field of the compact frame.</w:t>
      </w:r>
    </w:p>
    <w:sectPr>
      <w:headerReference w:type="default" r:id="rId2"/>
      <w:footerReference w:type="default" r:id="rId3"/>
      <w:type w:val="nextPage"/>
      <w:pgSz w:w="12240" w:h="15840"/>
      <w:pgMar w:left="1080" w:right="1080" w:gutter="0" w:header="432" w:top="864"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default"/>
  </w:font>
  <w:font w:name="OpenSymbol">
    <w:altName w:val="Arial Unicode MS"/>
    <w:charset w:val="02"/>
    <w:family w:val="auto"/>
    <w:pitch w:val="default"/>
  </w:font>
  <w:font w:name="Liberation Sans">
    <w:altName w:val="Arial"/>
    <w:charset w:val="01"/>
    <w:family w:val="swiss"/>
    <w:pitch w:val="variable"/>
  </w:font>
  <w:font w:name="DejaVu Sans Mono">
    <w:charset w:val="01"/>
    <w:family w:val="modern"/>
    <w:pitch w:val="fixed"/>
  </w:font>
  <w:font w:name="DejaVu Sans">
    <w:charset w:val="01"/>
    <w:family w:val="swiss"/>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5040" w:leader="none"/>
        <w:tab w:val="right" w:pos="10080" w:leader="none"/>
      </w:tabs>
      <w:rPr>
        <w:rFonts w:ascii="Times New Roman" w:hAnsi="Times New Roman" w:cs="Times New Roman"/>
      </w:rPr>
    </w:pPr>
    <w:r>
      <mc:AlternateContent>
        <mc:Choice Requires="wps">
          <w:drawing>
            <wp:anchor behindDoc="1" distT="0" distB="0" distL="0" distR="0" simplePos="0" locked="0" layoutInCell="0" allowOverlap="1" relativeHeight="11">
              <wp:simplePos x="0" y="0"/>
              <wp:positionH relativeFrom="margin">
                <wp:posOffset>16510</wp:posOffset>
              </wp:positionH>
              <wp:positionV relativeFrom="paragraph">
                <wp:posOffset>-32385</wp:posOffset>
              </wp:positionV>
              <wp:extent cx="6367780" cy="635"/>
              <wp:effectExtent l="0" t="3810" r="635" b="3175"/>
              <wp:wrapNone/>
              <wp:docPr id="2" name="Straight Connector 1"/>
              <a:graphic xmlns:a="http://schemas.openxmlformats.org/drawingml/2006/main">
                <a:graphicData uri="http://schemas.microsoft.com/office/word/2010/wordprocessingShape">
                  <wps:wsp>
                    <wps:cNvSpPr/>
                    <wps:spPr>
                      <a:xfrm>
                        <a:off x="0" y="0"/>
                        <a:ext cx="636768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pt,-2.55pt" to="502.65pt,-2.55pt" ID="Straight Connector 1" stroked="t" o:allowincell="f" style="position:absolute;mso-position-horizontal-relative:margin">
              <v:stroke color="black" weight="6480" joinstyle="miter" endcap="flat"/>
              <v:fill o:detectmouseclick="t" on="false"/>
              <w10:wrap type="none"/>
            </v:line>
          </w:pict>
        </mc:Fallback>
      </mc:AlternateContent>
    </w:r>
    <w:r>
      <w:rPr>
        <w:rFonts w:cs="Times New Roman"/>
      </w:rPr>
      <w:t>Submission</w:t>
      <w:tab/>
      <w:t xml:space="preserve">Page </w:t>
    </w:r>
    <w:r>
      <w:rPr>
        <w:rFonts w:cs="Times New Roman"/>
      </w:rPr>
      <w:fldChar w:fldCharType="begin"/>
    </w:r>
    <w:r>
      <w:rPr>
        <w:rFonts w:cs="Times New Roman"/>
      </w:rPr>
      <w:instrText xml:space="preserve"> PAGE </w:instrText>
    </w:r>
    <w:r>
      <w:rPr>
        <w:rFonts w:cs="Times New Roman"/>
      </w:rPr>
      <w:fldChar w:fldCharType="separate"/>
    </w:r>
    <w:r>
      <w:rPr>
        <w:rFonts w:cs="Times New Roman"/>
      </w:rPr>
      <w:t>5</w:t>
    </w:r>
    <w:r>
      <w:rPr>
        <w:rFonts w:cs="Times New Roman"/>
      </w:rPr>
      <w:fldChar w:fldCharType="end"/>
    </w:r>
    <w:r>
      <w:rPr>
        <w:rFonts w:cs="Times New Roman"/>
      </w:rPr>
      <w:tab/>
    </w:r>
    <w:r>
      <w:rPr>
        <w:rFonts w:cs="Times New Roman"/>
      </w:rPr>
      <w:t>Tero Kivinen, Wi-SUN Alliance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60"/>
        <w:tab w:val="center" w:pos="4680" w:leader="none"/>
        <w:tab w:val="right" w:pos="10080" w:leader="none"/>
      </w:tabs>
      <w:rPr>
        <w:rFonts w:ascii="Times New Roman" w:hAnsi="Times New Roman" w:cs="Times New Roman"/>
        <w:b/>
        <w:b/>
        <w:bCs/>
        <w:sz w:val="28"/>
        <w:szCs w:val="28"/>
      </w:rPr>
    </w:pPr>
    <w:r>
      <mc:AlternateContent>
        <mc:Choice Requires="wps">
          <w:drawing>
            <wp:anchor behindDoc="1" distT="0" distB="0" distL="0" distR="0" simplePos="0" locked="0" layoutInCell="0" allowOverlap="1" relativeHeight="6">
              <wp:simplePos x="0" y="0"/>
              <wp:positionH relativeFrom="margin">
                <wp:posOffset>16510</wp:posOffset>
              </wp:positionH>
              <wp:positionV relativeFrom="paragraph">
                <wp:posOffset>234950</wp:posOffset>
              </wp:positionV>
              <wp:extent cx="6367780" cy="635"/>
              <wp:effectExtent l="0" t="3175" r="635" b="3175"/>
              <wp:wrapNone/>
              <wp:docPr id="1" name="Straight Connector 1"/>
              <a:graphic xmlns:a="http://schemas.openxmlformats.org/drawingml/2006/main">
                <a:graphicData uri="http://schemas.microsoft.com/office/word/2010/wordprocessingShape">
                  <wps:wsp>
                    <wps:cNvSpPr/>
                    <wps:spPr>
                      <a:xfrm>
                        <a:off x="0" y="0"/>
                        <a:ext cx="636768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pt,18.5pt" to="502.65pt,18.5pt" ID="Straight Connector 1" stroked="t" o:allowincell="f" style="position:absolute;mso-position-horizontal-relative:margin">
              <v:stroke color="black" weight="6480" joinstyle="miter" endcap="flat"/>
              <v:fill o:detectmouseclick="t" on="false"/>
              <w10:wrap type="none"/>
            </v:line>
          </w:pict>
        </mc:Fallback>
      </mc:AlternateContent>
    </w:r>
    <w:r>
      <w:rPr>
        <w:rFonts w:cs="Times New Roman"/>
        <w:b/>
        <w:bCs/>
        <w:sz w:val="28"/>
        <w:szCs w:val="28"/>
        <w:shd w:fill="auto" w:val="clear"/>
      </w:rPr>
      <w:t>October</w:t>
    </w:r>
    <w:r>
      <w:rPr>
        <w:rFonts w:cs="Times New Roman"/>
        <w:b/>
        <w:bCs/>
        <w:sz w:val="28"/>
        <w:szCs w:val="28"/>
        <w:shd w:fill="auto" w:val="clear"/>
      </w:rPr>
      <w:t>, 2025</w:t>
    </w:r>
    <w:r>
      <w:rPr>
        <w:rFonts w:cs="Times New Roman"/>
        <w:b/>
        <w:bCs/>
        <w:sz w:val="28"/>
        <w:szCs w:val="28"/>
      </w:rPr>
      <w:tab/>
      <w:tab/>
      <w:t>doc: IEEE 802.15-</w:t>
    </w:r>
    <w:r>
      <w:rPr>
        <w:rFonts w:cs="Times New Roman"/>
        <w:b/>
        <w:bCs/>
        <w:sz w:val="28"/>
        <w:szCs w:val="28"/>
      </w:rPr>
      <w:t>25-</w:t>
    </w:r>
    <w:r>
      <w:rPr>
        <w:rFonts w:cs="Times New Roman"/>
        <w:b/>
        <w:bCs/>
        <w:sz w:val="28"/>
        <w:szCs w:val="28"/>
      </w:rPr>
      <w:t>0</w:t>
    </w:r>
    <w:r>
      <w:rPr>
        <w:rFonts w:cs="Times New Roman"/>
        <w:b/>
        <w:bCs/>
        <w:sz w:val="28"/>
        <w:szCs w:val="28"/>
      </w:rPr>
      <w:t>505</w:t>
    </w:r>
    <w:r>
      <w:rPr>
        <w:rFonts w:cs="Times New Roman"/>
        <w:b/>
        <w:bCs/>
        <w:sz w:val="28"/>
        <w:szCs w:val="28"/>
      </w:rPr>
      <w:t>-0</w:t>
    </w:r>
    <w:r>
      <w:rPr>
        <w:rFonts w:cs="Times New Roman"/>
        <w:b/>
        <w:bCs/>
        <w:sz w:val="28"/>
        <w:szCs w:val="28"/>
      </w:rPr>
      <w:t>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3"/>
      <w:numFmt w:val="upperLetter"/>
      <w:lvlText w:val="%1 "/>
      <w:lvlJc w:val="left"/>
      <w:pPr>
        <w:tabs>
          <w:tab w:val="num" w:pos="397"/>
        </w:tabs>
        <w:ind w:left="754" w:hanging="754"/>
      </w:pPr>
      <w:rPr/>
    </w:lvl>
    <w:lvl w:ilvl="1">
      <w:start w:val="6"/>
      <w:numFmt w:val="decimal"/>
      <w:lvlText w:val="%1.%2."/>
      <w:lvlJc w:val="left"/>
      <w:pPr>
        <w:tabs>
          <w:tab w:val="num" w:pos="794"/>
        </w:tabs>
        <w:ind w:left="1151" w:hanging="1151"/>
      </w:pPr>
      <w:rPr/>
    </w:lvl>
    <w:lvl w:ilvl="2">
      <w:start w:val="1"/>
      <w:numFmt w:val="decimal"/>
      <w:lvlText w:val="%1.%2.%3."/>
      <w:lvlJc w:val="left"/>
      <w:pPr>
        <w:tabs>
          <w:tab w:val="num" w:pos="1191"/>
        </w:tabs>
        <w:ind w:left="1548" w:hanging="1548"/>
      </w:pPr>
      <w:rPr/>
    </w:lvl>
    <w:lvl w:ilvl="3">
      <w:start w:val="1"/>
      <w:numFmt w:val="decimal"/>
      <w:lvlText w:val="%1.%2.%3.%4."/>
      <w:lvlJc w:val="left"/>
      <w:pPr>
        <w:tabs>
          <w:tab w:val="num" w:pos="1588"/>
        </w:tabs>
        <w:ind w:left="1945" w:hanging="1945"/>
      </w:pPr>
      <w:rPr/>
    </w:lvl>
    <w:lvl w:ilvl="4">
      <w:start w:val="1"/>
      <w:numFmt w:val="decimal"/>
      <w:lvlText w:val="%1.%2.%3.%4.%5."/>
      <w:lvlJc w:val="left"/>
      <w:pPr>
        <w:tabs>
          <w:tab w:val="num" w:pos="1985"/>
        </w:tabs>
        <w:ind w:left="2342" w:hanging="2342"/>
      </w:pPr>
      <w:rPr/>
    </w:lvl>
    <w:lvl w:ilvl="5">
      <w:start w:val="1"/>
      <w:numFmt w:val="decimal"/>
      <w:lvlText w:val="%1.%2.%3.%4.%5.%6."/>
      <w:lvlJc w:val="left"/>
      <w:pPr>
        <w:tabs>
          <w:tab w:val="num" w:pos="2381"/>
        </w:tabs>
        <w:ind w:left="2738" w:hanging="2738"/>
      </w:pPr>
      <w:rPr/>
    </w:lvl>
    <w:lvl w:ilvl="6">
      <w:start w:val="1"/>
      <w:numFmt w:val="decimal"/>
      <w:lvlText w:val="%1.%2.%3.%4.%5.%6.%7."/>
      <w:lvlJc w:val="left"/>
      <w:pPr>
        <w:tabs>
          <w:tab w:val="num" w:pos="2778"/>
        </w:tabs>
        <w:ind w:left="3135" w:hanging="3135"/>
      </w:pPr>
      <w:rPr/>
    </w:lvl>
    <w:lvl w:ilvl="7">
      <w:start w:val="1"/>
      <w:numFmt w:val="decimal"/>
      <w:lvlText w:val="%1.%2.%3.%4.%5.%6.%7.%8."/>
      <w:lvlJc w:val="left"/>
      <w:pPr>
        <w:tabs>
          <w:tab w:val="num" w:pos="3175"/>
        </w:tabs>
        <w:ind w:left="3532" w:hanging="3532"/>
      </w:pPr>
      <w:rPr/>
    </w:lvl>
    <w:lvl w:ilvl="8">
      <w:start w:val="1"/>
      <w:numFmt w:val="decimal"/>
      <w:lvlText w:val="%1.%2.%3.%4.%5.%6.%7.%8.%9."/>
      <w:lvlJc w:val="left"/>
      <w:pPr>
        <w:tabs>
          <w:tab w:val="num" w:pos="3572"/>
        </w:tabs>
        <w:ind w:left="3929" w:hanging="3929"/>
      </w:pPr>
      <w:rPr/>
    </w:lvl>
  </w:abstractNum>
  <w:abstractNum w:abstractNumId="3">
    <w:lvl w:ilvl="0">
      <w:start w:val="1"/>
      <w:numFmt w:val="decimal"/>
      <w:suff w:val="space"/>
      <w:lvlText w:val="%1 "/>
      <w:lvlJc w:val="left"/>
      <w:pPr>
        <w:tabs>
          <w:tab w:val="num" w:pos="0"/>
        </w:tabs>
        <w:ind w:left="754" w:hanging="754"/>
      </w:pPr>
      <w:rPr>
        <w:sz w:val="24"/>
        <w:b/>
        <w:rFonts w:ascii="Arial" w:hAnsi="Arial"/>
      </w:rPr>
    </w:lvl>
    <w:lvl w:ilvl="1">
      <w:start w:val="1"/>
      <w:numFmt w:val="decimal"/>
      <w:suff w:val="space"/>
      <w:lvlText w:val="%1.%2."/>
      <w:lvlJc w:val="left"/>
      <w:pPr>
        <w:tabs>
          <w:tab w:val="num" w:pos="0"/>
        </w:tabs>
        <w:ind w:left="1151" w:hanging="1151"/>
      </w:pPr>
      <w:rPr>
        <w:sz w:val="22"/>
      </w:rPr>
    </w:lvl>
    <w:lvl w:ilvl="2">
      <w:start w:val="1"/>
      <w:numFmt w:val="decimal"/>
      <w:suff w:val="space"/>
      <w:lvlText w:val="%1.%2.%3."/>
      <w:lvlJc w:val="left"/>
      <w:pPr>
        <w:tabs>
          <w:tab w:val="num" w:pos="0"/>
        </w:tabs>
        <w:ind w:left="1945" w:hanging="1945"/>
      </w:pPr>
      <w:rPr>
        <w:sz w:val="20"/>
      </w:rPr>
    </w:lvl>
    <w:lvl w:ilvl="3">
      <w:start w:val="1"/>
      <w:numFmt w:val="decimal"/>
      <w:suff w:val="space"/>
      <w:lvlText w:val="%1.%2.%3.%4."/>
      <w:lvlJc w:val="left"/>
      <w:pPr>
        <w:tabs>
          <w:tab w:val="num" w:pos="0"/>
        </w:tabs>
        <w:ind w:left="2341" w:hanging="2341"/>
      </w:pPr>
      <w:rPr>
        <w:sz w:val="20"/>
      </w:rPr>
    </w:lvl>
    <w:lvl w:ilvl="4">
      <w:start w:val="1"/>
      <w:numFmt w:val="decimal"/>
      <w:suff w:val="space"/>
      <w:lvlText w:val="%1.%2.%3.%4.%5."/>
      <w:lvlJc w:val="left"/>
      <w:pPr>
        <w:tabs>
          <w:tab w:val="num" w:pos="0"/>
        </w:tabs>
        <w:ind w:left="2738" w:hanging="2738"/>
      </w:pPr>
      <w:rPr>
        <w:sz w:val="20"/>
      </w:rPr>
    </w:lvl>
    <w:lvl w:ilvl="5">
      <w:start w:val="1"/>
      <w:numFmt w:val="decimal"/>
      <w:suff w:val="space"/>
      <w:lvlText w:val="%1.%2.%3.%4.%5.%6."/>
      <w:lvlJc w:val="left"/>
      <w:pPr>
        <w:tabs>
          <w:tab w:val="num" w:pos="0"/>
        </w:tabs>
        <w:ind w:left="3135" w:hanging="3135"/>
      </w:pPr>
      <w:rPr>
        <w:sz w:val="20"/>
      </w:rPr>
    </w:lvl>
    <w:lvl w:ilvl="6">
      <w:start w:val="1"/>
      <w:numFmt w:val="decimal"/>
      <w:suff w:val="space"/>
      <w:lvlText w:val="%1.%2.%3.%4.%5.%6.%7."/>
      <w:lvlJc w:val="left"/>
      <w:pPr>
        <w:tabs>
          <w:tab w:val="num" w:pos="0"/>
        </w:tabs>
        <w:ind w:left="2880" w:hanging="2880"/>
      </w:pPr>
      <w:rPr>
        <w:sz w:val="20"/>
      </w:rPr>
    </w:lvl>
    <w:lvl w:ilvl="7">
      <w:start w:val="1"/>
      <w:numFmt w:val="decimal"/>
      <w:suff w:val="space"/>
      <w:lvlText w:val="%1.%2.%3.%4.%5.%6.%7.%8."/>
      <w:lvlJc w:val="left"/>
      <w:pPr>
        <w:tabs>
          <w:tab w:val="num" w:pos="0"/>
        </w:tabs>
        <w:ind w:left="3532" w:hanging="3532"/>
      </w:pPr>
      <w:rPr>
        <w:sz w:val="20"/>
      </w:rPr>
    </w:lvl>
    <w:lvl w:ilvl="8">
      <w:start w:val="1"/>
      <w:numFmt w:val="decimal"/>
      <w:suff w:val="space"/>
      <w:lvlText w:val="%1.%2.%3.%4.%5.%6.%7.%8.%9."/>
      <w:lvlJc w:val="left"/>
      <w:pPr>
        <w:tabs>
          <w:tab w:val="num" w:pos="0"/>
        </w:tabs>
        <w:ind w:left="3929" w:hanging="3929"/>
      </w:pPr>
      <w:rPr>
        <w:sz w:val="20"/>
      </w:rPr>
    </w:lvl>
  </w:abstractNum>
  <w:abstractNum w:abstractNumId="4">
    <w:lvl w:ilvl="0">
      <w:start w:val="1"/>
      <w:numFmt w:val="upperLetter"/>
      <w:suff w:val="space"/>
      <w:lvlText w:val="%1 "/>
      <w:lvlJc w:val="left"/>
      <w:pPr>
        <w:tabs>
          <w:tab w:val="num" w:pos="0"/>
        </w:tabs>
        <w:ind w:left="754" w:hanging="754"/>
      </w:pPr>
      <w:rPr/>
    </w:lvl>
    <w:lvl w:ilvl="1">
      <w:start w:val="6"/>
      <w:numFmt w:val="decimal"/>
      <w:suff w:val="space"/>
      <w:lvlText w:val="%1.%2."/>
      <w:lvlJc w:val="left"/>
      <w:pPr>
        <w:tabs>
          <w:tab w:val="num" w:pos="0"/>
        </w:tabs>
        <w:ind w:left="1151" w:hanging="1151"/>
      </w:pPr>
      <w:rPr>
        <w:sz w:val="22"/>
      </w:rPr>
    </w:lvl>
    <w:lvl w:ilvl="2">
      <w:start w:val="1"/>
      <w:numFmt w:val="decimal"/>
      <w:suff w:val="space"/>
      <w:lvlText w:val="%1.%2.%3."/>
      <w:lvlJc w:val="left"/>
      <w:pPr>
        <w:tabs>
          <w:tab w:val="num" w:pos="0"/>
        </w:tabs>
        <w:ind w:left="1945" w:hanging="1945"/>
      </w:pPr>
      <w:rPr>
        <w:sz w:val="20"/>
      </w:rPr>
    </w:lvl>
    <w:lvl w:ilvl="3">
      <w:start w:val="1"/>
      <w:numFmt w:val="decimal"/>
      <w:suff w:val="space"/>
      <w:lvlText w:val="%1.%2.%3.%4."/>
      <w:lvlJc w:val="left"/>
      <w:pPr>
        <w:tabs>
          <w:tab w:val="num" w:pos="0"/>
        </w:tabs>
        <w:ind w:left="2341" w:hanging="2341"/>
      </w:pPr>
      <w:rPr>
        <w:sz w:val="20"/>
      </w:rPr>
    </w:lvl>
    <w:lvl w:ilvl="4">
      <w:start w:val="1"/>
      <w:numFmt w:val="decimal"/>
      <w:suff w:val="space"/>
      <w:lvlText w:val="%1.%2.%3.%4.%5."/>
      <w:lvlJc w:val="left"/>
      <w:pPr>
        <w:tabs>
          <w:tab w:val="num" w:pos="0"/>
        </w:tabs>
        <w:ind w:left="2738" w:hanging="2738"/>
      </w:pPr>
      <w:rPr>
        <w:sz w:val="20"/>
      </w:rPr>
    </w:lvl>
    <w:lvl w:ilvl="5">
      <w:start w:val="1"/>
      <w:numFmt w:val="decimal"/>
      <w:suff w:val="space"/>
      <w:lvlText w:val="%1.%2.%3.%4.%5.%6."/>
      <w:lvlJc w:val="left"/>
      <w:pPr>
        <w:tabs>
          <w:tab w:val="num" w:pos="0"/>
        </w:tabs>
        <w:ind w:left="3135" w:hanging="3135"/>
      </w:pPr>
      <w:rPr>
        <w:sz w:val="20"/>
      </w:rPr>
    </w:lvl>
    <w:lvl w:ilvl="6">
      <w:start w:val="1"/>
      <w:numFmt w:val="decimal"/>
      <w:suff w:val="space"/>
      <w:lvlText w:val="%1.%2.%3.%4.%5.%6.%7."/>
      <w:lvlJc w:val="left"/>
      <w:pPr>
        <w:tabs>
          <w:tab w:val="num" w:pos="0"/>
        </w:tabs>
        <w:ind w:left="2880" w:hanging="2880"/>
      </w:pPr>
      <w:rPr>
        <w:sz w:val="20"/>
      </w:rPr>
    </w:lvl>
    <w:lvl w:ilvl="7">
      <w:start w:val="1"/>
      <w:numFmt w:val="decimal"/>
      <w:suff w:val="space"/>
      <w:lvlText w:val="%1.%2.%3.%4.%5.%6.%7.%8."/>
      <w:lvlJc w:val="left"/>
      <w:pPr>
        <w:tabs>
          <w:tab w:val="num" w:pos="0"/>
        </w:tabs>
        <w:ind w:left="3532" w:hanging="3532"/>
      </w:pPr>
      <w:rPr>
        <w:sz w:val="20"/>
      </w:rPr>
    </w:lvl>
    <w:lvl w:ilvl="8">
      <w:start w:val="1"/>
      <w:numFmt w:val="decimal"/>
      <w:suff w:val="space"/>
      <w:lvlText w:val="%1.%2.%3.%4.%5.%6.%7.%8.%9."/>
      <w:lvlJc w:val="left"/>
      <w:pPr>
        <w:tabs>
          <w:tab w:val="num" w:pos="0"/>
        </w:tabs>
        <w:ind w:left="3929" w:hanging="3929"/>
      </w:pPr>
      <w:rPr>
        <w:sz w:val="20"/>
      </w:rPr>
    </w:lvl>
  </w:abstractNum>
  <w:abstractNum w:abstractNumId="5">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decimal"/>
      <w:suff w:val="space"/>
      <w:lvlText w:val="Figure %1"/>
      <w:lvlJc w:val="left"/>
      <w:pPr>
        <w:tabs>
          <w:tab w:val="num" w:pos="0"/>
        </w:tabs>
        <w:ind w:left="709" w:hanging="34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DejaVu Sans"/>
        <w:kern w:val="2"/>
        <w:sz w:val="24"/>
        <w:szCs w:val="24"/>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60"/>
      <w:jc w:val="left"/>
    </w:pPr>
    <w:rPr>
      <w:rFonts w:ascii="Times New Roman" w:hAnsi="Times New Roman" w:eastAsia="Times New Roman" w:cs="DejaVu Sans"/>
      <w:color w:val="auto"/>
      <w:kern w:val="2"/>
      <w:sz w:val="24"/>
      <w:szCs w:val="24"/>
      <w:lang w:val="en-US" w:eastAsia="en-US" w:bidi="ar-SA"/>
    </w:rPr>
  </w:style>
  <w:style w:type="paragraph" w:styleId="Heading1">
    <w:name w:val="Heading 1"/>
    <w:basedOn w:val="Normal"/>
    <w:next w:val="Normal"/>
    <w:qFormat/>
    <w:pPr>
      <w:keepNext w:val="true"/>
      <w:keepLines/>
      <w:numPr>
        <w:ilvl w:val="0"/>
        <w:numId w:val="2"/>
      </w:numPr>
      <w:tabs>
        <w:tab w:val="clear" w:pos="720"/>
      </w:tabs>
      <w:spacing w:before="480" w:after="240"/>
      <w:outlineLvl w:val="0"/>
    </w:pPr>
    <w:rPr>
      <w:rFonts w:ascii="Times New Roman" w:hAnsi="Times New Roman" w:eastAsia="Times New Roman" w:cs="DejaVu Sans"/>
      <w:b/>
      <w:color w:val="000000"/>
      <w:sz w:val="40"/>
      <w:szCs w:val="40"/>
    </w:rPr>
  </w:style>
  <w:style w:type="paragraph" w:styleId="Heading2">
    <w:name w:val="Heading 2"/>
    <w:basedOn w:val="Normal"/>
    <w:next w:val="Normal"/>
    <w:qFormat/>
    <w:pPr>
      <w:keepNext w:val="true"/>
      <w:keepLines/>
      <w:numPr>
        <w:ilvl w:val="0"/>
        <w:numId w:val="2"/>
      </w:numPr>
      <w:spacing w:before="360" w:after="240"/>
      <w:outlineLvl w:val="1"/>
    </w:pPr>
    <w:rPr>
      <w:rFonts w:ascii="Times New Roman" w:hAnsi="Times New Roman" w:eastAsia="Times New Roman" w:cs="DejaVu Sans"/>
      <w:b/>
      <w:color w:val="000000"/>
      <w:sz w:val="32"/>
      <w:szCs w:val="32"/>
    </w:rPr>
  </w:style>
  <w:style w:type="paragraph" w:styleId="Heading3">
    <w:name w:val="Heading 3"/>
    <w:basedOn w:val="Normal"/>
    <w:next w:val="Normal"/>
    <w:qFormat/>
    <w:pPr>
      <w:keepNext w:val="true"/>
      <w:keepLines/>
      <w:numPr>
        <w:ilvl w:val="0"/>
        <w:numId w:val="2"/>
      </w:numPr>
      <w:tabs>
        <w:tab w:val="clear" w:pos="720"/>
      </w:tabs>
      <w:spacing w:before="240" w:after="240"/>
      <w:outlineLvl w:val="2"/>
    </w:pPr>
    <w:rPr>
      <w:rFonts w:eastAsia="Times New Roman" w:cs="DejaVu Sans"/>
      <w:b/>
      <w:color w:val="000000"/>
      <w:sz w:val="28"/>
      <w:szCs w:val="28"/>
    </w:rPr>
  </w:style>
  <w:style w:type="paragraph" w:styleId="Heading4">
    <w:name w:val="Heading 4"/>
    <w:basedOn w:val="Normal"/>
    <w:next w:val="Normal"/>
    <w:qFormat/>
    <w:pPr>
      <w:keepNext w:val="true"/>
      <w:keepLines/>
      <w:numPr>
        <w:ilvl w:val="0"/>
        <w:numId w:val="2"/>
      </w:numPr>
      <w:spacing w:before="240" w:after="240"/>
      <w:outlineLvl w:val="3"/>
    </w:pPr>
    <w:rPr>
      <w:rFonts w:eastAsia="Times New Roman" w:cs="DejaVu Sans"/>
      <w:i w:val="false"/>
      <w:iCs/>
      <w:color w:val="000000"/>
    </w:rPr>
  </w:style>
  <w:style w:type="paragraph" w:styleId="Heading5">
    <w:name w:val="Heading 5"/>
    <w:basedOn w:val="Normal"/>
    <w:next w:val="Normal"/>
    <w:qFormat/>
    <w:pPr>
      <w:keepNext w:val="true"/>
      <w:keepLines/>
      <w:numPr>
        <w:ilvl w:val="0"/>
        <w:numId w:val="2"/>
      </w:numPr>
      <w:spacing w:before="240" w:after="240"/>
      <w:outlineLvl w:val="4"/>
    </w:pPr>
    <w:rPr>
      <w:rFonts w:eastAsia="Times New Roman" w:cs="DejaVu Sans"/>
      <w:color w:val="000000"/>
    </w:rPr>
  </w:style>
  <w:style w:type="paragraph" w:styleId="Heading6">
    <w:name w:val="Heading 6"/>
    <w:basedOn w:val="Normal"/>
    <w:next w:val="Normal"/>
    <w:qFormat/>
    <w:pPr>
      <w:keepNext w:val="true"/>
      <w:keepLines/>
      <w:numPr>
        <w:ilvl w:val="0"/>
        <w:numId w:val="0"/>
      </w:numPr>
      <w:spacing w:before="40" w:after="0"/>
      <w:outlineLvl w:val="5"/>
    </w:pPr>
    <w:rPr>
      <w:rFonts w:eastAsia="Times New Roman" w:cs="DejaVu Sans"/>
      <w:i/>
      <w:iCs/>
      <w:color w:val="595959"/>
    </w:rPr>
  </w:style>
  <w:style w:type="paragraph" w:styleId="Heading7">
    <w:name w:val="Heading 7"/>
    <w:basedOn w:val="Normal"/>
    <w:next w:val="Normal"/>
    <w:qFormat/>
    <w:pPr>
      <w:keepNext w:val="true"/>
      <w:keepLines/>
      <w:numPr>
        <w:ilvl w:val="0"/>
        <w:numId w:val="0"/>
      </w:numPr>
      <w:spacing w:before="40" w:after="0"/>
      <w:outlineLvl w:val="6"/>
    </w:pPr>
    <w:rPr>
      <w:rFonts w:eastAsia="Times New Roman" w:cs="DejaVu Sans"/>
      <w:color w:val="595959"/>
    </w:rPr>
  </w:style>
  <w:style w:type="paragraph" w:styleId="Heading8">
    <w:name w:val="Heading 8"/>
    <w:basedOn w:val="Normal"/>
    <w:next w:val="Normal"/>
    <w:qFormat/>
    <w:pPr>
      <w:keepNext w:val="true"/>
      <w:keepLines/>
      <w:numPr>
        <w:ilvl w:val="0"/>
        <w:numId w:val="0"/>
      </w:numPr>
      <w:spacing w:before="0" w:after="0"/>
      <w:outlineLvl w:val="7"/>
    </w:pPr>
    <w:rPr>
      <w:rFonts w:eastAsia="Times New Roman" w:cs="DejaVu Sans"/>
      <w:i/>
      <w:iCs/>
      <w:color w:val="272727"/>
    </w:rPr>
  </w:style>
  <w:style w:type="paragraph" w:styleId="Heading9">
    <w:name w:val="Heading 9"/>
    <w:basedOn w:val="Normal"/>
    <w:next w:val="Normal"/>
    <w:qFormat/>
    <w:pPr>
      <w:keepNext w:val="true"/>
      <w:keepLines/>
      <w:numPr>
        <w:ilvl w:val="0"/>
        <w:numId w:val="0"/>
      </w:numPr>
      <w:spacing w:before="0" w:after="0"/>
      <w:outlineLvl w:val="8"/>
    </w:pPr>
    <w:rPr>
      <w:rFonts w:eastAsia="Times New Roman" w:cs="DejaVu Sans"/>
      <w:color w:val="272727"/>
    </w:rPr>
  </w:style>
  <w:style w:type="character" w:styleId="DefaultParagraphFont">
    <w:name w:val="Default Paragraph Font"/>
    <w:qFormat/>
    <w:rPr/>
  </w:style>
  <w:style w:type="character" w:styleId="NumberingSymbols">
    <w:name w:val="Numbering Symbols"/>
    <w:qFormat/>
    <w:rPr/>
  </w:style>
  <w:style w:type="character" w:styleId="IEEETextChar">
    <w:name w:val="IEEE Text Char"/>
    <w:qFormat/>
    <w:rPr>
      <w:sz w:val="20"/>
    </w:rPr>
  </w:style>
  <w:style w:type="character" w:styleId="IEEEH1NumberChar">
    <w:name w:val="IEEE H1 Number Char"/>
    <w:basedOn w:val="IEEETextChar"/>
    <w:qFormat/>
    <w:rPr>
      <w:rFonts w:ascii="Arial" w:hAnsi="Arial"/>
      <w:b/>
      <w:sz w:val="24"/>
    </w:rPr>
  </w:style>
  <w:style w:type="character" w:styleId="IEEEH2NumberChar">
    <w:name w:val="IEEE H2 Number Char"/>
    <w:basedOn w:val="IEEEH1NumberChar"/>
    <w:qFormat/>
    <w:rPr>
      <w:sz w:val="22"/>
    </w:rPr>
  </w:style>
  <w:style w:type="character" w:styleId="IEEEH3NumberChar">
    <w:name w:val="IEEE H3 Number Char"/>
    <w:basedOn w:val="IEEEH2NumberChar"/>
    <w:qFormat/>
    <w:rPr>
      <w:sz w:val="20"/>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qFormat/>
    <w:pPr>
      <w:spacing w:lineRule="auto" w:line="240" w:before="0" w:after="80"/>
      <w:contextualSpacing/>
    </w:pPr>
    <w:rPr>
      <w:rFonts w:ascii="Times New Roman" w:hAnsi="Times New Roman" w:eastAsia="Times New Roman" w:cs="DejaVu Sans"/>
      <w:spacing w:val="-10"/>
      <w:kern w:val="2"/>
      <w:sz w:val="56"/>
      <w:szCs w:val="56"/>
    </w:rPr>
  </w:style>
  <w:style w:type="paragraph" w:styleId="Subtitle">
    <w:name w:val="Subtitle"/>
    <w:basedOn w:val="Normal"/>
    <w:next w:val="Normal"/>
    <w:qFormat/>
    <w:pPr/>
    <w:rPr>
      <w:rFonts w:eastAsia="Times New Roman" w:cs="DejaVu Sans"/>
      <w:color w:val="595959"/>
      <w:spacing w:val="15"/>
      <w:sz w:val="28"/>
      <w:szCs w:val="28"/>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IEEEExample">
    <w:name w:val="IEEE Example"/>
    <w:basedOn w:val="Normal"/>
    <w:qFormat/>
    <w:pPr>
      <w:tabs>
        <w:tab w:val="clear" w:pos="720"/>
      </w:tabs>
      <w:spacing w:before="240" w:after="240"/>
      <w:ind w:left="567" w:right="0" w:hanging="0"/>
      <w:contextualSpacing/>
    </w:pPr>
    <w:rPr>
      <w:rFonts w:ascii="DejaVu Sans Mono" w:hAnsi="DejaVu Sans Mono"/>
      <w:sz w:val="16"/>
    </w:rPr>
  </w:style>
  <w:style w:type="paragraph" w:styleId="IEEEText">
    <w:name w:val="IEEE Text"/>
    <w:qFormat/>
    <w:pPr>
      <w:widowControl w:val="false"/>
      <w:tabs>
        <w:tab w:val="clear" w:pos="720"/>
      </w:tabs>
      <w:kinsoku w:val="true"/>
      <w:overflowPunct w:val="true"/>
      <w:autoSpaceDE w:val="true"/>
      <w:bidi w:val="0"/>
      <w:spacing w:before="240" w:after="240"/>
    </w:pPr>
    <w:rPr>
      <w:rFonts w:ascii="Times New Roman" w:hAnsi="Times New Roman" w:eastAsia="Times New Roman" w:cs="DejaVu Sans"/>
      <w:color w:val="auto"/>
      <w:kern w:val="2"/>
      <w:sz w:val="20"/>
      <w:szCs w:val="24"/>
      <w:lang w:val="en-US" w:eastAsia="en-US" w:bidi="ar-SA"/>
    </w:rPr>
  </w:style>
  <w:style w:type="paragraph" w:styleId="IEEEExampletiny">
    <w:name w:val="IEEE Example tiny"/>
    <w:basedOn w:val="IEEEExample"/>
    <w:qFormat/>
    <w:pPr>
      <w:spacing w:before="0" w:after="0"/>
      <w:contextualSpacing/>
    </w:pPr>
    <w:rPr>
      <w:sz w:val="12"/>
    </w:rPr>
  </w:style>
  <w:style w:type="paragraph" w:styleId="IEEEExampledebug">
    <w:name w:val="IEEE Example debug"/>
    <w:basedOn w:val="IEEEExample"/>
    <w:qFormat/>
    <w:pPr>
      <w:ind w:left="2409" w:right="0" w:hanging="1843"/>
    </w:pPr>
    <w:rPr/>
  </w:style>
  <w:style w:type="paragraph" w:styleId="TableContents">
    <w:name w:val="Table Contents"/>
    <w:basedOn w:val="Normal"/>
    <w:qFormat/>
    <w:pPr>
      <w:widowControl w:val="false"/>
      <w:suppressLineNumbers/>
    </w:pPr>
    <w:rPr/>
  </w:style>
  <w:style w:type="paragraph" w:styleId="IEEEHeading1">
    <w:name w:val="IEEE Heading 1"/>
    <w:next w:val="IEEEText"/>
    <w:qFormat/>
    <w:pPr>
      <w:keepNext w:val="true"/>
      <w:widowControl w:val="false"/>
      <w:numPr>
        <w:ilvl w:val="0"/>
        <w:numId w:val="3"/>
      </w:numPr>
      <w:tabs>
        <w:tab w:val="clear" w:pos="720"/>
      </w:tabs>
      <w:kinsoku w:val="true"/>
      <w:overflowPunct w:val="true"/>
      <w:autoSpaceDE w:val="true"/>
      <w:bidi w:val="0"/>
      <w:spacing w:before="480" w:after="240"/>
      <w:ind w:left="0" w:right="0" w:hanging="0"/>
      <w:outlineLvl w:val="0"/>
    </w:pPr>
    <w:rPr>
      <w:rFonts w:ascii="Arial" w:hAnsi="Arial" w:eastAsia="Times New Roman" w:cs="DejaVu Sans"/>
      <w:b/>
      <w:color w:val="auto"/>
      <w:kern w:val="2"/>
      <w:sz w:val="24"/>
      <w:szCs w:val="24"/>
      <w:lang w:val="en-US" w:eastAsia="en-US" w:bidi="ar-SA"/>
    </w:rPr>
  </w:style>
  <w:style w:type="paragraph" w:styleId="IEEEHeading2">
    <w:name w:val="IEEE Heading 2"/>
    <w:basedOn w:val="IEEEHeading1"/>
    <w:next w:val="IEEEText"/>
    <w:qFormat/>
    <w:pPr>
      <w:spacing w:before="360" w:after="240"/>
    </w:pPr>
    <w:rPr>
      <w:sz w:val="22"/>
    </w:rPr>
  </w:style>
  <w:style w:type="paragraph" w:styleId="IEEEHeadng3">
    <w:name w:val="IEEE Headng 3"/>
    <w:basedOn w:val="IEEEHeading2"/>
    <w:next w:val="IEEEText"/>
    <w:qFormat/>
    <w:pPr>
      <w:spacing w:before="240" w:after="240"/>
    </w:pPr>
    <w:rPr>
      <w:sz w:val="20"/>
    </w:rPr>
  </w:style>
  <w:style w:type="paragraph" w:styleId="IEEEAnnexHeading1">
    <w:name w:val="IEEE Annex Heading 1"/>
    <w:basedOn w:val="IEEEHeading1"/>
    <w:next w:val="IEEEText"/>
    <w:qFormat/>
    <w:pPr>
      <w:numPr>
        <w:ilvl w:val="0"/>
        <w:numId w:val="4"/>
      </w:numPr>
      <w:ind w:left="0" w:right="0" w:hanging="0"/>
    </w:pPr>
    <w:rPr/>
  </w:style>
  <w:style w:type="paragraph" w:styleId="IEEEAnnexHeading2">
    <w:name w:val="IEEE Annex Heading 2"/>
    <w:basedOn w:val="IEEEHeading2"/>
    <w:next w:val="IEEEText"/>
    <w:qFormat/>
    <w:pPr>
      <w:numPr>
        <w:ilvl w:val="0"/>
        <w:numId w:val="4"/>
      </w:numPr>
      <w:ind w:left="0" w:right="0" w:hanging="0"/>
    </w:pPr>
    <w:rPr/>
  </w:style>
  <w:style w:type="paragraph" w:styleId="IEEEAnnexHeading3">
    <w:name w:val="IEEE Annex Heading 3"/>
    <w:basedOn w:val="IEEEHeadng3"/>
    <w:next w:val="IEEEText"/>
    <w:qFormat/>
    <w:pPr>
      <w:numPr>
        <w:ilvl w:val="0"/>
        <w:numId w:val="4"/>
      </w:numPr>
      <w:ind w:left="0" w:right="0" w:hanging="0"/>
    </w:pPr>
    <w:rPr/>
  </w:style>
  <w:style w:type="paragraph" w:styleId="TableHeading">
    <w:name w:val="Table Heading"/>
    <w:basedOn w:val="TableContents"/>
    <w:qFormat/>
    <w:pPr>
      <w:suppressLineNumbers/>
      <w:jc w:val="center"/>
    </w:pPr>
    <w:rPr>
      <w:b/>
      <w:bCs/>
    </w:rPr>
  </w:style>
  <w:style w:type="paragraph" w:styleId="IEEEUnnumberedList">
    <w:name w:val="IEEE Unnumbered List"/>
    <w:basedOn w:val="IEEEText"/>
    <w:qFormat/>
    <w:pPr>
      <w:widowControl/>
      <w:numPr>
        <w:ilvl w:val="0"/>
        <w:numId w:val="5"/>
      </w:numPr>
      <w:spacing w:lineRule="auto" w:line="240" w:before="126" w:after="126"/>
    </w:pPr>
    <w:rPr/>
  </w:style>
  <w:style w:type="paragraph" w:styleId="IEEEFigureTitle">
    <w:name w:val="IEEE Figure Title"/>
    <w:basedOn w:val="IEEEText"/>
    <w:qFormat/>
    <w:pPr>
      <w:numPr>
        <w:ilvl w:val="0"/>
        <w:numId w:val="6"/>
      </w:numPr>
      <w:ind w:left="0" w:right="0" w:hanging="0"/>
      <w:jc w:val="center"/>
    </w:pPr>
    <w:rPr>
      <w:rFonts w:ascii="Arial" w:hAnsi="Arial"/>
      <w:b/>
      <w:bCs/>
    </w:rPr>
  </w:style>
  <w:style w:type="numbering" w:styleId="NoList">
    <w:name w:val="No List"/>
    <w:qFormat/>
  </w:style>
  <w:style w:type="numbering" w:styleId="Numbering123">
    <w:name w:val="Numbering 123"/>
    <w:qFormat/>
  </w:style>
  <w:style w:type="numbering" w:styleId="IEEENumbering">
    <w:name w:val="IEEE Numbering"/>
    <w:qFormat/>
  </w:style>
  <w:style w:type="numbering" w:styleId="IEEEAnnexNumbering">
    <w:name w:val="IEEE Annex Numbering"/>
    <w:qFormat/>
  </w:style>
  <w:style w:type="numbering" w:styleId="IEEEUnnumberedListNumbering">
    <w:name w:val="IEEE Unnumbered List Numbering"/>
    <w:qFormat/>
  </w:style>
  <w:style w:type="numbering" w:styleId="IEEEFigureNumbering">
    <w:name w:val="IEEE Figure Numbering"/>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658</TotalTime>
  <Application>LibreOffice/7.4.7.2$Linux_X86_64 LibreOffice_project/40$Build-2</Application>
  <AppVersion>15.0000</AppVersion>
  <Pages>5</Pages>
  <Words>1354</Words>
  <Characters>7399</Characters>
  <CharactersWithSpaces>8545</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2025-01-16T04:02:00Z</dcterms:created>
  <dc:creator>Tero Kivinen</dc:creator>
  <dc:description/>
  <dc:language>en-IE</dc:language>
  <cp:lastModifiedBy/>
  <dcterms:modified xsi:type="dcterms:W3CDTF">2025-10-05T14:59:35Z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