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BABA" w14:textId="760D20F6" w:rsidR="00FB0AC0" w:rsidRPr="00FB0AC0" w:rsidRDefault="002F66E2" w:rsidP="00FB0AC0">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 </w:t>
      </w:r>
      <w:r w:rsidR="008A64B6">
        <w:rPr>
          <w:rFonts w:ascii="Times New Roman" w:eastAsia="Times New Roman" w:hAnsi="Times New Roman" w:cs="Times New Roman"/>
          <w:b/>
          <w:sz w:val="28"/>
          <w:szCs w:val="20"/>
        </w:rPr>
        <w:t xml:space="preserve"> </w:t>
      </w:r>
      <w:r w:rsidR="00FB0AC0" w:rsidRPr="00FB0AC0">
        <w:rPr>
          <w:rFonts w:ascii="Times New Roman" w:eastAsia="Times New Roman" w:hAnsi="Times New Roman" w:cs="Times New Roman"/>
          <w:b/>
          <w:sz w:val="28"/>
          <w:szCs w:val="20"/>
        </w:rPr>
        <w:t>IEEE P802.15</w:t>
      </w:r>
    </w:p>
    <w:p w14:paraId="45220207" w14:textId="2983314B" w:rsidR="00FB0AC0" w:rsidRDefault="00287220" w:rsidP="00FB0AC0">
      <w:pPr>
        <w:jc w:val="center"/>
        <w:rPr>
          <w:b/>
          <w:sz w:val="28"/>
        </w:rPr>
      </w:pPr>
      <w:r w:rsidRPr="00287220">
        <w:rPr>
          <w:rFonts w:ascii="Times New Roman" w:eastAsia="Times New Roman" w:hAnsi="Times New Roman" w:cs="Times New Roman"/>
          <w:b/>
          <w:sz w:val="28"/>
          <w:szCs w:val="20"/>
        </w:rPr>
        <w:t>Wireless Specialty Networks</w:t>
      </w:r>
    </w:p>
    <w:tbl>
      <w:tblPr>
        <w:tblW w:w="0" w:type="auto"/>
        <w:tblInd w:w="108" w:type="dxa"/>
        <w:tblLayout w:type="fixed"/>
        <w:tblLook w:val="0000" w:firstRow="0" w:lastRow="0" w:firstColumn="0" w:lastColumn="0" w:noHBand="0" w:noVBand="0"/>
      </w:tblPr>
      <w:tblGrid>
        <w:gridCol w:w="1260"/>
        <w:gridCol w:w="4050"/>
        <w:gridCol w:w="4140"/>
      </w:tblGrid>
      <w:tr w:rsidR="00FB0AC0" w14:paraId="44C14BA7" w14:textId="77777777" w:rsidTr="004D1052">
        <w:tc>
          <w:tcPr>
            <w:tcW w:w="1260" w:type="dxa"/>
            <w:tcBorders>
              <w:top w:val="single" w:sz="6" w:space="0" w:color="auto"/>
            </w:tcBorders>
          </w:tcPr>
          <w:p w14:paraId="44B4A75A" w14:textId="77777777" w:rsidR="00FB0AC0" w:rsidRDefault="00FB0AC0" w:rsidP="004D1052">
            <w:pPr>
              <w:pStyle w:val="covertext"/>
            </w:pPr>
            <w:r>
              <w:t>Project</w:t>
            </w:r>
          </w:p>
        </w:tc>
        <w:tc>
          <w:tcPr>
            <w:tcW w:w="8190" w:type="dxa"/>
            <w:gridSpan w:val="2"/>
            <w:tcBorders>
              <w:top w:val="single" w:sz="6" w:space="0" w:color="auto"/>
            </w:tcBorders>
          </w:tcPr>
          <w:p w14:paraId="6184F53F" w14:textId="04332ED3" w:rsidR="00FB0AC0" w:rsidRDefault="00FB0AC0" w:rsidP="004D1052">
            <w:pPr>
              <w:pStyle w:val="covertext"/>
            </w:pPr>
            <w:r>
              <w:t xml:space="preserve">IEEE P802.15 Working Group for </w:t>
            </w:r>
            <w:bookmarkStart w:id="0" w:name="_Hlk194584585"/>
            <w:r>
              <w:t xml:space="preserve">Wireless </w:t>
            </w:r>
            <w:r w:rsidR="001851C0">
              <w:t>Specialty</w:t>
            </w:r>
            <w:r>
              <w:t xml:space="preserve"> Networks </w:t>
            </w:r>
            <w:bookmarkEnd w:id="0"/>
            <w:r>
              <w:t>(W</w:t>
            </w:r>
            <w:r w:rsidR="001851C0">
              <w:t>S</w:t>
            </w:r>
            <w:r>
              <w:t>Ns)</w:t>
            </w:r>
          </w:p>
        </w:tc>
      </w:tr>
      <w:tr w:rsidR="00FB0AC0" w14:paraId="501EB608" w14:textId="77777777" w:rsidTr="004D1052">
        <w:tc>
          <w:tcPr>
            <w:tcW w:w="1260" w:type="dxa"/>
            <w:tcBorders>
              <w:top w:val="single" w:sz="6" w:space="0" w:color="auto"/>
            </w:tcBorders>
          </w:tcPr>
          <w:p w14:paraId="4680105F" w14:textId="77777777" w:rsidR="00FB0AC0" w:rsidRDefault="00FB0AC0" w:rsidP="004D1052">
            <w:pPr>
              <w:pStyle w:val="covertext"/>
            </w:pPr>
            <w:r>
              <w:t>Title</w:t>
            </w:r>
          </w:p>
        </w:tc>
        <w:tc>
          <w:tcPr>
            <w:tcW w:w="8190" w:type="dxa"/>
            <w:gridSpan w:val="2"/>
            <w:tcBorders>
              <w:top w:val="single" w:sz="6" w:space="0" w:color="auto"/>
            </w:tcBorders>
          </w:tcPr>
          <w:p w14:paraId="3A00EA06" w14:textId="56971668" w:rsidR="00FB0AC0" w:rsidRDefault="00AB3F69" w:rsidP="004D1052">
            <w:pPr>
              <w:pStyle w:val="covertext"/>
            </w:pPr>
            <w:r>
              <w:t>More easy ones</w:t>
            </w:r>
          </w:p>
        </w:tc>
      </w:tr>
      <w:tr w:rsidR="00FB0AC0" w14:paraId="04C7CD42" w14:textId="77777777" w:rsidTr="004D1052">
        <w:tc>
          <w:tcPr>
            <w:tcW w:w="1260" w:type="dxa"/>
            <w:tcBorders>
              <w:top w:val="single" w:sz="6" w:space="0" w:color="auto"/>
            </w:tcBorders>
          </w:tcPr>
          <w:p w14:paraId="453A202E" w14:textId="77777777" w:rsidR="00FB0AC0" w:rsidRDefault="00FB0AC0" w:rsidP="004D1052">
            <w:pPr>
              <w:pStyle w:val="covertext"/>
            </w:pPr>
            <w:r>
              <w:t>Date Submitted</w:t>
            </w:r>
          </w:p>
        </w:tc>
        <w:tc>
          <w:tcPr>
            <w:tcW w:w="8190" w:type="dxa"/>
            <w:gridSpan w:val="2"/>
            <w:tcBorders>
              <w:top w:val="single" w:sz="6" w:space="0" w:color="auto"/>
            </w:tcBorders>
          </w:tcPr>
          <w:p w14:paraId="61F1654B" w14:textId="4EF03F9A" w:rsidR="00FB0AC0" w:rsidRDefault="00AB3F69" w:rsidP="004D1052">
            <w:pPr>
              <w:pStyle w:val="covertext"/>
            </w:pPr>
            <w:r>
              <w:t>15-May-2025</w:t>
            </w:r>
          </w:p>
        </w:tc>
      </w:tr>
      <w:tr w:rsidR="00FB0AC0" w14:paraId="2228A321" w14:textId="77777777" w:rsidTr="004D1052">
        <w:tc>
          <w:tcPr>
            <w:tcW w:w="1260" w:type="dxa"/>
            <w:tcBorders>
              <w:top w:val="single" w:sz="4" w:space="0" w:color="auto"/>
              <w:bottom w:val="single" w:sz="4" w:space="0" w:color="auto"/>
            </w:tcBorders>
          </w:tcPr>
          <w:p w14:paraId="001A1CBF" w14:textId="77777777" w:rsidR="00FB0AC0" w:rsidRDefault="00FB0AC0" w:rsidP="004D1052">
            <w:pPr>
              <w:pStyle w:val="covertext"/>
            </w:pPr>
            <w:r>
              <w:t>Source</w:t>
            </w:r>
          </w:p>
        </w:tc>
        <w:tc>
          <w:tcPr>
            <w:tcW w:w="4050" w:type="dxa"/>
            <w:tcBorders>
              <w:top w:val="single" w:sz="4" w:space="0" w:color="auto"/>
              <w:bottom w:val="single" w:sz="4" w:space="0" w:color="auto"/>
            </w:tcBorders>
          </w:tcPr>
          <w:p w14:paraId="04CD6E9B" w14:textId="6D545170" w:rsidR="00FB0AC0" w:rsidRDefault="00FB0AC0" w:rsidP="004D1052">
            <w:pPr>
              <w:pStyle w:val="covertext"/>
              <w:spacing w:before="0" w:after="0"/>
            </w:pPr>
            <w:r>
              <w:t>[</w:t>
            </w:r>
            <w:r w:rsidR="00287220">
              <w:t>Benjamin A. Rolfe</w:t>
            </w:r>
            <w:r>
              <w:t>]</w:t>
            </w:r>
            <w:r>
              <w:br/>
              <w:t>[Blind Creek Associates</w:t>
            </w:r>
            <w:r>
              <w:fldChar w:fldCharType="begin"/>
            </w:r>
            <w:r>
              <w:instrText xml:space="preserve"> DOCPROPERTY "Company"  \* MERGEFORMAT </w:instrText>
            </w:r>
            <w:r>
              <w:fldChar w:fldCharType="end"/>
            </w:r>
            <w:r>
              <w:t>]</w:t>
            </w:r>
          </w:p>
          <w:p w14:paraId="50099D7E" w14:textId="56C52CE6" w:rsidR="00FB0AC0" w:rsidRDefault="00FB0AC0" w:rsidP="004D1052">
            <w:pPr>
              <w:pStyle w:val="covertext"/>
              <w:spacing w:before="0" w:after="0"/>
            </w:pPr>
          </w:p>
        </w:tc>
        <w:tc>
          <w:tcPr>
            <w:tcW w:w="4140" w:type="dxa"/>
            <w:tcBorders>
              <w:top w:val="single" w:sz="4" w:space="0" w:color="auto"/>
              <w:bottom w:val="single" w:sz="4" w:space="0" w:color="auto"/>
            </w:tcBorders>
          </w:tcPr>
          <w:p w14:paraId="1BEBBF25" w14:textId="77777777" w:rsidR="00FB0AC0" w:rsidRDefault="00FB0AC0" w:rsidP="004D1052">
            <w:pPr>
              <w:pStyle w:val="covertext"/>
              <w:tabs>
                <w:tab w:val="left" w:pos="1152"/>
              </w:tabs>
              <w:spacing w:before="0" w:after="0"/>
            </w:pPr>
            <w:r>
              <w:t>E-mail: [ben.rolfe @ ieee.org ]</w:t>
            </w:r>
          </w:p>
          <w:p w14:paraId="3E10B626" w14:textId="77777777" w:rsidR="00FB0AC0" w:rsidRPr="0061562F" w:rsidRDefault="00FB0AC0" w:rsidP="004D1052">
            <w:pPr>
              <w:pStyle w:val="covertext"/>
              <w:tabs>
                <w:tab w:val="left" w:pos="1152"/>
              </w:tabs>
              <w:spacing w:before="0" w:after="0"/>
            </w:pPr>
            <w:r>
              <w:t xml:space="preserve">             </w:t>
            </w:r>
          </w:p>
        </w:tc>
      </w:tr>
      <w:tr w:rsidR="00FB0AC0" w14:paraId="3591322F" w14:textId="77777777" w:rsidTr="004D1052">
        <w:tc>
          <w:tcPr>
            <w:tcW w:w="1260" w:type="dxa"/>
            <w:tcBorders>
              <w:top w:val="single" w:sz="6" w:space="0" w:color="auto"/>
            </w:tcBorders>
          </w:tcPr>
          <w:p w14:paraId="0C06DBDE" w14:textId="77777777" w:rsidR="00FB0AC0" w:rsidRDefault="00FB0AC0" w:rsidP="004D1052">
            <w:pPr>
              <w:pStyle w:val="covertext"/>
            </w:pPr>
            <w:r>
              <w:t>Re:</w:t>
            </w:r>
          </w:p>
        </w:tc>
        <w:tc>
          <w:tcPr>
            <w:tcW w:w="8190" w:type="dxa"/>
            <w:gridSpan w:val="2"/>
            <w:tcBorders>
              <w:top w:val="single" w:sz="6" w:space="0" w:color="auto"/>
            </w:tcBorders>
          </w:tcPr>
          <w:p w14:paraId="7E2D93EF" w14:textId="221B9F1C" w:rsidR="0042651D" w:rsidRPr="006D6931" w:rsidRDefault="00412257" w:rsidP="006D6931">
            <w:pPr>
              <w:rPr>
                <w:rFonts w:ascii="Times New Roman" w:eastAsia="Times New Roman" w:hAnsi="Times New Roman" w:cs="Times New Roman"/>
                <w:sz w:val="24"/>
                <w:szCs w:val="20"/>
              </w:rPr>
            </w:pPr>
            <w:r w:rsidRPr="006D6931">
              <w:rPr>
                <w:rFonts w:ascii="Times New Roman" w:eastAsia="Times New Roman" w:hAnsi="Times New Roman" w:cs="Times New Roman"/>
                <w:sz w:val="24"/>
                <w:szCs w:val="20"/>
              </w:rPr>
              <w:t xml:space="preserve">Comments: </w:t>
            </w:r>
            <w:r w:rsidR="00E63716">
              <w:rPr>
                <w:rFonts w:ascii="Times New Roman" w:eastAsia="Times New Roman" w:hAnsi="Times New Roman" w:cs="Times New Roman"/>
                <w:sz w:val="24"/>
                <w:szCs w:val="20"/>
              </w:rPr>
              <w:t>10,</w:t>
            </w:r>
            <w:r w:rsidRPr="006D6931">
              <w:rPr>
                <w:rFonts w:ascii="Times New Roman" w:eastAsia="Times New Roman" w:hAnsi="Times New Roman" w:cs="Times New Roman"/>
                <w:sz w:val="24"/>
                <w:szCs w:val="20"/>
              </w:rPr>
              <w:t xml:space="preserve"> </w:t>
            </w:r>
            <w:r w:rsidR="006D6931" w:rsidRPr="006D6931">
              <w:rPr>
                <w:rFonts w:ascii="Times New Roman" w:eastAsia="Times New Roman" w:hAnsi="Times New Roman" w:cs="Times New Roman"/>
                <w:sz w:val="24"/>
                <w:szCs w:val="20"/>
              </w:rPr>
              <w:t>14,278,94,253</w:t>
            </w:r>
          </w:p>
        </w:tc>
      </w:tr>
      <w:tr w:rsidR="00FB0AC0" w14:paraId="4493C5D0" w14:textId="77777777" w:rsidTr="004D1052">
        <w:tc>
          <w:tcPr>
            <w:tcW w:w="1260" w:type="dxa"/>
            <w:tcBorders>
              <w:top w:val="single" w:sz="6" w:space="0" w:color="auto"/>
            </w:tcBorders>
          </w:tcPr>
          <w:p w14:paraId="1E3F0061" w14:textId="77777777" w:rsidR="00FB0AC0" w:rsidRDefault="00FB0AC0" w:rsidP="004D1052">
            <w:pPr>
              <w:pStyle w:val="covertext"/>
            </w:pPr>
            <w:r>
              <w:t>Abstract</w:t>
            </w:r>
          </w:p>
        </w:tc>
        <w:tc>
          <w:tcPr>
            <w:tcW w:w="8190" w:type="dxa"/>
            <w:gridSpan w:val="2"/>
            <w:tcBorders>
              <w:top w:val="single" w:sz="6" w:space="0" w:color="auto"/>
            </w:tcBorders>
          </w:tcPr>
          <w:p w14:paraId="71FE51C4" w14:textId="5D089928" w:rsidR="00FB0AC0" w:rsidRDefault="00B622C2" w:rsidP="004D1052">
            <w:pPr>
              <w:pStyle w:val="covertext"/>
            </w:pPr>
            <w:r>
              <w:t>Some more almost easy ones</w:t>
            </w:r>
          </w:p>
        </w:tc>
      </w:tr>
      <w:tr w:rsidR="00FB0AC0" w14:paraId="4A8451D4" w14:textId="77777777" w:rsidTr="004D1052">
        <w:tc>
          <w:tcPr>
            <w:tcW w:w="1260" w:type="dxa"/>
            <w:tcBorders>
              <w:top w:val="single" w:sz="6" w:space="0" w:color="auto"/>
            </w:tcBorders>
          </w:tcPr>
          <w:p w14:paraId="74188EE8" w14:textId="77777777" w:rsidR="00FB0AC0" w:rsidRDefault="00FB0AC0" w:rsidP="004D1052">
            <w:pPr>
              <w:pStyle w:val="covertext"/>
            </w:pPr>
            <w:r>
              <w:t>Purpose</w:t>
            </w:r>
          </w:p>
        </w:tc>
        <w:tc>
          <w:tcPr>
            <w:tcW w:w="8190" w:type="dxa"/>
            <w:gridSpan w:val="2"/>
            <w:tcBorders>
              <w:top w:val="single" w:sz="6" w:space="0" w:color="auto"/>
            </w:tcBorders>
          </w:tcPr>
          <w:p w14:paraId="6D2F4C05" w14:textId="19A697D6" w:rsidR="00FB0AC0" w:rsidRDefault="006D6931" w:rsidP="004D1052">
            <w:pPr>
              <w:pStyle w:val="covertext"/>
            </w:pPr>
            <w:r>
              <w:t xml:space="preserve">Propose comment resolutions for </w:t>
            </w:r>
            <w:r w:rsidR="00287220">
              <w:t>comments</w:t>
            </w:r>
            <w:r w:rsidR="007C03C6">
              <w:t xml:space="preserve"> </w:t>
            </w:r>
            <w:r w:rsidR="00E63716">
              <w:t>10,</w:t>
            </w:r>
            <w:r w:rsidRPr="006D6931">
              <w:t>14,278,94,253</w:t>
            </w:r>
          </w:p>
        </w:tc>
      </w:tr>
      <w:tr w:rsidR="00FB0AC0" w14:paraId="7481BE02" w14:textId="77777777" w:rsidTr="004D1052">
        <w:tc>
          <w:tcPr>
            <w:tcW w:w="1260" w:type="dxa"/>
            <w:tcBorders>
              <w:top w:val="single" w:sz="6" w:space="0" w:color="auto"/>
              <w:bottom w:val="single" w:sz="6" w:space="0" w:color="auto"/>
            </w:tcBorders>
          </w:tcPr>
          <w:p w14:paraId="51440F27" w14:textId="77777777" w:rsidR="00FB0AC0" w:rsidRDefault="00FB0AC0" w:rsidP="004D1052">
            <w:pPr>
              <w:pStyle w:val="covertext"/>
            </w:pPr>
            <w:r>
              <w:t>Notice</w:t>
            </w:r>
          </w:p>
        </w:tc>
        <w:tc>
          <w:tcPr>
            <w:tcW w:w="8190" w:type="dxa"/>
            <w:gridSpan w:val="2"/>
            <w:tcBorders>
              <w:top w:val="single" w:sz="6" w:space="0" w:color="auto"/>
              <w:bottom w:val="single" w:sz="6" w:space="0" w:color="auto"/>
            </w:tcBorders>
          </w:tcPr>
          <w:p w14:paraId="3B061C8A" w14:textId="77777777" w:rsidR="00FB0AC0" w:rsidRDefault="00FB0AC0" w:rsidP="004D1052">
            <w:pPr>
              <w:pStyle w:val="covertext"/>
            </w:pPr>
            <w:r>
              <w:t>This document has been prepared to assist the IEEE P802.15.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FB0AC0" w14:paraId="2D7D42A3" w14:textId="77777777" w:rsidTr="004D1052">
        <w:tc>
          <w:tcPr>
            <w:tcW w:w="1260" w:type="dxa"/>
            <w:tcBorders>
              <w:top w:val="single" w:sz="6" w:space="0" w:color="auto"/>
              <w:bottom w:val="single" w:sz="6" w:space="0" w:color="auto"/>
            </w:tcBorders>
          </w:tcPr>
          <w:p w14:paraId="306357CD" w14:textId="77777777" w:rsidR="00FB0AC0" w:rsidRDefault="00FB0AC0" w:rsidP="004D1052">
            <w:pPr>
              <w:pStyle w:val="covertext"/>
            </w:pPr>
            <w:r>
              <w:t>Release</w:t>
            </w:r>
          </w:p>
        </w:tc>
        <w:tc>
          <w:tcPr>
            <w:tcW w:w="8190" w:type="dxa"/>
            <w:gridSpan w:val="2"/>
            <w:tcBorders>
              <w:top w:val="single" w:sz="6" w:space="0" w:color="auto"/>
              <w:bottom w:val="single" w:sz="6" w:space="0" w:color="auto"/>
            </w:tcBorders>
          </w:tcPr>
          <w:p w14:paraId="6E2C1DB9" w14:textId="77777777" w:rsidR="00FB0AC0" w:rsidRDefault="00FB0AC0" w:rsidP="004D1052">
            <w:pPr>
              <w:pStyle w:val="covertext"/>
            </w:pPr>
            <w:r>
              <w:t>The contributor acknowledges and accepts that this contribution becomes the property of IEEE and may be made publicly available by P802.15.</w:t>
            </w:r>
          </w:p>
        </w:tc>
      </w:tr>
    </w:tbl>
    <w:p w14:paraId="2D158E20" w14:textId="0F96A114" w:rsidR="00FB0AC0" w:rsidRDefault="00FB0AC0">
      <w:r>
        <w:br w:type="page"/>
      </w:r>
    </w:p>
    <w:p w14:paraId="0F688AC0" w14:textId="19B162BB" w:rsidR="004B6A22" w:rsidRDefault="00B622C2" w:rsidP="00BC319E">
      <w:pPr>
        <w:pStyle w:val="Title"/>
      </w:pPr>
      <w:r>
        <w:lastRenderedPageBreak/>
        <w:t>Recommended Resolutions</w:t>
      </w:r>
      <w:r w:rsidR="006D6931">
        <w:t xml:space="preserve"> to Recirculation Ballot Comments </w:t>
      </w:r>
      <w:r w:rsidR="006D6931" w:rsidRPr="006D6931">
        <w:t>14,278,94,253</w:t>
      </w:r>
    </w:p>
    <w:p w14:paraId="3DE5CA50" w14:textId="170D34AD" w:rsidR="006D6931" w:rsidRPr="006D6931" w:rsidRDefault="006D6931" w:rsidP="00E63716">
      <w:pPr>
        <w:pStyle w:val="Heading1"/>
      </w:pPr>
      <w:r>
        <w:t>Summary</w:t>
      </w:r>
    </w:p>
    <w:tbl>
      <w:tblPr>
        <w:tblStyle w:val="TableGrid"/>
        <w:tblW w:w="0" w:type="auto"/>
        <w:tblLook w:val="04A0" w:firstRow="1" w:lastRow="0" w:firstColumn="1" w:lastColumn="0" w:noHBand="0" w:noVBand="1"/>
      </w:tblPr>
      <w:tblGrid>
        <w:gridCol w:w="612"/>
        <w:gridCol w:w="1498"/>
        <w:gridCol w:w="4542"/>
        <w:gridCol w:w="2942"/>
        <w:gridCol w:w="1196"/>
      </w:tblGrid>
      <w:tr w:rsidR="006422D5" w:rsidRPr="006D6931" w14:paraId="5618467B" w14:textId="159F0B21" w:rsidTr="006422D5">
        <w:trPr>
          <w:trHeight w:val="510"/>
        </w:trPr>
        <w:tc>
          <w:tcPr>
            <w:tcW w:w="598" w:type="dxa"/>
          </w:tcPr>
          <w:p w14:paraId="7BC16786" w14:textId="00299F41" w:rsidR="006422D5" w:rsidRPr="006422D5" w:rsidRDefault="006422D5" w:rsidP="006422D5">
            <w:pPr>
              <w:rPr>
                <w:b/>
                <w:bCs/>
              </w:rPr>
            </w:pPr>
            <w:r w:rsidRPr="006422D5">
              <w:rPr>
                <w:b/>
                <w:bCs/>
              </w:rPr>
              <w:t>Indx</w:t>
            </w:r>
          </w:p>
        </w:tc>
        <w:tc>
          <w:tcPr>
            <w:tcW w:w="1498" w:type="dxa"/>
            <w:noWrap/>
          </w:tcPr>
          <w:p w14:paraId="28B73964" w14:textId="56571FD2" w:rsidR="006422D5" w:rsidRPr="006422D5" w:rsidRDefault="006422D5" w:rsidP="006422D5">
            <w:pPr>
              <w:rPr>
                <w:b/>
                <w:bCs/>
              </w:rPr>
            </w:pPr>
            <w:r w:rsidRPr="006422D5">
              <w:rPr>
                <w:b/>
                <w:bCs/>
              </w:rPr>
              <w:t>Sub-clause</w:t>
            </w:r>
          </w:p>
        </w:tc>
        <w:tc>
          <w:tcPr>
            <w:tcW w:w="4571" w:type="dxa"/>
          </w:tcPr>
          <w:p w14:paraId="5530587B" w14:textId="11E6E627" w:rsidR="006422D5" w:rsidRPr="006422D5" w:rsidRDefault="006422D5" w:rsidP="006422D5">
            <w:pPr>
              <w:rPr>
                <w:b/>
                <w:bCs/>
              </w:rPr>
            </w:pPr>
            <w:r w:rsidRPr="006422D5">
              <w:rPr>
                <w:b/>
                <w:bCs/>
              </w:rPr>
              <w:t>Comment</w:t>
            </w:r>
          </w:p>
        </w:tc>
        <w:tc>
          <w:tcPr>
            <w:tcW w:w="2953" w:type="dxa"/>
          </w:tcPr>
          <w:p w14:paraId="3ABF4073" w14:textId="50B98AD4" w:rsidR="006422D5" w:rsidRPr="006422D5" w:rsidRDefault="006422D5" w:rsidP="006422D5">
            <w:pPr>
              <w:rPr>
                <w:b/>
                <w:bCs/>
              </w:rPr>
            </w:pPr>
            <w:r w:rsidRPr="006422D5">
              <w:rPr>
                <w:b/>
                <w:bCs/>
              </w:rPr>
              <w:t>Proposed Change</w:t>
            </w:r>
          </w:p>
        </w:tc>
        <w:tc>
          <w:tcPr>
            <w:tcW w:w="1170" w:type="dxa"/>
          </w:tcPr>
          <w:p w14:paraId="1B66771D" w14:textId="77777777" w:rsidR="006422D5" w:rsidRPr="006422D5" w:rsidRDefault="006422D5" w:rsidP="006422D5">
            <w:pPr>
              <w:rPr>
                <w:b/>
                <w:bCs/>
              </w:rPr>
            </w:pPr>
            <w:r w:rsidRPr="006422D5">
              <w:rPr>
                <w:b/>
                <w:bCs/>
              </w:rPr>
              <w:t xml:space="preserve">Proposed </w:t>
            </w:r>
          </w:p>
          <w:p w14:paraId="117ABEFE" w14:textId="3E9A6D74" w:rsidR="006422D5" w:rsidRPr="006422D5" w:rsidRDefault="006422D5" w:rsidP="006422D5">
            <w:pPr>
              <w:rPr>
                <w:b/>
                <w:bCs/>
              </w:rPr>
            </w:pPr>
            <w:r w:rsidRPr="006422D5">
              <w:rPr>
                <w:b/>
                <w:bCs/>
              </w:rPr>
              <w:t>Resolution</w:t>
            </w:r>
          </w:p>
        </w:tc>
      </w:tr>
      <w:tr w:rsidR="006D6931" w:rsidRPr="006D6931" w14:paraId="1CC0911D" w14:textId="2CFDCD1F" w:rsidTr="006422D5">
        <w:trPr>
          <w:trHeight w:val="510"/>
        </w:trPr>
        <w:tc>
          <w:tcPr>
            <w:tcW w:w="598" w:type="dxa"/>
            <w:hideMark/>
          </w:tcPr>
          <w:p w14:paraId="303F075D" w14:textId="77777777" w:rsidR="006D6931" w:rsidRPr="006D6931" w:rsidRDefault="006D6931">
            <w:r w:rsidRPr="006D6931">
              <w:t>10</w:t>
            </w:r>
          </w:p>
        </w:tc>
        <w:tc>
          <w:tcPr>
            <w:tcW w:w="1498" w:type="dxa"/>
            <w:noWrap/>
            <w:hideMark/>
          </w:tcPr>
          <w:p w14:paraId="0D88F064" w14:textId="77777777" w:rsidR="006D6931" w:rsidRPr="006D6931" w:rsidRDefault="006D6931">
            <w:r w:rsidRPr="006D6931">
              <w:t>10.39.8.3</w:t>
            </w:r>
          </w:p>
        </w:tc>
        <w:tc>
          <w:tcPr>
            <w:tcW w:w="4571" w:type="dxa"/>
            <w:hideMark/>
          </w:tcPr>
          <w:p w14:paraId="5A44AF5E" w14:textId="77777777" w:rsidR="006D6931" w:rsidRPr="006D6931" w:rsidRDefault="006D6931">
            <w:r w:rsidRPr="006D6931">
              <w:t>How long is the CCA duration?  Please add text that specifies it</w:t>
            </w:r>
          </w:p>
        </w:tc>
        <w:tc>
          <w:tcPr>
            <w:tcW w:w="2953" w:type="dxa"/>
            <w:hideMark/>
          </w:tcPr>
          <w:p w14:paraId="1808981F" w14:textId="77777777" w:rsidR="006D6931" w:rsidRPr="006D6931" w:rsidRDefault="006D6931">
            <w:r w:rsidRPr="006D6931">
              <w:t>I recommend  at least 18us so that it is consistent with latest ETSI 303687</w:t>
            </w:r>
          </w:p>
        </w:tc>
        <w:tc>
          <w:tcPr>
            <w:tcW w:w="1170" w:type="dxa"/>
          </w:tcPr>
          <w:p w14:paraId="1FB2F69B" w14:textId="53167899" w:rsidR="006D6931" w:rsidRPr="006D6931" w:rsidRDefault="006D6931">
            <w:r>
              <w:t>Revised</w:t>
            </w:r>
          </w:p>
        </w:tc>
      </w:tr>
      <w:tr w:rsidR="006D6931" w:rsidRPr="006D6931" w14:paraId="3D34C087" w14:textId="2FAB51B4" w:rsidTr="006422D5">
        <w:trPr>
          <w:trHeight w:val="765"/>
        </w:trPr>
        <w:tc>
          <w:tcPr>
            <w:tcW w:w="598" w:type="dxa"/>
            <w:hideMark/>
          </w:tcPr>
          <w:p w14:paraId="228BD3B0" w14:textId="77777777" w:rsidR="006D6931" w:rsidRPr="006D6931" w:rsidRDefault="006D6931">
            <w:r w:rsidRPr="006D6931">
              <w:t>14</w:t>
            </w:r>
          </w:p>
        </w:tc>
        <w:tc>
          <w:tcPr>
            <w:tcW w:w="1498" w:type="dxa"/>
            <w:noWrap/>
            <w:hideMark/>
          </w:tcPr>
          <w:p w14:paraId="0F48484F" w14:textId="77777777" w:rsidR="006D6931" w:rsidRPr="006D6931" w:rsidRDefault="006D6931">
            <w:r w:rsidRPr="006D6931">
              <w:t>10.39.8.4.1</w:t>
            </w:r>
          </w:p>
        </w:tc>
        <w:tc>
          <w:tcPr>
            <w:tcW w:w="4571" w:type="dxa"/>
            <w:hideMark/>
          </w:tcPr>
          <w:p w14:paraId="2D620E83" w14:textId="77777777" w:rsidR="006D6931" w:rsidRPr="006D6931" w:rsidRDefault="006D6931">
            <w:r w:rsidRPr="006D6931">
              <w:t>if channel switching is disabled, how do we ensure that the channel that is chosen is not an 802.11 primary channel?</w:t>
            </w:r>
          </w:p>
        </w:tc>
        <w:tc>
          <w:tcPr>
            <w:tcW w:w="2953" w:type="dxa"/>
            <w:hideMark/>
          </w:tcPr>
          <w:p w14:paraId="25D37B7A" w14:textId="77777777" w:rsidR="006D6931" w:rsidRPr="006D6931" w:rsidRDefault="006D6931">
            <w:r w:rsidRPr="006D6931">
              <w:t>Prohibit single channel configuration which overlaps with 802.11 primary channels.   If we do this, we would prevent collisions from 802.11 beacons, probe requests, and probe responses</w:t>
            </w:r>
          </w:p>
        </w:tc>
        <w:tc>
          <w:tcPr>
            <w:tcW w:w="1170" w:type="dxa"/>
          </w:tcPr>
          <w:p w14:paraId="5A6A4579" w14:textId="44EB0B7A" w:rsidR="006D6931" w:rsidRPr="006D6931" w:rsidRDefault="00DD47B1">
            <w:r>
              <w:t>Rejected</w:t>
            </w:r>
          </w:p>
        </w:tc>
      </w:tr>
      <w:tr w:rsidR="006D6931" w:rsidRPr="006D6931" w14:paraId="39B907D7" w14:textId="39F8200E" w:rsidTr="006422D5">
        <w:trPr>
          <w:trHeight w:val="2550"/>
        </w:trPr>
        <w:tc>
          <w:tcPr>
            <w:tcW w:w="598" w:type="dxa"/>
            <w:hideMark/>
          </w:tcPr>
          <w:p w14:paraId="2BCAC047" w14:textId="77777777" w:rsidR="006D6931" w:rsidRPr="006D6931" w:rsidRDefault="006D6931">
            <w:r w:rsidRPr="006D6931">
              <w:t>278</w:t>
            </w:r>
          </w:p>
        </w:tc>
        <w:tc>
          <w:tcPr>
            <w:tcW w:w="1498" w:type="dxa"/>
            <w:hideMark/>
          </w:tcPr>
          <w:p w14:paraId="403ACC63" w14:textId="77777777" w:rsidR="006D6931" w:rsidRPr="006D6931" w:rsidRDefault="006D6931">
            <w:r w:rsidRPr="006D6931">
              <w:t>10.39.9.3</w:t>
            </w:r>
          </w:p>
        </w:tc>
        <w:tc>
          <w:tcPr>
            <w:tcW w:w="4571" w:type="dxa"/>
            <w:hideMark/>
          </w:tcPr>
          <w:p w14:paraId="1B0BAEBC" w14:textId="77777777" w:rsidR="006D6931" w:rsidRPr="006D6931" w:rsidRDefault="006D6931">
            <w:r w:rsidRPr="006D6931">
              <w:t xml:space="preserve">"The responders shall be capable of a fixed reply time of sufficient precision." does not (properly) specify a requirement without defining what "sufficient" in measurable quantaties. This is not defined in this amendment nor in the base standard.  Note that 10.29.6.5 of IEEE Std 802.15.4-2024 informs the implementer "The accuracy of the resultant range will depend on how fine a control the responding device has on the transmit time of its response message, where every 1 ns error in TOF translates to approximately 30 cm range error." </w:t>
            </w:r>
          </w:p>
        </w:tc>
        <w:tc>
          <w:tcPr>
            <w:tcW w:w="2953" w:type="dxa"/>
            <w:hideMark/>
          </w:tcPr>
          <w:p w14:paraId="2A3B22F6" w14:textId="77777777" w:rsidR="006D6931" w:rsidRPr="006D6931" w:rsidRDefault="006D6931">
            <w:r w:rsidRPr="006D6931">
              <w:t>Delete sentence (incomplete requirement)</w:t>
            </w:r>
          </w:p>
        </w:tc>
        <w:tc>
          <w:tcPr>
            <w:tcW w:w="1170" w:type="dxa"/>
          </w:tcPr>
          <w:p w14:paraId="7EF27E8A" w14:textId="35EBAE73" w:rsidR="006D6931" w:rsidRPr="006D6931" w:rsidRDefault="006D6931">
            <w:r>
              <w:t>Accepted</w:t>
            </w:r>
          </w:p>
        </w:tc>
      </w:tr>
      <w:tr w:rsidR="006D6931" w:rsidRPr="006D6931" w14:paraId="2346825E" w14:textId="37ED82F2" w:rsidTr="006422D5">
        <w:trPr>
          <w:trHeight w:val="510"/>
        </w:trPr>
        <w:tc>
          <w:tcPr>
            <w:tcW w:w="598" w:type="dxa"/>
            <w:hideMark/>
          </w:tcPr>
          <w:p w14:paraId="0A6EA018" w14:textId="77777777" w:rsidR="006D6931" w:rsidRPr="006D6931" w:rsidRDefault="006D6931">
            <w:r w:rsidRPr="006D6931">
              <w:t>94</w:t>
            </w:r>
          </w:p>
        </w:tc>
        <w:tc>
          <w:tcPr>
            <w:tcW w:w="1498" w:type="dxa"/>
            <w:hideMark/>
          </w:tcPr>
          <w:p w14:paraId="1AA7D04B" w14:textId="77777777" w:rsidR="006D6931" w:rsidRPr="006D6931" w:rsidRDefault="006D6931">
            <w:r w:rsidRPr="006D6931">
              <w:t>10.39.11.1.2.1</w:t>
            </w:r>
          </w:p>
        </w:tc>
        <w:tc>
          <w:tcPr>
            <w:tcW w:w="4571" w:type="dxa"/>
            <w:hideMark/>
          </w:tcPr>
          <w:p w14:paraId="036B23C5" w14:textId="77777777" w:rsidR="006D6931" w:rsidRPr="006D6931" w:rsidRDefault="006D6931">
            <w:r w:rsidRPr="006D6931">
              <w:t xml:space="preserve">This method does not allow cryptographic algorithm agility, i.e., changing the algorithms in the future. </w:t>
            </w:r>
          </w:p>
        </w:tc>
        <w:tc>
          <w:tcPr>
            <w:tcW w:w="2953" w:type="dxa"/>
            <w:hideMark/>
          </w:tcPr>
          <w:p w14:paraId="4047F31D" w14:textId="77777777" w:rsidR="006D6931" w:rsidRPr="006D6931" w:rsidRDefault="006D6931">
            <w:r w:rsidRPr="006D6931">
              <w:t>Include a method to specify secAeadAlgorithm as specified in the Table 9-9.</w:t>
            </w:r>
          </w:p>
        </w:tc>
        <w:tc>
          <w:tcPr>
            <w:tcW w:w="1170" w:type="dxa"/>
          </w:tcPr>
          <w:p w14:paraId="2DC55FD9" w14:textId="1574E4B4" w:rsidR="006D6931" w:rsidRPr="006D6931" w:rsidRDefault="006D6931">
            <w:r>
              <w:t>Revised</w:t>
            </w:r>
          </w:p>
        </w:tc>
      </w:tr>
      <w:tr w:rsidR="006D6931" w:rsidRPr="006D6931" w14:paraId="3D85D10E" w14:textId="07FACAD2" w:rsidTr="006422D5">
        <w:trPr>
          <w:trHeight w:val="765"/>
        </w:trPr>
        <w:tc>
          <w:tcPr>
            <w:tcW w:w="598" w:type="dxa"/>
            <w:hideMark/>
          </w:tcPr>
          <w:p w14:paraId="63041A07" w14:textId="77777777" w:rsidR="006D6931" w:rsidRPr="006D6931" w:rsidRDefault="006D6931">
            <w:r w:rsidRPr="006D6931">
              <w:t>253</w:t>
            </w:r>
          </w:p>
        </w:tc>
        <w:tc>
          <w:tcPr>
            <w:tcW w:w="1498" w:type="dxa"/>
            <w:hideMark/>
          </w:tcPr>
          <w:p w14:paraId="2B4632CF" w14:textId="77777777" w:rsidR="006D6931" w:rsidRPr="006D6931" w:rsidRDefault="006D6931">
            <w:r w:rsidRPr="006D6931">
              <w:t>11.1.4</w:t>
            </w:r>
          </w:p>
        </w:tc>
        <w:tc>
          <w:tcPr>
            <w:tcW w:w="4571" w:type="dxa"/>
            <w:hideMark/>
          </w:tcPr>
          <w:p w14:paraId="15EC2FA8" w14:textId="77777777" w:rsidR="006D6931" w:rsidRPr="006D6931" w:rsidRDefault="006D6931">
            <w:r w:rsidRPr="006D6931">
              <w:t>The macLifsPeriod timing is not well defined. The value of 28 preamble symbol offset from Aifs needs to be better studied and the unit also needs to be updated.</w:t>
            </w:r>
          </w:p>
        </w:tc>
        <w:tc>
          <w:tcPr>
            <w:tcW w:w="2953" w:type="dxa"/>
            <w:hideMark/>
          </w:tcPr>
          <w:p w14:paraId="20ECF528" w14:textId="77777777" w:rsidR="006D6931" w:rsidRPr="006D6931" w:rsidRDefault="006D6931">
            <w:r w:rsidRPr="006D6931">
              <w:t>Update the 28 preamble symbol offset in the Lifs t to a number that is acceptable for different implementers in the group.</w:t>
            </w:r>
          </w:p>
        </w:tc>
        <w:tc>
          <w:tcPr>
            <w:tcW w:w="1170" w:type="dxa"/>
          </w:tcPr>
          <w:p w14:paraId="3B439C9A" w14:textId="3189C7C8" w:rsidR="006D6931" w:rsidRPr="006D6931" w:rsidRDefault="001F5F9F">
            <w:r>
              <w:t>Revised</w:t>
            </w:r>
          </w:p>
        </w:tc>
      </w:tr>
    </w:tbl>
    <w:p w14:paraId="23CC89F0" w14:textId="77777777" w:rsidR="006D6931" w:rsidRPr="006D6931" w:rsidRDefault="006D6931" w:rsidP="006D6931"/>
    <w:p w14:paraId="06313240" w14:textId="3C43433F" w:rsidR="00E63716" w:rsidRDefault="00087A83" w:rsidP="00AB3F69">
      <w:pPr>
        <w:pStyle w:val="Heading1"/>
      </w:pPr>
      <w:r>
        <w:t xml:space="preserve">Proposed resolution </w:t>
      </w:r>
      <w:r w:rsidR="006D6931">
        <w:t>detail</w:t>
      </w:r>
      <w:r w:rsidR="00E63716">
        <w:t xml:space="preserve"> </w:t>
      </w:r>
      <w:r w:rsidR="00E63716" w:rsidRPr="00E63716">
        <w:t>1</w:t>
      </w:r>
      <w:r w:rsidR="00520BBC">
        <w:t>0</w:t>
      </w:r>
    </w:p>
    <w:tbl>
      <w:tblPr>
        <w:tblStyle w:val="TableGrid"/>
        <w:tblW w:w="0" w:type="auto"/>
        <w:tblLook w:val="04A0" w:firstRow="1" w:lastRow="0" w:firstColumn="1" w:lastColumn="0" w:noHBand="0" w:noVBand="1"/>
      </w:tblPr>
      <w:tblGrid>
        <w:gridCol w:w="889"/>
        <w:gridCol w:w="695"/>
        <w:gridCol w:w="1396"/>
        <w:gridCol w:w="716"/>
        <w:gridCol w:w="3402"/>
        <w:gridCol w:w="3692"/>
      </w:tblGrid>
      <w:tr w:rsidR="006422D5" w:rsidRPr="00877903" w14:paraId="5E39B1E9" w14:textId="77777777" w:rsidTr="006422D5">
        <w:trPr>
          <w:trHeight w:val="510"/>
        </w:trPr>
        <w:tc>
          <w:tcPr>
            <w:tcW w:w="895" w:type="dxa"/>
          </w:tcPr>
          <w:p w14:paraId="5F755ABC" w14:textId="2A7E6070" w:rsidR="006422D5" w:rsidRPr="006422D5" w:rsidRDefault="006422D5" w:rsidP="006422D5">
            <w:pPr>
              <w:rPr>
                <w:b/>
                <w:bCs/>
              </w:rPr>
            </w:pPr>
            <w:r w:rsidRPr="006422D5">
              <w:rPr>
                <w:b/>
                <w:bCs/>
              </w:rPr>
              <w:t>Index #</w:t>
            </w:r>
          </w:p>
        </w:tc>
        <w:tc>
          <w:tcPr>
            <w:tcW w:w="523" w:type="dxa"/>
            <w:noWrap/>
          </w:tcPr>
          <w:p w14:paraId="3426D2F6" w14:textId="73D2D7A1" w:rsidR="006422D5" w:rsidRPr="00877903" w:rsidRDefault="006422D5" w:rsidP="006422D5">
            <w:r>
              <w:rPr>
                <w:rFonts w:ascii="Arial" w:hAnsi="Arial" w:cs="Arial"/>
                <w:b/>
                <w:bCs/>
                <w:sz w:val="20"/>
                <w:szCs w:val="20"/>
              </w:rPr>
              <w:t>Page</w:t>
            </w:r>
          </w:p>
        </w:tc>
        <w:tc>
          <w:tcPr>
            <w:tcW w:w="1396" w:type="dxa"/>
            <w:noWrap/>
          </w:tcPr>
          <w:p w14:paraId="5077FA16" w14:textId="7AA72B21" w:rsidR="006422D5" w:rsidRPr="00877903" w:rsidRDefault="006422D5" w:rsidP="006422D5">
            <w:r>
              <w:rPr>
                <w:rFonts w:ascii="Arial" w:hAnsi="Arial" w:cs="Arial"/>
                <w:b/>
                <w:bCs/>
                <w:sz w:val="20"/>
                <w:szCs w:val="20"/>
              </w:rPr>
              <w:t>Sub-clause</w:t>
            </w:r>
          </w:p>
        </w:tc>
        <w:tc>
          <w:tcPr>
            <w:tcW w:w="716" w:type="dxa"/>
            <w:noWrap/>
          </w:tcPr>
          <w:p w14:paraId="25C20C37" w14:textId="7A2E83B3" w:rsidR="006422D5" w:rsidRPr="00877903" w:rsidRDefault="006422D5" w:rsidP="006422D5">
            <w:r>
              <w:rPr>
                <w:rFonts w:ascii="Arial" w:hAnsi="Arial" w:cs="Arial"/>
                <w:b/>
                <w:bCs/>
                <w:sz w:val="20"/>
                <w:szCs w:val="20"/>
              </w:rPr>
              <w:t>Line #</w:t>
            </w:r>
          </w:p>
        </w:tc>
        <w:tc>
          <w:tcPr>
            <w:tcW w:w="3483" w:type="dxa"/>
          </w:tcPr>
          <w:p w14:paraId="205B54E0" w14:textId="657F6DD3" w:rsidR="006422D5" w:rsidRPr="00877903" w:rsidRDefault="006422D5" w:rsidP="006422D5">
            <w:r>
              <w:rPr>
                <w:rFonts w:ascii="Arial" w:hAnsi="Arial" w:cs="Arial"/>
                <w:b/>
                <w:bCs/>
                <w:sz w:val="20"/>
                <w:szCs w:val="20"/>
              </w:rPr>
              <w:t>Comment</w:t>
            </w:r>
          </w:p>
        </w:tc>
        <w:tc>
          <w:tcPr>
            <w:tcW w:w="3777" w:type="dxa"/>
          </w:tcPr>
          <w:p w14:paraId="6AD3E65F" w14:textId="64A524F9" w:rsidR="006422D5" w:rsidRPr="00877903" w:rsidRDefault="006422D5" w:rsidP="006422D5">
            <w:r>
              <w:rPr>
                <w:rFonts w:ascii="Arial" w:hAnsi="Arial" w:cs="Arial"/>
                <w:b/>
                <w:bCs/>
                <w:sz w:val="20"/>
                <w:szCs w:val="20"/>
              </w:rPr>
              <w:t>Proposed Change</w:t>
            </w:r>
          </w:p>
        </w:tc>
      </w:tr>
      <w:tr w:rsidR="006422D5" w:rsidRPr="00877903" w14:paraId="00171035" w14:textId="77777777" w:rsidTr="006422D5">
        <w:trPr>
          <w:trHeight w:val="510"/>
        </w:trPr>
        <w:tc>
          <w:tcPr>
            <w:tcW w:w="895" w:type="dxa"/>
            <w:hideMark/>
          </w:tcPr>
          <w:p w14:paraId="3370999E" w14:textId="77777777" w:rsidR="006422D5" w:rsidRPr="00877903" w:rsidRDefault="006422D5" w:rsidP="00621B65">
            <w:r w:rsidRPr="00877903">
              <w:t>10</w:t>
            </w:r>
          </w:p>
        </w:tc>
        <w:tc>
          <w:tcPr>
            <w:tcW w:w="523" w:type="dxa"/>
            <w:noWrap/>
            <w:hideMark/>
          </w:tcPr>
          <w:p w14:paraId="01C203E4" w14:textId="77777777" w:rsidR="006422D5" w:rsidRPr="00877903" w:rsidRDefault="006422D5" w:rsidP="00621B65">
            <w:r w:rsidRPr="00877903">
              <w:t>83</w:t>
            </w:r>
          </w:p>
        </w:tc>
        <w:tc>
          <w:tcPr>
            <w:tcW w:w="1396" w:type="dxa"/>
            <w:noWrap/>
            <w:hideMark/>
          </w:tcPr>
          <w:p w14:paraId="0B1BEBDE" w14:textId="77777777" w:rsidR="006422D5" w:rsidRPr="00877903" w:rsidRDefault="006422D5" w:rsidP="00621B65">
            <w:r w:rsidRPr="00877903">
              <w:t>10.39.8.3</w:t>
            </w:r>
          </w:p>
        </w:tc>
        <w:tc>
          <w:tcPr>
            <w:tcW w:w="716" w:type="dxa"/>
            <w:noWrap/>
            <w:hideMark/>
          </w:tcPr>
          <w:p w14:paraId="4934534E" w14:textId="77777777" w:rsidR="006422D5" w:rsidRPr="00877903" w:rsidRDefault="006422D5" w:rsidP="00621B65">
            <w:r w:rsidRPr="00877903">
              <w:t>20</w:t>
            </w:r>
          </w:p>
        </w:tc>
        <w:tc>
          <w:tcPr>
            <w:tcW w:w="3483" w:type="dxa"/>
            <w:hideMark/>
          </w:tcPr>
          <w:p w14:paraId="776CB5E2" w14:textId="77777777" w:rsidR="006422D5" w:rsidRPr="00877903" w:rsidRDefault="006422D5" w:rsidP="00621B65">
            <w:r w:rsidRPr="00877903">
              <w:t>How long is the CCA duration?  Please add text that specifies it</w:t>
            </w:r>
          </w:p>
        </w:tc>
        <w:tc>
          <w:tcPr>
            <w:tcW w:w="3777" w:type="dxa"/>
            <w:hideMark/>
          </w:tcPr>
          <w:p w14:paraId="208A98DD" w14:textId="77777777" w:rsidR="006422D5" w:rsidRPr="00877903" w:rsidRDefault="006422D5" w:rsidP="00621B65">
            <w:r w:rsidRPr="00877903">
              <w:t>I recommend  at least 18us so that it is consistent with latest ETSI 303687</w:t>
            </w:r>
          </w:p>
        </w:tc>
      </w:tr>
    </w:tbl>
    <w:p w14:paraId="68D3C3CC" w14:textId="77777777" w:rsidR="006422D5" w:rsidRDefault="006422D5" w:rsidP="006422D5"/>
    <w:p w14:paraId="55841B98" w14:textId="48403469" w:rsidR="006422D5" w:rsidRDefault="006422D5" w:rsidP="006422D5">
      <w:r>
        <w:t>Resolution: Revised</w:t>
      </w:r>
    </w:p>
    <w:p w14:paraId="25F3F22D" w14:textId="7BEB6734" w:rsidR="00686E53" w:rsidRDefault="00686E53" w:rsidP="006422D5">
      <w:r w:rsidRPr="00686E53">
        <w:rPr>
          <w:b/>
          <w:bCs/>
        </w:rPr>
        <w:t xml:space="preserve">Discussion:  </w:t>
      </w:r>
      <w:r>
        <w:t xml:space="preserve">The subject text and figure are changed by adopted resolution to other comments so as to not include the 16 usec constraint as described in document </w:t>
      </w:r>
      <w:r w:rsidRPr="00686E53">
        <w:t>Doc 15-25-0307-01-04ab-lb213-d02-comment-resolution-cids-12-407-115.docx</w:t>
      </w:r>
      <w:r>
        <w:t>. The resolution detail is used for this comment as well.</w:t>
      </w:r>
    </w:p>
    <w:p w14:paraId="68C09374" w14:textId="4B1D2A29" w:rsidR="00686E53" w:rsidRDefault="006422D5" w:rsidP="00686E53">
      <w:r w:rsidRPr="00686E53">
        <w:rPr>
          <w:b/>
          <w:bCs/>
        </w:rPr>
        <w:t>Resolution Detail</w:t>
      </w:r>
      <w:r>
        <w:t xml:space="preserve">:  </w:t>
      </w:r>
      <w:r w:rsidR="00686E53">
        <w:t xml:space="preserve">Replace all content of subsection 10.39.8.3 by: </w:t>
      </w:r>
    </w:p>
    <w:p w14:paraId="76ECD07B" w14:textId="28971E07" w:rsidR="00686E53" w:rsidRDefault="00686E53" w:rsidP="00686E53">
      <w:r>
        <w:t>If LBT is required before a transmission, either for regulatory reasons or as a coexistence mechanism, then one of the channel access methods defined in 6.3.2 or 10.45 with CCA mode 1 or 3 shall be applied by initiator and responder independently in each transmission slot, even if the same channel is used in consecutive slots. If LBT is not required, the same methods may be used to improve coexistence with other spectrum users.</w:t>
      </w:r>
    </w:p>
    <w:p w14:paraId="2439A23F" w14:textId="77777777" w:rsidR="00520BBC" w:rsidRDefault="00520BBC" w:rsidP="00520BBC">
      <w:pPr>
        <w:pStyle w:val="Heading1"/>
      </w:pPr>
      <w:r>
        <w:t xml:space="preserve">Proposed resolution detail </w:t>
      </w:r>
      <w:r w:rsidRPr="00E63716">
        <w:t>14</w:t>
      </w:r>
    </w:p>
    <w:tbl>
      <w:tblPr>
        <w:tblStyle w:val="TableGrid"/>
        <w:tblW w:w="0" w:type="auto"/>
        <w:tblLook w:val="04A0" w:firstRow="1" w:lastRow="0" w:firstColumn="1" w:lastColumn="0" w:noHBand="0" w:noVBand="1"/>
      </w:tblPr>
      <w:tblGrid>
        <w:gridCol w:w="889"/>
        <w:gridCol w:w="695"/>
        <w:gridCol w:w="1396"/>
        <w:gridCol w:w="716"/>
        <w:gridCol w:w="3405"/>
        <w:gridCol w:w="3689"/>
      </w:tblGrid>
      <w:tr w:rsidR="00520BBC" w:rsidRPr="00877903" w14:paraId="4C589965" w14:textId="77777777" w:rsidTr="0065046A">
        <w:trPr>
          <w:trHeight w:val="510"/>
        </w:trPr>
        <w:tc>
          <w:tcPr>
            <w:tcW w:w="889" w:type="dxa"/>
          </w:tcPr>
          <w:p w14:paraId="12B284D1" w14:textId="77777777" w:rsidR="00520BBC" w:rsidRPr="006422D5" w:rsidRDefault="00520BBC" w:rsidP="00621B65">
            <w:pPr>
              <w:rPr>
                <w:b/>
                <w:bCs/>
              </w:rPr>
            </w:pPr>
            <w:r w:rsidRPr="006422D5">
              <w:rPr>
                <w:b/>
                <w:bCs/>
              </w:rPr>
              <w:t>Index #</w:t>
            </w:r>
          </w:p>
        </w:tc>
        <w:tc>
          <w:tcPr>
            <w:tcW w:w="695" w:type="dxa"/>
            <w:noWrap/>
          </w:tcPr>
          <w:p w14:paraId="659DF73B" w14:textId="77777777" w:rsidR="00520BBC" w:rsidRPr="00877903" w:rsidRDefault="00520BBC" w:rsidP="00621B65">
            <w:r>
              <w:rPr>
                <w:rFonts w:ascii="Arial" w:hAnsi="Arial" w:cs="Arial"/>
                <w:b/>
                <w:bCs/>
                <w:sz w:val="20"/>
                <w:szCs w:val="20"/>
              </w:rPr>
              <w:t>Page</w:t>
            </w:r>
          </w:p>
        </w:tc>
        <w:tc>
          <w:tcPr>
            <w:tcW w:w="1396" w:type="dxa"/>
            <w:noWrap/>
          </w:tcPr>
          <w:p w14:paraId="782270D7" w14:textId="77777777" w:rsidR="00520BBC" w:rsidRPr="00877903" w:rsidRDefault="00520BBC" w:rsidP="00621B65">
            <w:r>
              <w:rPr>
                <w:rFonts w:ascii="Arial" w:hAnsi="Arial" w:cs="Arial"/>
                <w:b/>
                <w:bCs/>
                <w:sz w:val="20"/>
                <w:szCs w:val="20"/>
              </w:rPr>
              <w:t>Sub-clause</w:t>
            </w:r>
          </w:p>
        </w:tc>
        <w:tc>
          <w:tcPr>
            <w:tcW w:w="716" w:type="dxa"/>
            <w:noWrap/>
          </w:tcPr>
          <w:p w14:paraId="5C4FE336" w14:textId="77777777" w:rsidR="00520BBC" w:rsidRPr="00877903" w:rsidRDefault="00520BBC" w:rsidP="00621B65">
            <w:r>
              <w:rPr>
                <w:rFonts w:ascii="Arial" w:hAnsi="Arial" w:cs="Arial"/>
                <w:b/>
                <w:bCs/>
                <w:sz w:val="20"/>
                <w:szCs w:val="20"/>
              </w:rPr>
              <w:t>Line #</w:t>
            </w:r>
          </w:p>
        </w:tc>
        <w:tc>
          <w:tcPr>
            <w:tcW w:w="3405" w:type="dxa"/>
          </w:tcPr>
          <w:p w14:paraId="7FCC793D" w14:textId="77777777" w:rsidR="00520BBC" w:rsidRPr="00877903" w:rsidRDefault="00520BBC" w:rsidP="00621B65">
            <w:r>
              <w:rPr>
                <w:rFonts w:ascii="Arial" w:hAnsi="Arial" w:cs="Arial"/>
                <w:b/>
                <w:bCs/>
                <w:sz w:val="20"/>
                <w:szCs w:val="20"/>
              </w:rPr>
              <w:t>Comment</w:t>
            </w:r>
          </w:p>
        </w:tc>
        <w:tc>
          <w:tcPr>
            <w:tcW w:w="3689" w:type="dxa"/>
          </w:tcPr>
          <w:p w14:paraId="62540534" w14:textId="77777777" w:rsidR="00520BBC" w:rsidRPr="00877903" w:rsidRDefault="00520BBC" w:rsidP="00621B65">
            <w:r>
              <w:rPr>
                <w:rFonts w:ascii="Arial" w:hAnsi="Arial" w:cs="Arial"/>
                <w:b/>
                <w:bCs/>
                <w:sz w:val="20"/>
                <w:szCs w:val="20"/>
              </w:rPr>
              <w:t>Proposed Change</w:t>
            </w:r>
          </w:p>
        </w:tc>
      </w:tr>
      <w:tr w:rsidR="0065046A" w:rsidRPr="00877903" w14:paraId="26CF2C89" w14:textId="77777777" w:rsidTr="0065046A">
        <w:trPr>
          <w:trHeight w:val="510"/>
        </w:trPr>
        <w:tc>
          <w:tcPr>
            <w:tcW w:w="889" w:type="dxa"/>
          </w:tcPr>
          <w:p w14:paraId="063E30CC" w14:textId="671432BB" w:rsidR="0065046A" w:rsidRPr="006422D5" w:rsidRDefault="0065046A" w:rsidP="0065046A">
            <w:pPr>
              <w:rPr>
                <w:b/>
                <w:bCs/>
              </w:rPr>
            </w:pPr>
            <w:r w:rsidRPr="00877903">
              <w:t>14</w:t>
            </w:r>
          </w:p>
        </w:tc>
        <w:tc>
          <w:tcPr>
            <w:tcW w:w="695" w:type="dxa"/>
            <w:noWrap/>
          </w:tcPr>
          <w:p w14:paraId="1AE2C8C5" w14:textId="0CEB116B" w:rsidR="0065046A" w:rsidRDefault="0065046A" w:rsidP="0065046A">
            <w:pPr>
              <w:rPr>
                <w:rFonts w:ascii="Arial" w:hAnsi="Arial" w:cs="Arial"/>
                <w:b/>
                <w:bCs/>
                <w:sz w:val="20"/>
                <w:szCs w:val="20"/>
              </w:rPr>
            </w:pPr>
            <w:r w:rsidRPr="00877903">
              <w:t>84</w:t>
            </w:r>
          </w:p>
        </w:tc>
        <w:tc>
          <w:tcPr>
            <w:tcW w:w="1396" w:type="dxa"/>
            <w:noWrap/>
          </w:tcPr>
          <w:p w14:paraId="093CEC0F" w14:textId="3107F569" w:rsidR="0065046A" w:rsidRDefault="0065046A" w:rsidP="0065046A">
            <w:pPr>
              <w:rPr>
                <w:rFonts w:ascii="Arial" w:hAnsi="Arial" w:cs="Arial"/>
                <w:b/>
                <w:bCs/>
                <w:sz w:val="20"/>
                <w:szCs w:val="20"/>
              </w:rPr>
            </w:pPr>
            <w:r w:rsidRPr="00877903">
              <w:t>10.39.8.4.1</w:t>
            </w:r>
          </w:p>
        </w:tc>
        <w:tc>
          <w:tcPr>
            <w:tcW w:w="716" w:type="dxa"/>
            <w:noWrap/>
          </w:tcPr>
          <w:p w14:paraId="0138C1A9" w14:textId="195E982F" w:rsidR="0065046A" w:rsidRDefault="0065046A" w:rsidP="0065046A">
            <w:pPr>
              <w:rPr>
                <w:rFonts w:ascii="Arial" w:hAnsi="Arial" w:cs="Arial"/>
                <w:b/>
                <w:bCs/>
                <w:sz w:val="20"/>
                <w:szCs w:val="20"/>
              </w:rPr>
            </w:pPr>
            <w:r w:rsidRPr="00877903">
              <w:t>15</w:t>
            </w:r>
          </w:p>
        </w:tc>
        <w:tc>
          <w:tcPr>
            <w:tcW w:w="3405" w:type="dxa"/>
          </w:tcPr>
          <w:p w14:paraId="796A2B6F" w14:textId="5D011126" w:rsidR="0065046A" w:rsidRDefault="0065046A" w:rsidP="0065046A">
            <w:pPr>
              <w:rPr>
                <w:rFonts w:ascii="Arial" w:hAnsi="Arial" w:cs="Arial"/>
                <w:b/>
                <w:bCs/>
                <w:sz w:val="20"/>
                <w:szCs w:val="20"/>
              </w:rPr>
            </w:pPr>
            <w:r w:rsidRPr="00877903">
              <w:t>if channel switching is disabled, how do we ensure that the channel that is chosen is not an 802.11 primary channel?</w:t>
            </w:r>
          </w:p>
        </w:tc>
        <w:tc>
          <w:tcPr>
            <w:tcW w:w="3689" w:type="dxa"/>
          </w:tcPr>
          <w:p w14:paraId="7911469F" w14:textId="0CFBC2FD" w:rsidR="0065046A" w:rsidRDefault="0065046A" w:rsidP="0065046A">
            <w:pPr>
              <w:rPr>
                <w:rFonts w:ascii="Arial" w:hAnsi="Arial" w:cs="Arial"/>
                <w:b/>
                <w:bCs/>
                <w:sz w:val="20"/>
                <w:szCs w:val="20"/>
              </w:rPr>
            </w:pPr>
            <w:r w:rsidRPr="00877903">
              <w:t>Prohibit single channel configuration which overlaps with 802.11 primary channels.   If we do this, we would prevent collisions from 802.11 beacons, probe requests, and probe responses</w:t>
            </w:r>
          </w:p>
        </w:tc>
      </w:tr>
    </w:tbl>
    <w:p w14:paraId="35DAC162" w14:textId="77777777" w:rsidR="00520BBC" w:rsidRDefault="00520BBC" w:rsidP="00686E53"/>
    <w:p w14:paraId="4CDA6C56" w14:textId="04B24A93" w:rsidR="0065046A" w:rsidRDefault="0065046A" w:rsidP="00686E53">
      <w:r>
        <w:t>Proposed resolution: Rejected</w:t>
      </w:r>
    </w:p>
    <w:p w14:paraId="26118962" w14:textId="5EB0238B" w:rsidR="0065046A" w:rsidRPr="006422D5" w:rsidRDefault="0065046A" w:rsidP="00686E53">
      <w:r>
        <w:t xml:space="preserve">Resolution detail:  The group disagrees with the comment.  Channel selection is controlled by the higher layer, consistent with the architecture of the base standard. This is required so that network management layers can manage channel usage.  Note the base standard includes mechanisms such as channel scanning that that can be used by higher layer management entities to collect information for channel selection and other configuration decisions. </w:t>
      </w:r>
    </w:p>
    <w:p w14:paraId="3E630E42" w14:textId="7BBDEA87" w:rsidR="00E63716" w:rsidRDefault="00E63716" w:rsidP="00AB3F69">
      <w:pPr>
        <w:pStyle w:val="Heading1"/>
      </w:pPr>
      <w:r>
        <w:t xml:space="preserve">Proposed resolution detail </w:t>
      </w:r>
      <w:r w:rsidRPr="00E63716">
        <w:t>278</w:t>
      </w:r>
    </w:p>
    <w:tbl>
      <w:tblPr>
        <w:tblStyle w:val="TableGrid"/>
        <w:tblW w:w="0" w:type="auto"/>
        <w:tblLook w:val="04A0" w:firstRow="1" w:lastRow="0" w:firstColumn="1" w:lastColumn="0" w:noHBand="0" w:noVBand="1"/>
      </w:tblPr>
      <w:tblGrid>
        <w:gridCol w:w="889"/>
        <w:gridCol w:w="695"/>
        <w:gridCol w:w="1396"/>
        <w:gridCol w:w="716"/>
        <w:gridCol w:w="3405"/>
        <w:gridCol w:w="3689"/>
      </w:tblGrid>
      <w:tr w:rsidR="00686E53" w:rsidRPr="00877903" w14:paraId="14886721" w14:textId="77777777" w:rsidTr="0065046A">
        <w:trPr>
          <w:trHeight w:val="510"/>
        </w:trPr>
        <w:tc>
          <w:tcPr>
            <w:tcW w:w="889" w:type="dxa"/>
          </w:tcPr>
          <w:p w14:paraId="14C94A3B" w14:textId="77777777" w:rsidR="00686E53" w:rsidRPr="006422D5" w:rsidRDefault="00686E53" w:rsidP="00621B65">
            <w:pPr>
              <w:rPr>
                <w:b/>
                <w:bCs/>
              </w:rPr>
            </w:pPr>
            <w:r w:rsidRPr="006422D5">
              <w:rPr>
                <w:b/>
                <w:bCs/>
              </w:rPr>
              <w:t>Index #</w:t>
            </w:r>
          </w:p>
        </w:tc>
        <w:tc>
          <w:tcPr>
            <w:tcW w:w="695" w:type="dxa"/>
            <w:noWrap/>
          </w:tcPr>
          <w:p w14:paraId="09317F1F" w14:textId="77777777" w:rsidR="00686E53" w:rsidRPr="00877903" w:rsidRDefault="00686E53" w:rsidP="00621B65">
            <w:r>
              <w:rPr>
                <w:rFonts w:ascii="Arial" w:hAnsi="Arial" w:cs="Arial"/>
                <w:b/>
                <w:bCs/>
                <w:sz w:val="20"/>
                <w:szCs w:val="20"/>
              </w:rPr>
              <w:t>Page</w:t>
            </w:r>
          </w:p>
        </w:tc>
        <w:tc>
          <w:tcPr>
            <w:tcW w:w="1396" w:type="dxa"/>
            <w:noWrap/>
          </w:tcPr>
          <w:p w14:paraId="4AE678E4" w14:textId="77777777" w:rsidR="00686E53" w:rsidRPr="00877903" w:rsidRDefault="00686E53" w:rsidP="00621B65">
            <w:r>
              <w:rPr>
                <w:rFonts w:ascii="Arial" w:hAnsi="Arial" w:cs="Arial"/>
                <w:b/>
                <w:bCs/>
                <w:sz w:val="20"/>
                <w:szCs w:val="20"/>
              </w:rPr>
              <w:t>Sub-clause</w:t>
            </w:r>
          </w:p>
        </w:tc>
        <w:tc>
          <w:tcPr>
            <w:tcW w:w="716" w:type="dxa"/>
            <w:noWrap/>
          </w:tcPr>
          <w:p w14:paraId="06B89840" w14:textId="77777777" w:rsidR="00686E53" w:rsidRPr="00877903" w:rsidRDefault="00686E53" w:rsidP="00621B65">
            <w:r>
              <w:rPr>
                <w:rFonts w:ascii="Arial" w:hAnsi="Arial" w:cs="Arial"/>
                <w:b/>
                <w:bCs/>
                <w:sz w:val="20"/>
                <w:szCs w:val="20"/>
              </w:rPr>
              <w:t>Line #</w:t>
            </w:r>
          </w:p>
        </w:tc>
        <w:tc>
          <w:tcPr>
            <w:tcW w:w="3405" w:type="dxa"/>
          </w:tcPr>
          <w:p w14:paraId="72B5856C" w14:textId="77777777" w:rsidR="00686E53" w:rsidRPr="00877903" w:rsidRDefault="00686E53" w:rsidP="00621B65">
            <w:r>
              <w:rPr>
                <w:rFonts w:ascii="Arial" w:hAnsi="Arial" w:cs="Arial"/>
                <w:b/>
                <w:bCs/>
                <w:sz w:val="20"/>
                <w:szCs w:val="20"/>
              </w:rPr>
              <w:t>Comment</w:t>
            </w:r>
          </w:p>
        </w:tc>
        <w:tc>
          <w:tcPr>
            <w:tcW w:w="3689" w:type="dxa"/>
          </w:tcPr>
          <w:p w14:paraId="38CC6696" w14:textId="77777777" w:rsidR="00686E53" w:rsidRPr="00877903" w:rsidRDefault="00686E53" w:rsidP="00621B65">
            <w:r>
              <w:rPr>
                <w:rFonts w:ascii="Arial" w:hAnsi="Arial" w:cs="Arial"/>
                <w:b/>
                <w:bCs/>
                <w:sz w:val="20"/>
                <w:szCs w:val="20"/>
              </w:rPr>
              <w:t>Proposed Change</w:t>
            </w:r>
          </w:p>
        </w:tc>
      </w:tr>
      <w:tr w:rsidR="0065046A" w:rsidRPr="00877903" w14:paraId="73418580" w14:textId="77777777" w:rsidTr="0065046A">
        <w:trPr>
          <w:trHeight w:val="510"/>
        </w:trPr>
        <w:tc>
          <w:tcPr>
            <w:tcW w:w="889" w:type="dxa"/>
          </w:tcPr>
          <w:p w14:paraId="285D5FD1" w14:textId="0A1931C8" w:rsidR="0065046A" w:rsidRPr="006422D5" w:rsidRDefault="0065046A" w:rsidP="0065046A">
            <w:pPr>
              <w:rPr>
                <w:b/>
                <w:bCs/>
              </w:rPr>
            </w:pPr>
            <w:r w:rsidRPr="00877903">
              <w:t>278</w:t>
            </w:r>
          </w:p>
        </w:tc>
        <w:tc>
          <w:tcPr>
            <w:tcW w:w="695" w:type="dxa"/>
            <w:noWrap/>
          </w:tcPr>
          <w:p w14:paraId="21319B83" w14:textId="03977B89" w:rsidR="0065046A" w:rsidRDefault="0065046A" w:rsidP="0065046A">
            <w:pPr>
              <w:rPr>
                <w:rFonts w:ascii="Arial" w:hAnsi="Arial" w:cs="Arial"/>
                <w:b/>
                <w:bCs/>
                <w:sz w:val="20"/>
                <w:szCs w:val="20"/>
              </w:rPr>
            </w:pPr>
            <w:r w:rsidRPr="00877903">
              <w:t>86</w:t>
            </w:r>
          </w:p>
        </w:tc>
        <w:tc>
          <w:tcPr>
            <w:tcW w:w="1396" w:type="dxa"/>
            <w:noWrap/>
          </w:tcPr>
          <w:p w14:paraId="0727A81E" w14:textId="656ADAE2" w:rsidR="0065046A" w:rsidRDefault="0065046A" w:rsidP="0065046A">
            <w:pPr>
              <w:rPr>
                <w:rFonts w:ascii="Arial" w:hAnsi="Arial" w:cs="Arial"/>
                <w:b/>
                <w:bCs/>
                <w:sz w:val="20"/>
                <w:szCs w:val="20"/>
              </w:rPr>
            </w:pPr>
            <w:r w:rsidRPr="00877903">
              <w:t>10.39.9.3</w:t>
            </w:r>
          </w:p>
        </w:tc>
        <w:tc>
          <w:tcPr>
            <w:tcW w:w="716" w:type="dxa"/>
            <w:noWrap/>
          </w:tcPr>
          <w:p w14:paraId="17692ADE" w14:textId="4F5BFF12" w:rsidR="0065046A" w:rsidRDefault="0065046A" w:rsidP="0065046A">
            <w:pPr>
              <w:rPr>
                <w:rFonts w:ascii="Arial" w:hAnsi="Arial" w:cs="Arial"/>
                <w:b/>
                <w:bCs/>
                <w:sz w:val="20"/>
                <w:szCs w:val="20"/>
              </w:rPr>
            </w:pPr>
            <w:r w:rsidRPr="00877903">
              <w:t>21</w:t>
            </w:r>
          </w:p>
        </w:tc>
        <w:tc>
          <w:tcPr>
            <w:tcW w:w="3405" w:type="dxa"/>
          </w:tcPr>
          <w:p w14:paraId="389E4151" w14:textId="17552FC1" w:rsidR="0065046A" w:rsidRDefault="0065046A" w:rsidP="0065046A">
            <w:pPr>
              <w:rPr>
                <w:rFonts w:ascii="Arial" w:hAnsi="Arial" w:cs="Arial"/>
                <w:b/>
                <w:bCs/>
                <w:sz w:val="20"/>
                <w:szCs w:val="20"/>
              </w:rPr>
            </w:pPr>
            <w:r w:rsidRPr="00877903">
              <w:t xml:space="preserve">"The responders shall be capable of a fixed reply time of sufficient precision." does not (properly) specify a requirement without defining what "sufficient" in measurable quantaties. This is not defined in this amendment nor in the base standard.  Note that 10.29.6.5 of IEEE Std 802.15.4-2024 informs the implementer "The accuracy of the resultant range will depend on how fine a control the responding device has on the </w:t>
            </w:r>
            <w:r w:rsidRPr="00877903">
              <w:lastRenderedPageBreak/>
              <w:t xml:space="preserve">transmit time of its response message, where every 1 ns error in TOF translates to approximately 30 cm range error." </w:t>
            </w:r>
          </w:p>
        </w:tc>
        <w:tc>
          <w:tcPr>
            <w:tcW w:w="3689" w:type="dxa"/>
          </w:tcPr>
          <w:p w14:paraId="2A3CA2E2" w14:textId="3A15CD44" w:rsidR="0065046A" w:rsidRDefault="0065046A" w:rsidP="0065046A">
            <w:pPr>
              <w:rPr>
                <w:rFonts w:ascii="Arial" w:hAnsi="Arial" w:cs="Arial"/>
                <w:b/>
                <w:bCs/>
                <w:sz w:val="20"/>
                <w:szCs w:val="20"/>
              </w:rPr>
            </w:pPr>
            <w:r w:rsidRPr="00877903">
              <w:lastRenderedPageBreak/>
              <w:t>Delete sentence (incomplete requirement)</w:t>
            </w:r>
          </w:p>
        </w:tc>
      </w:tr>
    </w:tbl>
    <w:p w14:paraId="1B2F7806" w14:textId="77777777" w:rsidR="00686E53" w:rsidRDefault="00686E53" w:rsidP="00686E53"/>
    <w:p w14:paraId="014B8183" w14:textId="60224A56" w:rsidR="0065046A" w:rsidRDefault="0065046A" w:rsidP="00686E53">
      <w:r>
        <w:t>Proposed resolution: Accepted.</w:t>
      </w:r>
    </w:p>
    <w:p w14:paraId="4C413E09" w14:textId="77777777" w:rsidR="0065046A" w:rsidRPr="00686E53" w:rsidRDefault="0065046A" w:rsidP="00686E53"/>
    <w:p w14:paraId="62ACBE2E" w14:textId="3FDB40EB" w:rsidR="00E63716" w:rsidRDefault="00E63716" w:rsidP="00AB3F69">
      <w:pPr>
        <w:pStyle w:val="Heading1"/>
      </w:pPr>
      <w:r>
        <w:t>Proposed resolution detail</w:t>
      </w:r>
      <w:r w:rsidRPr="00E63716">
        <w:t xml:space="preserve"> 94</w:t>
      </w:r>
    </w:p>
    <w:tbl>
      <w:tblPr>
        <w:tblStyle w:val="TableGrid"/>
        <w:tblW w:w="0" w:type="auto"/>
        <w:tblLook w:val="04A0" w:firstRow="1" w:lastRow="0" w:firstColumn="1" w:lastColumn="0" w:noHBand="0" w:noVBand="1"/>
      </w:tblPr>
      <w:tblGrid>
        <w:gridCol w:w="884"/>
        <w:gridCol w:w="695"/>
        <w:gridCol w:w="1498"/>
        <w:gridCol w:w="716"/>
        <w:gridCol w:w="3355"/>
        <w:gridCol w:w="3642"/>
      </w:tblGrid>
      <w:tr w:rsidR="00686E53" w:rsidRPr="00877903" w14:paraId="0C72EE9C" w14:textId="77777777" w:rsidTr="0065046A">
        <w:trPr>
          <w:trHeight w:val="510"/>
        </w:trPr>
        <w:tc>
          <w:tcPr>
            <w:tcW w:w="889" w:type="dxa"/>
          </w:tcPr>
          <w:p w14:paraId="24CC9C3D" w14:textId="77777777" w:rsidR="00686E53" w:rsidRPr="006422D5" w:rsidRDefault="00686E53" w:rsidP="00621B65">
            <w:pPr>
              <w:rPr>
                <w:b/>
                <w:bCs/>
              </w:rPr>
            </w:pPr>
            <w:r w:rsidRPr="006422D5">
              <w:rPr>
                <w:b/>
                <w:bCs/>
              </w:rPr>
              <w:t>Index #</w:t>
            </w:r>
          </w:p>
        </w:tc>
        <w:tc>
          <w:tcPr>
            <w:tcW w:w="695" w:type="dxa"/>
            <w:noWrap/>
          </w:tcPr>
          <w:p w14:paraId="5892A0B5" w14:textId="77777777" w:rsidR="00686E53" w:rsidRPr="00877903" w:rsidRDefault="00686E53" w:rsidP="00621B65">
            <w:r>
              <w:rPr>
                <w:rFonts w:ascii="Arial" w:hAnsi="Arial" w:cs="Arial"/>
                <w:b/>
                <w:bCs/>
                <w:sz w:val="20"/>
                <w:szCs w:val="20"/>
              </w:rPr>
              <w:t>Page</w:t>
            </w:r>
          </w:p>
        </w:tc>
        <w:tc>
          <w:tcPr>
            <w:tcW w:w="1396" w:type="dxa"/>
            <w:noWrap/>
          </w:tcPr>
          <w:p w14:paraId="0C2C23B6" w14:textId="77777777" w:rsidR="00686E53" w:rsidRPr="00877903" w:rsidRDefault="00686E53" w:rsidP="00621B65">
            <w:r>
              <w:rPr>
                <w:rFonts w:ascii="Arial" w:hAnsi="Arial" w:cs="Arial"/>
                <w:b/>
                <w:bCs/>
                <w:sz w:val="20"/>
                <w:szCs w:val="20"/>
              </w:rPr>
              <w:t>Sub-clause</w:t>
            </w:r>
          </w:p>
        </w:tc>
        <w:tc>
          <w:tcPr>
            <w:tcW w:w="716" w:type="dxa"/>
            <w:noWrap/>
          </w:tcPr>
          <w:p w14:paraId="1462BC6F" w14:textId="77777777" w:rsidR="00686E53" w:rsidRPr="00877903" w:rsidRDefault="00686E53" w:rsidP="00621B65">
            <w:r>
              <w:rPr>
                <w:rFonts w:ascii="Arial" w:hAnsi="Arial" w:cs="Arial"/>
                <w:b/>
                <w:bCs/>
                <w:sz w:val="20"/>
                <w:szCs w:val="20"/>
              </w:rPr>
              <w:t>Line #</w:t>
            </w:r>
          </w:p>
        </w:tc>
        <w:tc>
          <w:tcPr>
            <w:tcW w:w="3405" w:type="dxa"/>
          </w:tcPr>
          <w:p w14:paraId="2AE3B475" w14:textId="77777777" w:rsidR="00686E53" w:rsidRPr="00877903" w:rsidRDefault="00686E53" w:rsidP="00621B65">
            <w:r>
              <w:rPr>
                <w:rFonts w:ascii="Arial" w:hAnsi="Arial" w:cs="Arial"/>
                <w:b/>
                <w:bCs/>
                <w:sz w:val="20"/>
                <w:szCs w:val="20"/>
              </w:rPr>
              <w:t>Comment</w:t>
            </w:r>
          </w:p>
        </w:tc>
        <w:tc>
          <w:tcPr>
            <w:tcW w:w="3689" w:type="dxa"/>
          </w:tcPr>
          <w:p w14:paraId="7C8EC6F0" w14:textId="77777777" w:rsidR="00686E53" w:rsidRPr="00877903" w:rsidRDefault="00686E53" w:rsidP="00621B65">
            <w:r>
              <w:rPr>
                <w:rFonts w:ascii="Arial" w:hAnsi="Arial" w:cs="Arial"/>
                <w:b/>
                <w:bCs/>
                <w:sz w:val="20"/>
                <w:szCs w:val="20"/>
              </w:rPr>
              <w:t>Proposed Change</w:t>
            </w:r>
          </w:p>
        </w:tc>
      </w:tr>
      <w:tr w:rsidR="0065046A" w:rsidRPr="00877903" w14:paraId="0883A3BD" w14:textId="77777777" w:rsidTr="0065046A">
        <w:trPr>
          <w:trHeight w:val="510"/>
        </w:trPr>
        <w:tc>
          <w:tcPr>
            <w:tcW w:w="889" w:type="dxa"/>
          </w:tcPr>
          <w:p w14:paraId="6FB063F0" w14:textId="3A2ECF86" w:rsidR="0065046A" w:rsidRPr="006422D5" w:rsidRDefault="0065046A" w:rsidP="0065046A">
            <w:pPr>
              <w:rPr>
                <w:b/>
                <w:bCs/>
              </w:rPr>
            </w:pPr>
            <w:r w:rsidRPr="00877903">
              <w:t>94</w:t>
            </w:r>
          </w:p>
        </w:tc>
        <w:tc>
          <w:tcPr>
            <w:tcW w:w="695" w:type="dxa"/>
            <w:noWrap/>
          </w:tcPr>
          <w:p w14:paraId="5CF6E28D" w14:textId="30DC21AB" w:rsidR="0065046A" w:rsidRDefault="0065046A" w:rsidP="0065046A">
            <w:pPr>
              <w:rPr>
                <w:rFonts w:ascii="Arial" w:hAnsi="Arial" w:cs="Arial"/>
                <w:b/>
                <w:bCs/>
                <w:sz w:val="20"/>
                <w:szCs w:val="20"/>
              </w:rPr>
            </w:pPr>
            <w:r w:rsidRPr="00877903">
              <w:t>95</w:t>
            </w:r>
          </w:p>
        </w:tc>
        <w:tc>
          <w:tcPr>
            <w:tcW w:w="1396" w:type="dxa"/>
            <w:noWrap/>
          </w:tcPr>
          <w:p w14:paraId="065E1883" w14:textId="08047CBC" w:rsidR="0065046A" w:rsidRDefault="0065046A" w:rsidP="0065046A">
            <w:pPr>
              <w:rPr>
                <w:rFonts w:ascii="Arial" w:hAnsi="Arial" w:cs="Arial"/>
                <w:b/>
                <w:bCs/>
                <w:sz w:val="20"/>
                <w:szCs w:val="20"/>
              </w:rPr>
            </w:pPr>
            <w:r w:rsidRPr="00877903">
              <w:t>10.39.11.1.2.1</w:t>
            </w:r>
          </w:p>
        </w:tc>
        <w:tc>
          <w:tcPr>
            <w:tcW w:w="716" w:type="dxa"/>
            <w:noWrap/>
          </w:tcPr>
          <w:p w14:paraId="62DF1289" w14:textId="2F31E315" w:rsidR="0065046A" w:rsidRDefault="0065046A" w:rsidP="0065046A">
            <w:pPr>
              <w:rPr>
                <w:rFonts w:ascii="Arial" w:hAnsi="Arial" w:cs="Arial"/>
                <w:b/>
                <w:bCs/>
                <w:sz w:val="20"/>
                <w:szCs w:val="20"/>
              </w:rPr>
            </w:pPr>
            <w:r w:rsidRPr="00877903">
              <w:t>35</w:t>
            </w:r>
          </w:p>
        </w:tc>
        <w:tc>
          <w:tcPr>
            <w:tcW w:w="3405" w:type="dxa"/>
          </w:tcPr>
          <w:p w14:paraId="22D6ED69" w14:textId="27E16B9B" w:rsidR="0065046A" w:rsidRDefault="0065046A" w:rsidP="0065046A">
            <w:pPr>
              <w:rPr>
                <w:rFonts w:ascii="Arial" w:hAnsi="Arial" w:cs="Arial"/>
                <w:b/>
                <w:bCs/>
                <w:sz w:val="20"/>
                <w:szCs w:val="20"/>
              </w:rPr>
            </w:pPr>
            <w:r w:rsidRPr="00877903">
              <w:t xml:space="preserve">This method does not allow cryptographic algorithm agility, i.e., changing the algorithms in the future. </w:t>
            </w:r>
          </w:p>
        </w:tc>
        <w:tc>
          <w:tcPr>
            <w:tcW w:w="3689" w:type="dxa"/>
          </w:tcPr>
          <w:p w14:paraId="2A5E8E3E" w14:textId="0DE9DE05" w:rsidR="0065046A" w:rsidRDefault="0065046A" w:rsidP="0065046A">
            <w:pPr>
              <w:rPr>
                <w:rFonts w:ascii="Arial" w:hAnsi="Arial" w:cs="Arial"/>
                <w:b/>
                <w:bCs/>
                <w:sz w:val="20"/>
                <w:szCs w:val="20"/>
              </w:rPr>
            </w:pPr>
            <w:r w:rsidRPr="00877903">
              <w:t>Include a method to specify secAeadAlgorithm as specified in the Table 9-9.</w:t>
            </w:r>
          </w:p>
        </w:tc>
      </w:tr>
    </w:tbl>
    <w:p w14:paraId="3D87FB9D" w14:textId="77777777" w:rsidR="00686E53" w:rsidRDefault="00686E53" w:rsidP="00686E53"/>
    <w:p w14:paraId="6427B342" w14:textId="0F785E00" w:rsidR="0065046A" w:rsidRDefault="0065046A" w:rsidP="00686E53">
      <w:r>
        <w:t>Proposed resolution: Rejected</w:t>
      </w:r>
    </w:p>
    <w:p w14:paraId="2964CFCA" w14:textId="77777777" w:rsidR="0065046A" w:rsidRDefault="0065046A" w:rsidP="00686E53">
      <w:r>
        <w:t xml:space="preserve">Resolution detail:  The comment does not provide sufficient information for the group to make a specific change to the draft amendment.   </w:t>
      </w:r>
    </w:p>
    <w:p w14:paraId="774CC272" w14:textId="2B9E8D45" w:rsidR="0065046A" w:rsidRPr="00686E53" w:rsidRDefault="0065046A" w:rsidP="00686E53">
      <w:r>
        <w:t xml:space="preserve">Discussion: The current draft provides one method for generating the RPA hash.  The comment correctly observes that only AES-128 is specified in the draft for RPA Hash generation.  While there may be value in providing alternative methods, none are provided with the comment and there have been no technical contributions that would provide an the complete text to add an alternative method. </w:t>
      </w:r>
    </w:p>
    <w:p w14:paraId="2557DCD3" w14:textId="59564538" w:rsidR="00693090" w:rsidRDefault="00E63716" w:rsidP="00AB3F69">
      <w:pPr>
        <w:pStyle w:val="Heading1"/>
      </w:pPr>
      <w:r>
        <w:t>Proposed resolution detail</w:t>
      </w:r>
      <w:r w:rsidRPr="00E63716">
        <w:t xml:space="preserve"> 253</w:t>
      </w:r>
    </w:p>
    <w:tbl>
      <w:tblPr>
        <w:tblStyle w:val="TableGrid"/>
        <w:tblW w:w="0" w:type="auto"/>
        <w:tblLook w:val="04A0" w:firstRow="1" w:lastRow="0" w:firstColumn="1" w:lastColumn="0" w:noHBand="0" w:noVBand="1"/>
      </w:tblPr>
      <w:tblGrid>
        <w:gridCol w:w="889"/>
        <w:gridCol w:w="695"/>
        <w:gridCol w:w="1396"/>
        <w:gridCol w:w="716"/>
        <w:gridCol w:w="3405"/>
        <w:gridCol w:w="3689"/>
      </w:tblGrid>
      <w:tr w:rsidR="00686E53" w:rsidRPr="00877903" w14:paraId="135910C8" w14:textId="77777777" w:rsidTr="0065046A">
        <w:trPr>
          <w:trHeight w:val="510"/>
        </w:trPr>
        <w:tc>
          <w:tcPr>
            <w:tcW w:w="889" w:type="dxa"/>
          </w:tcPr>
          <w:p w14:paraId="0B453347" w14:textId="77777777" w:rsidR="00686E53" w:rsidRPr="006422D5" w:rsidRDefault="00686E53" w:rsidP="00621B65">
            <w:pPr>
              <w:rPr>
                <w:b/>
                <w:bCs/>
              </w:rPr>
            </w:pPr>
            <w:r w:rsidRPr="006422D5">
              <w:rPr>
                <w:b/>
                <w:bCs/>
              </w:rPr>
              <w:t>Index #</w:t>
            </w:r>
          </w:p>
        </w:tc>
        <w:tc>
          <w:tcPr>
            <w:tcW w:w="695" w:type="dxa"/>
            <w:noWrap/>
          </w:tcPr>
          <w:p w14:paraId="78CCEC21" w14:textId="77777777" w:rsidR="00686E53" w:rsidRPr="00877903" w:rsidRDefault="00686E53" w:rsidP="00621B65">
            <w:r>
              <w:rPr>
                <w:rFonts w:ascii="Arial" w:hAnsi="Arial" w:cs="Arial"/>
                <w:b/>
                <w:bCs/>
                <w:sz w:val="20"/>
                <w:szCs w:val="20"/>
              </w:rPr>
              <w:t>Page</w:t>
            </w:r>
          </w:p>
        </w:tc>
        <w:tc>
          <w:tcPr>
            <w:tcW w:w="1396" w:type="dxa"/>
            <w:noWrap/>
          </w:tcPr>
          <w:p w14:paraId="688B96D0" w14:textId="77777777" w:rsidR="00686E53" w:rsidRPr="00877903" w:rsidRDefault="00686E53" w:rsidP="00621B65">
            <w:r>
              <w:rPr>
                <w:rFonts w:ascii="Arial" w:hAnsi="Arial" w:cs="Arial"/>
                <w:b/>
                <w:bCs/>
                <w:sz w:val="20"/>
                <w:szCs w:val="20"/>
              </w:rPr>
              <w:t>Sub-clause</w:t>
            </w:r>
          </w:p>
        </w:tc>
        <w:tc>
          <w:tcPr>
            <w:tcW w:w="716" w:type="dxa"/>
            <w:noWrap/>
          </w:tcPr>
          <w:p w14:paraId="4E2587E6" w14:textId="77777777" w:rsidR="00686E53" w:rsidRPr="00877903" w:rsidRDefault="00686E53" w:rsidP="00621B65">
            <w:r>
              <w:rPr>
                <w:rFonts w:ascii="Arial" w:hAnsi="Arial" w:cs="Arial"/>
                <w:b/>
                <w:bCs/>
                <w:sz w:val="20"/>
                <w:szCs w:val="20"/>
              </w:rPr>
              <w:t>Line #</w:t>
            </w:r>
          </w:p>
        </w:tc>
        <w:tc>
          <w:tcPr>
            <w:tcW w:w="3405" w:type="dxa"/>
          </w:tcPr>
          <w:p w14:paraId="10DB5055" w14:textId="77777777" w:rsidR="00686E53" w:rsidRPr="00877903" w:rsidRDefault="00686E53" w:rsidP="00621B65">
            <w:r>
              <w:rPr>
                <w:rFonts w:ascii="Arial" w:hAnsi="Arial" w:cs="Arial"/>
                <w:b/>
                <w:bCs/>
                <w:sz w:val="20"/>
                <w:szCs w:val="20"/>
              </w:rPr>
              <w:t>Comment</w:t>
            </w:r>
          </w:p>
        </w:tc>
        <w:tc>
          <w:tcPr>
            <w:tcW w:w="3689" w:type="dxa"/>
          </w:tcPr>
          <w:p w14:paraId="48A5952F" w14:textId="77777777" w:rsidR="00686E53" w:rsidRPr="00877903" w:rsidRDefault="00686E53" w:rsidP="00621B65">
            <w:r>
              <w:rPr>
                <w:rFonts w:ascii="Arial" w:hAnsi="Arial" w:cs="Arial"/>
                <w:b/>
                <w:bCs/>
                <w:sz w:val="20"/>
                <w:szCs w:val="20"/>
              </w:rPr>
              <w:t>Proposed Change</w:t>
            </w:r>
          </w:p>
        </w:tc>
      </w:tr>
      <w:tr w:rsidR="0065046A" w:rsidRPr="00877903" w14:paraId="789B02C4" w14:textId="77777777" w:rsidTr="0065046A">
        <w:trPr>
          <w:trHeight w:val="510"/>
        </w:trPr>
        <w:tc>
          <w:tcPr>
            <w:tcW w:w="889" w:type="dxa"/>
          </w:tcPr>
          <w:p w14:paraId="288C7505" w14:textId="4ABF99BB" w:rsidR="0065046A" w:rsidRPr="006422D5" w:rsidRDefault="0065046A" w:rsidP="0065046A">
            <w:pPr>
              <w:rPr>
                <w:b/>
                <w:bCs/>
              </w:rPr>
            </w:pPr>
            <w:r w:rsidRPr="00877903">
              <w:t>253</w:t>
            </w:r>
          </w:p>
        </w:tc>
        <w:tc>
          <w:tcPr>
            <w:tcW w:w="695" w:type="dxa"/>
            <w:noWrap/>
          </w:tcPr>
          <w:p w14:paraId="2F721410" w14:textId="33798615" w:rsidR="0065046A" w:rsidRDefault="0065046A" w:rsidP="0065046A">
            <w:pPr>
              <w:rPr>
                <w:rFonts w:ascii="Arial" w:hAnsi="Arial" w:cs="Arial"/>
                <w:b/>
                <w:bCs/>
                <w:sz w:val="20"/>
                <w:szCs w:val="20"/>
              </w:rPr>
            </w:pPr>
            <w:r w:rsidRPr="00877903">
              <w:t>202</w:t>
            </w:r>
          </w:p>
        </w:tc>
        <w:tc>
          <w:tcPr>
            <w:tcW w:w="1396" w:type="dxa"/>
            <w:noWrap/>
          </w:tcPr>
          <w:p w14:paraId="46787C15" w14:textId="5819A3BA" w:rsidR="0065046A" w:rsidRDefault="0065046A" w:rsidP="0065046A">
            <w:pPr>
              <w:rPr>
                <w:rFonts w:ascii="Arial" w:hAnsi="Arial" w:cs="Arial"/>
                <w:b/>
                <w:bCs/>
                <w:sz w:val="20"/>
                <w:szCs w:val="20"/>
              </w:rPr>
            </w:pPr>
            <w:r w:rsidRPr="00877903">
              <w:t>11.1.4</w:t>
            </w:r>
          </w:p>
        </w:tc>
        <w:tc>
          <w:tcPr>
            <w:tcW w:w="716" w:type="dxa"/>
            <w:noWrap/>
          </w:tcPr>
          <w:p w14:paraId="173D1C68" w14:textId="6AAAF713" w:rsidR="0065046A" w:rsidRDefault="0065046A" w:rsidP="0065046A">
            <w:pPr>
              <w:rPr>
                <w:rFonts w:ascii="Arial" w:hAnsi="Arial" w:cs="Arial"/>
                <w:b/>
                <w:bCs/>
                <w:sz w:val="20"/>
                <w:szCs w:val="20"/>
              </w:rPr>
            </w:pPr>
            <w:r w:rsidRPr="00877903">
              <w:t>4</w:t>
            </w:r>
          </w:p>
        </w:tc>
        <w:tc>
          <w:tcPr>
            <w:tcW w:w="3405" w:type="dxa"/>
          </w:tcPr>
          <w:p w14:paraId="1E776F0A" w14:textId="3BD5924F" w:rsidR="0065046A" w:rsidRDefault="0065046A" w:rsidP="0065046A">
            <w:pPr>
              <w:rPr>
                <w:rFonts w:ascii="Arial" w:hAnsi="Arial" w:cs="Arial"/>
                <w:b/>
                <w:bCs/>
                <w:sz w:val="20"/>
                <w:szCs w:val="20"/>
              </w:rPr>
            </w:pPr>
            <w:r w:rsidRPr="00877903">
              <w:t>The macLifsPeriod timing is not well defined. The value of 28 preamble symbol offset from Aifs needs to be better studied and the unit also needs to be updated.</w:t>
            </w:r>
          </w:p>
        </w:tc>
        <w:tc>
          <w:tcPr>
            <w:tcW w:w="3689" w:type="dxa"/>
          </w:tcPr>
          <w:p w14:paraId="66EBA161" w14:textId="0B5AA496" w:rsidR="0065046A" w:rsidRDefault="0065046A" w:rsidP="0065046A">
            <w:pPr>
              <w:rPr>
                <w:rFonts w:ascii="Arial" w:hAnsi="Arial" w:cs="Arial"/>
                <w:b/>
                <w:bCs/>
                <w:sz w:val="20"/>
                <w:szCs w:val="20"/>
              </w:rPr>
            </w:pPr>
            <w:r w:rsidRPr="00877903">
              <w:t>Update the 28 preamble symbol offset in the Lifs t to a number that is acceptable for different implementers in the group.</w:t>
            </w:r>
          </w:p>
        </w:tc>
      </w:tr>
    </w:tbl>
    <w:p w14:paraId="04DC1CB0" w14:textId="77777777" w:rsidR="00686E53" w:rsidRPr="00686E53" w:rsidRDefault="00686E53" w:rsidP="00686E53"/>
    <w:p w14:paraId="4CDBEC69" w14:textId="003D1338" w:rsidR="006D6931" w:rsidRDefault="003E279B" w:rsidP="006D6931">
      <w:r>
        <w:t xml:space="preserve">Resolution: </w:t>
      </w:r>
      <w:r w:rsidR="001F5F9F">
        <w:t>Revised</w:t>
      </w:r>
    </w:p>
    <w:p w14:paraId="777F0091" w14:textId="3685823C" w:rsidR="003E279B" w:rsidRDefault="003E279B" w:rsidP="001F5F9F">
      <w:r>
        <w:t xml:space="preserve">Resolution detail:  </w:t>
      </w:r>
      <w:r w:rsidR="001F5F9F">
        <w:t xml:space="preserve"> </w:t>
      </w:r>
    </w:p>
    <w:p w14:paraId="72EF9465" w14:textId="6EE746EB" w:rsidR="00C81E6F" w:rsidRDefault="001F5F9F" w:rsidP="001F5F9F">
      <w:r w:rsidRPr="001F5F9F">
        <w:t>Change "+28" to "+</w:t>
      </w:r>
      <w:r w:rsidRPr="001F5F9F">
        <w:rPr>
          <w:i/>
          <w:iCs/>
        </w:rPr>
        <w:t>macHrpUwbSifsOffset</w:t>
      </w:r>
      <w:r w:rsidRPr="001F5F9F">
        <w:t>"</w:t>
      </w:r>
      <w:r>
        <w:t>;  add attribute</w:t>
      </w:r>
      <w:r w:rsidR="00065862">
        <w:t xml:space="preserve"> </w:t>
      </w:r>
      <w:r w:rsidR="00065862" w:rsidRPr="00C81E6F">
        <w:rPr>
          <w:i/>
          <w:iCs/>
        </w:rPr>
        <w:t>macHrpUwbSifsOffset</w:t>
      </w:r>
      <w:r>
        <w:t xml:space="preserve"> to </w:t>
      </w:r>
      <w:r w:rsidRPr="001F5F9F">
        <w:t>Table 8-36</w:t>
      </w:r>
      <w:r w:rsidR="00C81E6F">
        <w:t xml:space="preserve"> as read only:</w:t>
      </w:r>
    </w:p>
    <w:tbl>
      <w:tblPr>
        <w:tblStyle w:val="TableGrid"/>
        <w:tblW w:w="0" w:type="auto"/>
        <w:tblLook w:val="04A0" w:firstRow="1" w:lastRow="0" w:firstColumn="1" w:lastColumn="0" w:noHBand="0" w:noVBand="1"/>
      </w:tblPr>
      <w:tblGrid>
        <w:gridCol w:w="2178"/>
        <w:gridCol w:w="877"/>
        <w:gridCol w:w="1260"/>
        <w:gridCol w:w="5130"/>
        <w:gridCol w:w="1345"/>
      </w:tblGrid>
      <w:tr w:rsidR="00C81E6F" w14:paraId="4E7E1E9E" w14:textId="77777777" w:rsidTr="00C81E6F">
        <w:tc>
          <w:tcPr>
            <w:tcW w:w="2178" w:type="dxa"/>
          </w:tcPr>
          <w:p w14:paraId="3B845222" w14:textId="108D70F0" w:rsidR="00C81E6F" w:rsidRPr="00C81E6F" w:rsidRDefault="00C81E6F" w:rsidP="00C81E6F">
            <w:pPr>
              <w:jc w:val="center"/>
              <w:rPr>
                <w:b/>
                <w:bCs/>
              </w:rPr>
            </w:pPr>
            <w:r w:rsidRPr="00C81E6F">
              <w:rPr>
                <w:b/>
                <w:bCs/>
              </w:rPr>
              <w:t>Attribute</w:t>
            </w:r>
          </w:p>
        </w:tc>
        <w:tc>
          <w:tcPr>
            <w:tcW w:w="877" w:type="dxa"/>
          </w:tcPr>
          <w:p w14:paraId="5E4FAA82" w14:textId="0FB13CFD" w:rsidR="00C81E6F" w:rsidRPr="00C81E6F" w:rsidRDefault="00C81E6F" w:rsidP="00C81E6F">
            <w:pPr>
              <w:jc w:val="center"/>
              <w:rPr>
                <w:b/>
                <w:bCs/>
              </w:rPr>
            </w:pPr>
            <w:r w:rsidRPr="00C81E6F">
              <w:rPr>
                <w:b/>
                <w:bCs/>
              </w:rPr>
              <w:t>Type</w:t>
            </w:r>
          </w:p>
        </w:tc>
        <w:tc>
          <w:tcPr>
            <w:tcW w:w="1260" w:type="dxa"/>
          </w:tcPr>
          <w:p w14:paraId="314D13FF" w14:textId="1B24FFB3" w:rsidR="00C81E6F" w:rsidRPr="00C81E6F" w:rsidRDefault="00C81E6F" w:rsidP="00C81E6F">
            <w:pPr>
              <w:jc w:val="center"/>
              <w:rPr>
                <w:b/>
                <w:bCs/>
              </w:rPr>
            </w:pPr>
            <w:r w:rsidRPr="00C81E6F">
              <w:rPr>
                <w:b/>
                <w:bCs/>
              </w:rPr>
              <w:t>Range</w:t>
            </w:r>
          </w:p>
        </w:tc>
        <w:tc>
          <w:tcPr>
            <w:tcW w:w="5130" w:type="dxa"/>
          </w:tcPr>
          <w:p w14:paraId="7504DE26" w14:textId="500E9C9C" w:rsidR="00C81E6F" w:rsidRPr="00C81E6F" w:rsidRDefault="00C81E6F" w:rsidP="00C81E6F">
            <w:pPr>
              <w:jc w:val="center"/>
              <w:rPr>
                <w:b/>
                <w:bCs/>
              </w:rPr>
            </w:pPr>
            <w:r w:rsidRPr="00C81E6F">
              <w:rPr>
                <w:b/>
                <w:bCs/>
              </w:rPr>
              <w:t>Description</w:t>
            </w:r>
          </w:p>
        </w:tc>
        <w:tc>
          <w:tcPr>
            <w:tcW w:w="1345" w:type="dxa"/>
          </w:tcPr>
          <w:p w14:paraId="56CB40B4" w14:textId="7D5D413A" w:rsidR="00C81E6F" w:rsidRPr="00C81E6F" w:rsidRDefault="00C81E6F" w:rsidP="00C81E6F">
            <w:pPr>
              <w:jc w:val="center"/>
              <w:rPr>
                <w:b/>
                <w:bCs/>
              </w:rPr>
            </w:pPr>
            <w:r w:rsidRPr="00C81E6F">
              <w:rPr>
                <w:b/>
                <w:bCs/>
              </w:rPr>
              <w:t>Default</w:t>
            </w:r>
          </w:p>
        </w:tc>
      </w:tr>
      <w:tr w:rsidR="00C81E6F" w14:paraId="346235C2" w14:textId="77777777" w:rsidTr="00C81E6F">
        <w:tc>
          <w:tcPr>
            <w:tcW w:w="2178" w:type="dxa"/>
          </w:tcPr>
          <w:p w14:paraId="1820007C" w14:textId="4908BB45" w:rsidR="00C81E6F" w:rsidRPr="00C81E6F" w:rsidRDefault="00C81E6F" w:rsidP="001F5F9F">
            <w:pPr>
              <w:rPr>
                <w:i/>
                <w:iCs/>
              </w:rPr>
            </w:pPr>
            <w:r w:rsidRPr="00C81E6F">
              <w:rPr>
                <w:i/>
                <w:iCs/>
              </w:rPr>
              <w:t>macHrpUwbSifsOffset</w:t>
            </w:r>
          </w:p>
        </w:tc>
        <w:tc>
          <w:tcPr>
            <w:tcW w:w="877" w:type="dxa"/>
          </w:tcPr>
          <w:p w14:paraId="1EBF5304" w14:textId="73834236" w:rsidR="00C81E6F" w:rsidRPr="00C81E6F" w:rsidRDefault="00C81E6F" w:rsidP="001F5F9F">
            <w:r>
              <w:t>Integer</w:t>
            </w:r>
          </w:p>
        </w:tc>
        <w:tc>
          <w:tcPr>
            <w:tcW w:w="1260" w:type="dxa"/>
          </w:tcPr>
          <w:p w14:paraId="2CE07C3F" w14:textId="2B97C9BC" w:rsidR="00C81E6F" w:rsidRDefault="00C81E6F" w:rsidP="001F5F9F">
            <w:r>
              <w:t>1 – 255</w:t>
            </w:r>
          </w:p>
        </w:tc>
        <w:tc>
          <w:tcPr>
            <w:tcW w:w="5130" w:type="dxa"/>
          </w:tcPr>
          <w:p w14:paraId="241BD385" w14:textId="15D0E6E6" w:rsidR="00C81E6F" w:rsidRDefault="00C81E6F" w:rsidP="00C81E6F">
            <w:r>
              <w:t xml:space="preserve">Offset added to the </w:t>
            </w:r>
            <w:r>
              <w:t xml:space="preserve">minimum LIFS period </w:t>
            </w:r>
          </w:p>
          <w:p w14:paraId="3B0B54C7" w14:textId="75C594FC" w:rsidR="00C81E6F" w:rsidRPr="00C81E6F" w:rsidRDefault="00C81E6F" w:rsidP="00C81E6F">
            <w:r>
              <w:t xml:space="preserve">For an </w:t>
            </w:r>
            <w:r>
              <w:t>HRP-EMDEV</w:t>
            </w:r>
            <w:r>
              <w:t xml:space="preserve"> to assure that the </w:t>
            </w:r>
            <w:r w:rsidRPr="001F5F9F">
              <w:t xml:space="preserve">SIFS&lt;=AIFS&lt;LIFS </w:t>
            </w:r>
            <w:r>
              <w:t>condition  is met.  The value is implementation dependent.</w:t>
            </w:r>
          </w:p>
        </w:tc>
        <w:tc>
          <w:tcPr>
            <w:tcW w:w="1345" w:type="dxa"/>
          </w:tcPr>
          <w:p w14:paraId="3CC0329B" w14:textId="3A2EFEA5" w:rsidR="00C81E6F" w:rsidRPr="00C81E6F" w:rsidRDefault="00C81E6F" w:rsidP="001F5F9F">
            <w:r>
              <w:t>NA</w:t>
            </w:r>
          </w:p>
        </w:tc>
      </w:tr>
    </w:tbl>
    <w:p w14:paraId="71F7C682" w14:textId="6F0532A3" w:rsidR="001F5F9F" w:rsidRDefault="001F5F9F" w:rsidP="001F5F9F"/>
    <w:p w14:paraId="77B4520B" w14:textId="1D5891AE" w:rsidR="003E279B" w:rsidRDefault="003E279B" w:rsidP="006D6931">
      <w:r>
        <w:t xml:space="preserve">Discussion:   </w:t>
      </w:r>
      <w:r w:rsidR="001F5F9F">
        <w:t>After further evaluation, a better approach is to specify</w:t>
      </w:r>
      <w:r w:rsidR="001F5F9F" w:rsidRPr="001F5F9F">
        <w:t xml:space="preserve"> an offset that can be implementation dependent</w:t>
      </w:r>
      <w:r w:rsidR="001F5F9F">
        <w:t xml:space="preserve"> via an additional MAC PIB attribute. </w:t>
      </w:r>
      <w:r w:rsidR="001F5F9F" w:rsidRPr="001F5F9F">
        <w:t xml:space="preserve">.  Change "+28" to "+macHrpUwbSifsOffset" and define </w:t>
      </w:r>
      <w:r w:rsidR="001F5F9F">
        <w:t>the new attribute</w:t>
      </w:r>
      <w:r w:rsidR="001F5F9F" w:rsidRPr="001F5F9F">
        <w:t xml:space="preserve"> either as read write</w:t>
      </w:r>
      <w:r w:rsidR="001F5F9F">
        <w:t>, implementation dependent</w:t>
      </w:r>
      <w:r w:rsidR="001F5F9F" w:rsidRPr="001F5F9F">
        <w:t xml:space="preserve">. </w:t>
      </w:r>
      <w:r w:rsidR="001F5F9F">
        <w:t>The</w:t>
      </w:r>
      <w:r w:rsidR="001F5F9F" w:rsidRPr="001F5F9F">
        <w:t xml:space="preserve"> minimum value</w:t>
      </w:r>
      <w:r w:rsidR="001F5F9F">
        <w:t xml:space="preserve"> must</w:t>
      </w:r>
      <w:r w:rsidR="001F5F9F" w:rsidRPr="001F5F9F">
        <w:t xml:space="preserve"> meet the relationship that SIFS&lt;=AIFS&lt;LIFS (a minimum of 1 would do it).  </w:t>
      </w:r>
    </w:p>
    <w:p w14:paraId="7E94EB74" w14:textId="77777777" w:rsidR="006D6931" w:rsidRPr="006D6931" w:rsidRDefault="006D6931" w:rsidP="006D6931"/>
    <w:p w14:paraId="2CD5B699" w14:textId="70AAA058" w:rsidR="00AB3F69" w:rsidRDefault="00AB3F69" w:rsidP="00AB3F69"/>
    <w:sectPr w:rsidR="00AB3F69" w:rsidSect="0028722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903C" w14:textId="77777777" w:rsidR="002B68C0" w:rsidRDefault="002B68C0" w:rsidP="00FB0AC0">
      <w:pPr>
        <w:spacing w:after="0" w:line="240" w:lineRule="auto"/>
      </w:pPr>
      <w:r>
        <w:separator/>
      </w:r>
    </w:p>
  </w:endnote>
  <w:endnote w:type="continuationSeparator" w:id="0">
    <w:p w14:paraId="6BF883C0" w14:textId="77777777" w:rsidR="002B68C0" w:rsidRDefault="002B68C0" w:rsidP="00FB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EDD2" w14:textId="7F449C44" w:rsidR="004D1052" w:rsidRPr="0068460F" w:rsidRDefault="004D1052" w:rsidP="00FB0AC0">
    <w:pPr>
      <w:widowControl w:val="0"/>
      <w:pBdr>
        <w:top w:val="single" w:sz="6" w:space="0" w:color="auto"/>
      </w:pBdr>
      <w:tabs>
        <w:tab w:val="center" w:pos="4680"/>
        <w:tab w:val="right" w:pos="9360"/>
      </w:tabs>
      <w:spacing w:after="0" w:line="240" w:lineRule="auto"/>
      <w:rPr>
        <w:rFonts w:ascii="Times New Roman" w:eastAsia="Times New Roman" w:hAnsi="Times New Roman" w:cs="Times New Roman"/>
        <w:sz w:val="24"/>
        <w:szCs w:val="24"/>
        <w:lang w:val="fr-CA"/>
      </w:rPr>
    </w:pPr>
    <w:r w:rsidRPr="0068460F">
      <w:rPr>
        <w:rFonts w:ascii="Times New Roman" w:eastAsia="Times New Roman" w:hAnsi="Times New Roman" w:cs="Times New Roman"/>
        <w:sz w:val="24"/>
        <w:szCs w:val="20"/>
        <w:lang w:val="fr-CA"/>
      </w:rPr>
      <w:t>Submission</w:t>
    </w:r>
    <w:r w:rsidRPr="0068460F">
      <w:rPr>
        <w:rFonts w:ascii="Times New Roman" w:eastAsia="Times New Roman" w:hAnsi="Times New Roman" w:cs="Times New Roman"/>
        <w:sz w:val="24"/>
        <w:szCs w:val="20"/>
        <w:lang w:val="fr-CA"/>
      </w:rPr>
      <w:tab/>
      <w:t xml:space="preserve">Page </w:t>
    </w:r>
    <w:r w:rsidRPr="00FB0AC0">
      <w:rPr>
        <w:rFonts w:ascii="Times New Roman" w:eastAsia="Times New Roman" w:hAnsi="Times New Roman" w:cs="Times New Roman"/>
        <w:sz w:val="24"/>
        <w:szCs w:val="20"/>
      </w:rPr>
      <w:pgNum/>
    </w:r>
    <w:r w:rsidRPr="0068460F">
      <w:rPr>
        <w:rFonts w:ascii="Times New Roman" w:eastAsia="Times New Roman" w:hAnsi="Times New Roman" w:cs="Times New Roman"/>
        <w:sz w:val="24"/>
        <w:szCs w:val="20"/>
        <w:lang w:val="fr-CA"/>
      </w:rPr>
      <w:tab/>
      <w:t xml:space="preserve">Benjamin A. Rolfe (BCA, et al) </w:t>
    </w:r>
  </w:p>
  <w:p w14:paraId="1649B78C" w14:textId="0484EBB3" w:rsidR="004D1052" w:rsidRPr="0068460F" w:rsidRDefault="004D1052">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4B58" w14:textId="77777777" w:rsidR="002B68C0" w:rsidRDefault="002B68C0" w:rsidP="00FB0AC0">
      <w:pPr>
        <w:spacing w:after="0" w:line="240" w:lineRule="auto"/>
      </w:pPr>
      <w:r>
        <w:separator/>
      </w:r>
    </w:p>
  </w:footnote>
  <w:footnote w:type="continuationSeparator" w:id="0">
    <w:p w14:paraId="15B688B4" w14:textId="77777777" w:rsidR="002B68C0" w:rsidRDefault="002B68C0" w:rsidP="00FB0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0993" w14:textId="060178AD" w:rsidR="004D1052" w:rsidRPr="00FB0AC0" w:rsidRDefault="00DD47B1" w:rsidP="00FB0AC0">
    <w:pPr>
      <w:pStyle w:val="Header"/>
      <w:widowControl w:val="0"/>
      <w:pBdr>
        <w:bottom w:val="single" w:sz="6" w:space="0" w:color="auto"/>
        <w:between w:val="single" w:sz="6" w:space="0" w:color="auto"/>
      </w:pBdr>
      <w:tabs>
        <w:tab w:val="right" w:pos="9270"/>
      </w:tabs>
      <w:spacing w:after="360"/>
      <w:jc w:val="both"/>
      <w:rPr>
        <w:rFonts w:ascii="Times New Roman" w:hAnsi="Times New Roman" w:cs="Times New Roman"/>
        <w:b/>
        <w:sz w:val="28"/>
      </w:rPr>
    </w:pPr>
    <w:r>
      <w:rPr>
        <w:rFonts w:ascii="Times New Roman" w:hAnsi="Times New Roman" w:cs="Times New Roman"/>
        <w:b/>
        <w:sz w:val="28"/>
      </w:rPr>
      <w:t>Sept</w:t>
    </w:r>
    <w:r w:rsidR="00287220">
      <w:rPr>
        <w:rFonts w:ascii="Times New Roman" w:hAnsi="Times New Roman" w:cs="Times New Roman"/>
        <w:b/>
        <w:sz w:val="28"/>
      </w:rPr>
      <w:t xml:space="preserve"> 2025</w:t>
    </w:r>
    <w:r w:rsidR="004D1052" w:rsidRPr="00FB0AC0">
      <w:rPr>
        <w:rFonts w:ascii="Times New Roman" w:hAnsi="Times New Roman" w:cs="Times New Roman"/>
        <w:b/>
        <w:sz w:val="28"/>
      </w:rPr>
      <w:tab/>
      <w:t xml:space="preserve"> </w:t>
    </w:r>
    <w:r w:rsidR="004D1052" w:rsidRPr="00FB0AC0">
      <w:rPr>
        <w:rFonts w:ascii="Times New Roman" w:hAnsi="Times New Roman" w:cs="Times New Roman"/>
        <w:b/>
        <w:sz w:val="28"/>
      </w:rPr>
      <w:tab/>
      <w:t>Doc: IEEE 15-</w:t>
    </w:r>
    <w:r w:rsidR="00287220">
      <w:rPr>
        <w:rFonts w:ascii="Times New Roman" w:hAnsi="Times New Roman" w:cs="Times New Roman"/>
        <w:b/>
        <w:sz w:val="28"/>
      </w:rPr>
      <w:t>25-</w:t>
    </w:r>
    <w:r w:rsidR="00AB3F69" w:rsidRPr="00AB3F69">
      <w:t xml:space="preserve"> </w:t>
    </w:r>
    <w:r>
      <w:rPr>
        <w:rFonts w:ascii="Times New Roman" w:hAnsi="Times New Roman" w:cs="Times New Roman"/>
        <w:b/>
        <w:sz w:val="28"/>
      </w:rPr>
      <w:t>0477</w:t>
    </w:r>
    <w:r w:rsidR="00287220">
      <w:rPr>
        <w:rFonts w:ascii="Times New Roman" w:hAnsi="Times New Roman" w:cs="Times New Roman"/>
        <w:b/>
        <w:sz w:val="28"/>
      </w:rPr>
      <w:t>-0</w:t>
    </w:r>
    <w:r w:rsidR="00C84ED0">
      <w:rPr>
        <w:rFonts w:ascii="Times New Roman" w:hAnsi="Times New Roman" w:cs="Times New Roman"/>
        <w:b/>
        <w:sz w:val="28"/>
      </w:rPr>
      <w:t>1</w:t>
    </w:r>
    <w:r w:rsidR="004D1052" w:rsidRPr="00FB0AC0">
      <w:rPr>
        <w:rFonts w:ascii="Times New Roman" w:hAnsi="Times New Roman" w:cs="Times New Roman"/>
        <w:b/>
        <w:sz w:val="28"/>
      </w:rPr>
      <w:t>-04ab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363A"/>
    <w:multiLevelType w:val="hybridMultilevel"/>
    <w:tmpl w:val="1352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101FB"/>
    <w:multiLevelType w:val="hybridMultilevel"/>
    <w:tmpl w:val="68E47FB8"/>
    <w:lvl w:ilvl="0" w:tplc="18AA83D6">
      <w:start w:val="1"/>
      <w:numFmt w:val="bullet"/>
      <w:lvlText w:val="•"/>
      <w:lvlJc w:val="left"/>
      <w:pPr>
        <w:tabs>
          <w:tab w:val="num" w:pos="720"/>
        </w:tabs>
        <w:ind w:left="720" w:hanging="360"/>
      </w:pPr>
      <w:rPr>
        <w:rFonts w:ascii="Arial" w:hAnsi="Arial" w:hint="default"/>
      </w:rPr>
    </w:lvl>
    <w:lvl w:ilvl="1" w:tplc="49303D94">
      <w:numFmt w:val="bullet"/>
      <w:lvlText w:val="−"/>
      <w:lvlJc w:val="left"/>
      <w:pPr>
        <w:tabs>
          <w:tab w:val="num" w:pos="1440"/>
        </w:tabs>
        <w:ind w:left="1440" w:hanging="360"/>
      </w:pPr>
      <w:rPr>
        <w:rFonts w:ascii="Arial" w:hAnsi="Arial" w:hint="default"/>
      </w:rPr>
    </w:lvl>
    <w:lvl w:ilvl="2" w:tplc="A33CA34C" w:tentative="1">
      <w:start w:val="1"/>
      <w:numFmt w:val="bullet"/>
      <w:lvlText w:val="•"/>
      <w:lvlJc w:val="left"/>
      <w:pPr>
        <w:tabs>
          <w:tab w:val="num" w:pos="2160"/>
        </w:tabs>
        <w:ind w:left="2160" w:hanging="360"/>
      </w:pPr>
      <w:rPr>
        <w:rFonts w:ascii="Arial" w:hAnsi="Arial" w:hint="default"/>
      </w:rPr>
    </w:lvl>
    <w:lvl w:ilvl="3" w:tplc="35F094AE" w:tentative="1">
      <w:start w:val="1"/>
      <w:numFmt w:val="bullet"/>
      <w:lvlText w:val="•"/>
      <w:lvlJc w:val="left"/>
      <w:pPr>
        <w:tabs>
          <w:tab w:val="num" w:pos="2880"/>
        </w:tabs>
        <w:ind w:left="2880" w:hanging="360"/>
      </w:pPr>
      <w:rPr>
        <w:rFonts w:ascii="Arial" w:hAnsi="Arial" w:hint="default"/>
      </w:rPr>
    </w:lvl>
    <w:lvl w:ilvl="4" w:tplc="6F58F1F4" w:tentative="1">
      <w:start w:val="1"/>
      <w:numFmt w:val="bullet"/>
      <w:lvlText w:val="•"/>
      <w:lvlJc w:val="left"/>
      <w:pPr>
        <w:tabs>
          <w:tab w:val="num" w:pos="3600"/>
        </w:tabs>
        <w:ind w:left="3600" w:hanging="360"/>
      </w:pPr>
      <w:rPr>
        <w:rFonts w:ascii="Arial" w:hAnsi="Arial" w:hint="default"/>
      </w:rPr>
    </w:lvl>
    <w:lvl w:ilvl="5" w:tplc="CA2EF7AC" w:tentative="1">
      <w:start w:val="1"/>
      <w:numFmt w:val="bullet"/>
      <w:lvlText w:val="•"/>
      <w:lvlJc w:val="left"/>
      <w:pPr>
        <w:tabs>
          <w:tab w:val="num" w:pos="4320"/>
        </w:tabs>
        <w:ind w:left="4320" w:hanging="360"/>
      </w:pPr>
      <w:rPr>
        <w:rFonts w:ascii="Arial" w:hAnsi="Arial" w:hint="default"/>
      </w:rPr>
    </w:lvl>
    <w:lvl w:ilvl="6" w:tplc="2B744ABA" w:tentative="1">
      <w:start w:val="1"/>
      <w:numFmt w:val="bullet"/>
      <w:lvlText w:val="•"/>
      <w:lvlJc w:val="left"/>
      <w:pPr>
        <w:tabs>
          <w:tab w:val="num" w:pos="5040"/>
        </w:tabs>
        <w:ind w:left="5040" w:hanging="360"/>
      </w:pPr>
      <w:rPr>
        <w:rFonts w:ascii="Arial" w:hAnsi="Arial" w:hint="default"/>
      </w:rPr>
    </w:lvl>
    <w:lvl w:ilvl="7" w:tplc="360A800A" w:tentative="1">
      <w:start w:val="1"/>
      <w:numFmt w:val="bullet"/>
      <w:lvlText w:val="•"/>
      <w:lvlJc w:val="left"/>
      <w:pPr>
        <w:tabs>
          <w:tab w:val="num" w:pos="5760"/>
        </w:tabs>
        <w:ind w:left="5760" w:hanging="360"/>
      </w:pPr>
      <w:rPr>
        <w:rFonts w:ascii="Arial" w:hAnsi="Arial" w:hint="default"/>
      </w:rPr>
    </w:lvl>
    <w:lvl w:ilvl="8" w:tplc="655624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510D1B"/>
    <w:multiLevelType w:val="hybridMultilevel"/>
    <w:tmpl w:val="FEE080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874DB"/>
    <w:multiLevelType w:val="hybridMultilevel"/>
    <w:tmpl w:val="77A0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94857"/>
    <w:multiLevelType w:val="hybridMultilevel"/>
    <w:tmpl w:val="CF5EE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B0B7E"/>
    <w:multiLevelType w:val="hybridMultilevel"/>
    <w:tmpl w:val="01822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D0844"/>
    <w:multiLevelType w:val="hybridMultilevel"/>
    <w:tmpl w:val="6EC0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22217"/>
    <w:multiLevelType w:val="hybridMultilevel"/>
    <w:tmpl w:val="1EF8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A60C1"/>
    <w:multiLevelType w:val="hybridMultilevel"/>
    <w:tmpl w:val="8250D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4003B"/>
    <w:multiLevelType w:val="hybridMultilevel"/>
    <w:tmpl w:val="FFF0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A69FF"/>
    <w:multiLevelType w:val="hybridMultilevel"/>
    <w:tmpl w:val="75024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4C1B4F"/>
    <w:multiLevelType w:val="hybridMultilevel"/>
    <w:tmpl w:val="B65C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28593">
    <w:abstractNumId w:val="4"/>
  </w:num>
  <w:num w:numId="2" w16cid:durableId="2043703128">
    <w:abstractNumId w:val="10"/>
  </w:num>
  <w:num w:numId="3" w16cid:durableId="2007124278">
    <w:abstractNumId w:val="0"/>
  </w:num>
  <w:num w:numId="4" w16cid:durableId="1552572184">
    <w:abstractNumId w:val="6"/>
  </w:num>
  <w:num w:numId="5" w16cid:durableId="1885487052">
    <w:abstractNumId w:val="3"/>
  </w:num>
  <w:num w:numId="6" w16cid:durableId="2093547531">
    <w:abstractNumId w:val="5"/>
  </w:num>
  <w:num w:numId="7" w16cid:durableId="785927935">
    <w:abstractNumId w:val="8"/>
  </w:num>
  <w:num w:numId="8" w16cid:durableId="1746342203">
    <w:abstractNumId w:val="1"/>
  </w:num>
  <w:num w:numId="9" w16cid:durableId="1572692615">
    <w:abstractNumId w:val="9"/>
  </w:num>
  <w:num w:numId="10" w16cid:durableId="730688334">
    <w:abstractNumId w:val="11"/>
  </w:num>
  <w:num w:numId="11" w16cid:durableId="2131626712">
    <w:abstractNumId w:val="7"/>
  </w:num>
  <w:num w:numId="12" w16cid:durableId="1837064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37"/>
    <w:rsid w:val="00033BD8"/>
    <w:rsid w:val="000358C9"/>
    <w:rsid w:val="00051DF1"/>
    <w:rsid w:val="00052A0F"/>
    <w:rsid w:val="00065862"/>
    <w:rsid w:val="00072E19"/>
    <w:rsid w:val="00077C5F"/>
    <w:rsid w:val="00087A83"/>
    <w:rsid w:val="0009719E"/>
    <w:rsid w:val="000C1650"/>
    <w:rsid w:val="000C7F04"/>
    <w:rsid w:val="000D2B85"/>
    <w:rsid w:val="000F4231"/>
    <w:rsid w:val="000F697B"/>
    <w:rsid w:val="00111347"/>
    <w:rsid w:val="00122906"/>
    <w:rsid w:val="001327CA"/>
    <w:rsid w:val="001345B0"/>
    <w:rsid w:val="001675F5"/>
    <w:rsid w:val="00175560"/>
    <w:rsid w:val="00176AB2"/>
    <w:rsid w:val="00180977"/>
    <w:rsid w:val="001851C0"/>
    <w:rsid w:val="001A07EC"/>
    <w:rsid w:val="001A56DD"/>
    <w:rsid w:val="001B4576"/>
    <w:rsid w:val="001E7F83"/>
    <w:rsid w:val="001F301B"/>
    <w:rsid w:val="001F5F9F"/>
    <w:rsid w:val="0020752B"/>
    <w:rsid w:val="00242FB4"/>
    <w:rsid w:val="00271D6A"/>
    <w:rsid w:val="00287220"/>
    <w:rsid w:val="002B68C0"/>
    <w:rsid w:val="002F15C0"/>
    <w:rsid w:val="002F66E2"/>
    <w:rsid w:val="0031207F"/>
    <w:rsid w:val="00364CE3"/>
    <w:rsid w:val="003864E2"/>
    <w:rsid w:val="003C6F9B"/>
    <w:rsid w:val="003E279B"/>
    <w:rsid w:val="0040624B"/>
    <w:rsid w:val="00412257"/>
    <w:rsid w:val="00413B66"/>
    <w:rsid w:val="00414D9C"/>
    <w:rsid w:val="004176C7"/>
    <w:rsid w:val="00421F9E"/>
    <w:rsid w:val="00422F49"/>
    <w:rsid w:val="0042651D"/>
    <w:rsid w:val="0045298C"/>
    <w:rsid w:val="00474F11"/>
    <w:rsid w:val="00492C20"/>
    <w:rsid w:val="004A16D3"/>
    <w:rsid w:val="004A7609"/>
    <w:rsid w:val="004B6A22"/>
    <w:rsid w:val="004D1052"/>
    <w:rsid w:val="00520BBC"/>
    <w:rsid w:val="005A338F"/>
    <w:rsid w:val="005B0655"/>
    <w:rsid w:val="005B15FA"/>
    <w:rsid w:val="006061BC"/>
    <w:rsid w:val="0062205A"/>
    <w:rsid w:val="00627A43"/>
    <w:rsid w:val="006422D5"/>
    <w:rsid w:val="0065046A"/>
    <w:rsid w:val="006531CF"/>
    <w:rsid w:val="0066575A"/>
    <w:rsid w:val="006668D5"/>
    <w:rsid w:val="0068460F"/>
    <w:rsid w:val="00686E53"/>
    <w:rsid w:val="00693090"/>
    <w:rsid w:val="00693DCB"/>
    <w:rsid w:val="006A2C1B"/>
    <w:rsid w:val="006A6E0A"/>
    <w:rsid w:val="006C7A99"/>
    <w:rsid w:val="006D6931"/>
    <w:rsid w:val="006E3A21"/>
    <w:rsid w:val="00705F79"/>
    <w:rsid w:val="00721A1D"/>
    <w:rsid w:val="00774787"/>
    <w:rsid w:val="0077620A"/>
    <w:rsid w:val="007929DB"/>
    <w:rsid w:val="007A52F4"/>
    <w:rsid w:val="007B3961"/>
    <w:rsid w:val="007B5DAE"/>
    <w:rsid w:val="007C03C6"/>
    <w:rsid w:val="007C087E"/>
    <w:rsid w:val="007E2076"/>
    <w:rsid w:val="007F4B72"/>
    <w:rsid w:val="00805879"/>
    <w:rsid w:val="00875882"/>
    <w:rsid w:val="00881B76"/>
    <w:rsid w:val="00894E14"/>
    <w:rsid w:val="008A43EC"/>
    <w:rsid w:val="008A64B6"/>
    <w:rsid w:val="008B3351"/>
    <w:rsid w:val="00941D2C"/>
    <w:rsid w:val="00963B65"/>
    <w:rsid w:val="009B2426"/>
    <w:rsid w:val="00A17CAB"/>
    <w:rsid w:val="00A55A4A"/>
    <w:rsid w:val="00A70155"/>
    <w:rsid w:val="00A763A8"/>
    <w:rsid w:val="00A84154"/>
    <w:rsid w:val="00A960BC"/>
    <w:rsid w:val="00AB3F69"/>
    <w:rsid w:val="00AC5616"/>
    <w:rsid w:val="00AD002D"/>
    <w:rsid w:val="00AD5381"/>
    <w:rsid w:val="00B303C0"/>
    <w:rsid w:val="00B622C2"/>
    <w:rsid w:val="00B83A1E"/>
    <w:rsid w:val="00B841D0"/>
    <w:rsid w:val="00B928A4"/>
    <w:rsid w:val="00BC319E"/>
    <w:rsid w:val="00BC689B"/>
    <w:rsid w:val="00C02CBB"/>
    <w:rsid w:val="00C0713D"/>
    <w:rsid w:val="00C240F6"/>
    <w:rsid w:val="00C2543F"/>
    <w:rsid w:val="00C30060"/>
    <w:rsid w:val="00C37C57"/>
    <w:rsid w:val="00C42E6A"/>
    <w:rsid w:val="00C4531F"/>
    <w:rsid w:val="00C64248"/>
    <w:rsid w:val="00C76B4F"/>
    <w:rsid w:val="00C7705E"/>
    <w:rsid w:val="00C81E6F"/>
    <w:rsid w:val="00C84ED0"/>
    <w:rsid w:val="00C86554"/>
    <w:rsid w:val="00CD7437"/>
    <w:rsid w:val="00CE65D1"/>
    <w:rsid w:val="00D07237"/>
    <w:rsid w:val="00D3263F"/>
    <w:rsid w:val="00D850D9"/>
    <w:rsid w:val="00D925E5"/>
    <w:rsid w:val="00DA51C4"/>
    <w:rsid w:val="00DC2880"/>
    <w:rsid w:val="00DD47B1"/>
    <w:rsid w:val="00DF667D"/>
    <w:rsid w:val="00E44B76"/>
    <w:rsid w:val="00E53D9B"/>
    <w:rsid w:val="00E63366"/>
    <w:rsid w:val="00E63716"/>
    <w:rsid w:val="00E64D77"/>
    <w:rsid w:val="00E655F8"/>
    <w:rsid w:val="00E86191"/>
    <w:rsid w:val="00EB4517"/>
    <w:rsid w:val="00EB79F2"/>
    <w:rsid w:val="00ED204A"/>
    <w:rsid w:val="00EE4057"/>
    <w:rsid w:val="00F05DB1"/>
    <w:rsid w:val="00F2183C"/>
    <w:rsid w:val="00F23E37"/>
    <w:rsid w:val="00F5410A"/>
    <w:rsid w:val="00F71FBF"/>
    <w:rsid w:val="00F85E8C"/>
    <w:rsid w:val="00FA0839"/>
    <w:rsid w:val="00FB0AC0"/>
    <w:rsid w:val="00FC2010"/>
    <w:rsid w:val="00FC32BB"/>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253BB"/>
  <w15:chartTrackingRefBased/>
  <w15:docId w15:val="{A05BB760-CAB1-434A-BAE3-6A33AF3F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E37"/>
  </w:style>
  <w:style w:type="paragraph" w:styleId="Heading1">
    <w:name w:val="heading 1"/>
    <w:basedOn w:val="Normal"/>
    <w:next w:val="Normal"/>
    <w:link w:val="Heading1Char"/>
    <w:uiPriority w:val="9"/>
    <w:qFormat/>
    <w:rsid w:val="00421F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1F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3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0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AC0"/>
  </w:style>
  <w:style w:type="paragraph" w:styleId="Footer">
    <w:name w:val="footer"/>
    <w:basedOn w:val="Normal"/>
    <w:link w:val="FooterChar"/>
    <w:uiPriority w:val="99"/>
    <w:unhideWhenUsed/>
    <w:rsid w:val="00FB0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AC0"/>
  </w:style>
  <w:style w:type="paragraph" w:customStyle="1" w:styleId="covertext">
    <w:name w:val="cover text"/>
    <w:basedOn w:val="Normal"/>
    <w:rsid w:val="00FB0AC0"/>
    <w:pPr>
      <w:spacing w:before="120" w:after="12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21F9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21F9E"/>
    <w:pPr>
      <w:spacing w:after="0" w:line="240" w:lineRule="auto"/>
      <w:contextualSpacing/>
      <w:jc w:val="center"/>
    </w:pPr>
    <w:rPr>
      <w:rFonts w:asciiTheme="majorHAnsi" w:eastAsiaTheme="majorEastAsia" w:hAnsiTheme="majorHAnsi" w:cstheme="majorBidi"/>
      <w:color w:val="1F3864" w:themeColor="accent1" w:themeShade="80"/>
      <w:spacing w:val="-10"/>
      <w:kern w:val="28"/>
      <w:sz w:val="56"/>
      <w:szCs w:val="56"/>
    </w:rPr>
  </w:style>
  <w:style w:type="character" w:customStyle="1" w:styleId="TitleChar">
    <w:name w:val="Title Char"/>
    <w:basedOn w:val="DefaultParagraphFont"/>
    <w:link w:val="Title"/>
    <w:uiPriority w:val="10"/>
    <w:rsid w:val="00421F9E"/>
    <w:rPr>
      <w:rFonts w:asciiTheme="majorHAnsi" w:eastAsiaTheme="majorEastAsia" w:hAnsiTheme="majorHAnsi" w:cstheme="majorBidi"/>
      <w:color w:val="1F3864" w:themeColor="accent1" w:themeShade="80"/>
      <w:spacing w:val="-10"/>
      <w:kern w:val="28"/>
      <w:sz w:val="56"/>
      <w:szCs w:val="56"/>
    </w:rPr>
  </w:style>
  <w:style w:type="paragraph" w:styleId="Subtitle">
    <w:name w:val="Subtitle"/>
    <w:basedOn w:val="Normal"/>
    <w:next w:val="Normal"/>
    <w:link w:val="SubtitleChar"/>
    <w:uiPriority w:val="11"/>
    <w:qFormat/>
    <w:rsid w:val="00421F9E"/>
    <w:pPr>
      <w:numPr>
        <w:ilvl w:val="1"/>
      </w:numPr>
      <w:jc w:val="center"/>
    </w:pPr>
    <w:rPr>
      <w:rFonts w:eastAsiaTheme="minorEastAsia"/>
      <w:color w:val="4472C4" w:themeColor="accent1"/>
      <w:spacing w:val="15"/>
      <w:sz w:val="28"/>
    </w:rPr>
  </w:style>
  <w:style w:type="character" w:customStyle="1" w:styleId="SubtitleChar">
    <w:name w:val="Subtitle Char"/>
    <w:basedOn w:val="DefaultParagraphFont"/>
    <w:link w:val="Subtitle"/>
    <w:uiPriority w:val="11"/>
    <w:rsid w:val="00421F9E"/>
    <w:rPr>
      <w:rFonts w:eastAsiaTheme="minorEastAsia"/>
      <w:color w:val="4472C4" w:themeColor="accent1"/>
      <w:spacing w:val="15"/>
      <w:sz w:val="28"/>
    </w:rPr>
  </w:style>
  <w:style w:type="character" w:styleId="SubtleEmphasis">
    <w:name w:val="Subtle Emphasis"/>
    <w:basedOn w:val="DefaultParagraphFont"/>
    <w:uiPriority w:val="19"/>
    <w:qFormat/>
    <w:rsid w:val="00421F9E"/>
    <w:rPr>
      <w:i/>
      <w:iCs/>
      <w:color w:val="404040" w:themeColor="text1" w:themeTint="BF"/>
    </w:rPr>
  </w:style>
  <w:style w:type="character" w:customStyle="1" w:styleId="Heading2Char">
    <w:name w:val="Heading 2 Char"/>
    <w:basedOn w:val="DefaultParagraphFont"/>
    <w:link w:val="Heading2"/>
    <w:uiPriority w:val="9"/>
    <w:rsid w:val="00421F9E"/>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5B0655"/>
    <w:pPr>
      <w:spacing w:after="200" w:line="240" w:lineRule="auto"/>
    </w:pPr>
    <w:rPr>
      <w:i/>
      <w:iCs/>
      <w:color w:val="44546A" w:themeColor="text2"/>
      <w:sz w:val="18"/>
      <w:szCs w:val="18"/>
    </w:rPr>
  </w:style>
  <w:style w:type="paragraph" w:styleId="ListParagraph">
    <w:name w:val="List Paragraph"/>
    <w:basedOn w:val="Normal"/>
    <w:uiPriority w:val="34"/>
    <w:qFormat/>
    <w:rsid w:val="005B0655"/>
    <w:pPr>
      <w:ind w:left="720"/>
      <w:contextualSpacing/>
    </w:pPr>
  </w:style>
  <w:style w:type="character" w:styleId="Hyperlink">
    <w:name w:val="Hyperlink"/>
    <w:basedOn w:val="DefaultParagraphFont"/>
    <w:uiPriority w:val="99"/>
    <w:unhideWhenUsed/>
    <w:rsid w:val="00E44B76"/>
    <w:rPr>
      <w:color w:val="0563C1" w:themeColor="hyperlink"/>
      <w:u w:val="single"/>
    </w:rPr>
  </w:style>
  <w:style w:type="character" w:styleId="UnresolvedMention">
    <w:name w:val="Unresolved Mention"/>
    <w:basedOn w:val="DefaultParagraphFont"/>
    <w:uiPriority w:val="99"/>
    <w:semiHidden/>
    <w:unhideWhenUsed/>
    <w:rsid w:val="00E44B76"/>
    <w:rPr>
      <w:color w:val="605E5C"/>
      <w:shd w:val="clear" w:color="auto" w:fill="E1DFDD"/>
    </w:rPr>
  </w:style>
  <w:style w:type="paragraph" w:styleId="BalloonText">
    <w:name w:val="Balloon Text"/>
    <w:basedOn w:val="Normal"/>
    <w:link w:val="BalloonTextChar"/>
    <w:uiPriority w:val="99"/>
    <w:semiHidden/>
    <w:unhideWhenUsed/>
    <w:rsid w:val="00A701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1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4531F"/>
    <w:rPr>
      <w:sz w:val="16"/>
      <w:szCs w:val="16"/>
    </w:rPr>
  </w:style>
  <w:style w:type="paragraph" w:styleId="CommentText">
    <w:name w:val="annotation text"/>
    <w:basedOn w:val="Normal"/>
    <w:link w:val="CommentTextChar"/>
    <w:uiPriority w:val="99"/>
    <w:semiHidden/>
    <w:unhideWhenUsed/>
    <w:rsid w:val="00C4531F"/>
    <w:pPr>
      <w:spacing w:line="240" w:lineRule="auto"/>
    </w:pPr>
    <w:rPr>
      <w:sz w:val="20"/>
      <w:szCs w:val="20"/>
    </w:rPr>
  </w:style>
  <w:style w:type="character" w:customStyle="1" w:styleId="CommentTextChar">
    <w:name w:val="Comment Text Char"/>
    <w:basedOn w:val="DefaultParagraphFont"/>
    <w:link w:val="CommentText"/>
    <w:uiPriority w:val="99"/>
    <w:semiHidden/>
    <w:rsid w:val="00C4531F"/>
    <w:rPr>
      <w:sz w:val="20"/>
      <w:szCs w:val="20"/>
    </w:rPr>
  </w:style>
  <w:style w:type="paragraph" w:styleId="CommentSubject">
    <w:name w:val="annotation subject"/>
    <w:basedOn w:val="CommentText"/>
    <w:next w:val="CommentText"/>
    <w:link w:val="CommentSubjectChar"/>
    <w:uiPriority w:val="99"/>
    <w:semiHidden/>
    <w:unhideWhenUsed/>
    <w:rsid w:val="00C4531F"/>
    <w:rPr>
      <w:b/>
      <w:bCs/>
    </w:rPr>
  </w:style>
  <w:style w:type="character" w:customStyle="1" w:styleId="CommentSubjectChar">
    <w:name w:val="Comment Subject Char"/>
    <w:basedOn w:val="CommentTextChar"/>
    <w:link w:val="CommentSubject"/>
    <w:uiPriority w:val="99"/>
    <w:semiHidden/>
    <w:rsid w:val="00C4531F"/>
    <w:rPr>
      <w:b/>
      <w:bCs/>
      <w:sz w:val="20"/>
      <w:szCs w:val="20"/>
    </w:rPr>
  </w:style>
  <w:style w:type="paragraph" w:styleId="Revision">
    <w:name w:val="Revision"/>
    <w:hidden/>
    <w:uiPriority w:val="99"/>
    <w:semiHidden/>
    <w:rsid w:val="00E86191"/>
    <w:pPr>
      <w:spacing w:after="0" w:line="240" w:lineRule="auto"/>
    </w:pPr>
  </w:style>
  <w:style w:type="character" w:styleId="FollowedHyperlink">
    <w:name w:val="FollowedHyperlink"/>
    <w:basedOn w:val="DefaultParagraphFont"/>
    <w:uiPriority w:val="99"/>
    <w:semiHidden/>
    <w:unhideWhenUsed/>
    <w:rsid w:val="00AC5616"/>
    <w:rPr>
      <w:color w:val="954F72" w:themeColor="followedHyperlink"/>
      <w:u w:val="single"/>
    </w:rPr>
  </w:style>
  <w:style w:type="paragraph" w:styleId="NoSpacing">
    <w:name w:val="No Spacing"/>
    <w:uiPriority w:val="1"/>
    <w:qFormat/>
    <w:rsid w:val="005B1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0242">
      <w:bodyDiv w:val="1"/>
      <w:marLeft w:val="0"/>
      <w:marRight w:val="0"/>
      <w:marTop w:val="0"/>
      <w:marBottom w:val="0"/>
      <w:divBdr>
        <w:top w:val="none" w:sz="0" w:space="0" w:color="auto"/>
        <w:left w:val="none" w:sz="0" w:space="0" w:color="auto"/>
        <w:bottom w:val="none" w:sz="0" w:space="0" w:color="auto"/>
        <w:right w:val="none" w:sz="0" w:space="0" w:color="auto"/>
      </w:divBdr>
    </w:div>
    <w:div w:id="347949028">
      <w:bodyDiv w:val="1"/>
      <w:marLeft w:val="0"/>
      <w:marRight w:val="0"/>
      <w:marTop w:val="0"/>
      <w:marBottom w:val="0"/>
      <w:divBdr>
        <w:top w:val="none" w:sz="0" w:space="0" w:color="auto"/>
        <w:left w:val="none" w:sz="0" w:space="0" w:color="auto"/>
        <w:bottom w:val="none" w:sz="0" w:space="0" w:color="auto"/>
        <w:right w:val="none" w:sz="0" w:space="0" w:color="auto"/>
      </w:divBdr>
    </w:div>
    <w:div w:id="830800160">
      <w:bodyDiv w:val="1"/>
      <w:marLeft w:val="0"/>
      <w:marRight w:val="0"/>
      <w:marTop w:val="0"/>
      <w:marBottom w:val="0"/>
      <w:divBdr>
        <w:top w:val="none" w:sz="0" w:space="0" w:color="auto"/>
        <w:left w:val="none" w:sz="0" w:space="0" w:color="auto"/>
        <w:bottom w:val="none" w:sz="0" w:space="0" w:color="auto"/>
        <w:right w:val="none" w:sz="0" w:space="0" w:color="auto"/>
      </w:divBdr>
    </w:div>
    <w:div w:id="1055857607">
      <w:bodyDiv w:val="1"/>
      <w:marLeft w:val="0"/>
      <w:marRight w:val="0"/>
      <w:marTop w:val="0"/>
      <w:marBottom w:val="0"/>
      <w:divBdr>
        <w:top w:val="none" w:sz="0" w:space="0" w:color="auto"/>
        <w:left w:val="none" w:sz="0" w:space="0" w:color="auto"/>
        <w:bottom w:val="none" w:sz="0" w:space="0" w:color="auto"/>
        <w:right w:val="none" w:sz="0" w:space="0" w:color="auto"/>
      </w:divBdr>
    </w:div>
    <w:div w:id="1056855118">
      <w:bodyDiv w:val="1"/>
      <w:marLeft w:val="0"/>
      <w:marRight w:val="0"/>
      <w:marTop w:val="0"/>
      <w:marBottom w:val="0"/>
      <w:divBdr>
        <w:top w:val="none" w:sz="0" w:space="0" w:color="auto"/>
        <w:left w:val="none" w:sz="0" w:space="0" w:color="auto"/>
        <w:bottom w:val="none" w:sz="0" w:space="0" w:color="auto"/>
        <w:right w:val="none" w:sz="0" w:space="0" w:color="auto"/>
      </w:divBdr>
    </w:div>
    <w:div w:id="1109736814">
      <w:bodyDiv w:val="1"/>
      <w:marLeft w:val="0"/>
      <w:marRight w:val="0"/>
      <w:marTop w:val="0"/>
      <w:marBottom w:val="0"/>
      <w:divBdr>
        <w:top w:val="none" w:sz="0" w:space="0" w:color="auto"/>
        <w:left w:val="none" w:sz="0" w:space="0" w:color="auto"/>
        <w:bottom w:val="none" w:sz="0" w:space="0" w:color="auto"/>
        <w:right w:val="none" w:sz="0" w:space="0" w:color="auto"/>
      </w:divBdr>
    </w:div>
    <w:div w:id="1134909954">
      <w:bodyDiv w:val="1"/>
      <w:marLeft w:val="0"/>
      <w:marRight w:val="0"/>
      <w:marTop w:val="0"/>
      <w:marBottom w:val="0"/>
      <w:divBdr>
        <w:top w:val="none" w:sz="0" w:space="0" w:color="auto"/>
        <w:left w:val="none" w:sz="0" w:space="0" w:color="auto"/>
        <w:bottom w:val="none" w:sz="0" w:space="0" w:color="auto"/>
        <w:right w:val="none" w:sz="0" w:space="0" w:color="auto"/>
      </w:divBdr>
    </w:div>
    <w:div w:id="1705324358">
      <w:bodyDiv w:val="1"/>
      <w:marLeft w:val="0"/>
      <w:marRight w:val="0"/>
      <w:marTop w:val="0"/>
      <w:marBottom w:val="0"/>
      <w:divBdr>
        <w:top w:val="none" w:sz="0" w:space="0" w:color="auto"/>
        <w:left w:val="none" w:sz="0" w:space="0" w:color="auto"/>
        <w:bottom w:val="none" w:sz="0" w:space="0" w:color="auto"/>
        <w:right w:val="none" w:sz="0" w:space="0" w:color="auto"/>
      </w:divBdr>
      <w:divsChild>
        <w:div w:id="176624455">
          <w:marLeft w:val="432"/>
          <w:marRight w:val="0"/>
          <w:marTop w:val="160"/>
          <w:marBottom w:val="0"/>
          <w:divBdr>
            <w:top w:val="none" w:sz="0" w:space="0" w:color="auto"/>
            <w:left w:val="none" w:sz="0" w:space="0" w:color="auto"/>
            <w:bottom w:val="none" w:sz="0" w:space="0" w:color="auto"/>
            <w:right w:val="none" w:sz="0" w:space="0" w:color="auto"/>
          </w:divBdr>
        </w:div>
        <w:div w:id="197743074">
          <w:marLeft w:val="432"/>
          <w:marRight w:val="0"/>
          <w:marTop w:val="160"/>
          <w:marBottom w:val="0"/>
          <w:divBdr>
            <w:top w:val="none" w:sz="0" w:space="0" w:color="auto"/>
            <w:left w:val="none" w:sz="0" w:space="0" w:color="auto"/>
            <w:bottom w:val="none" w:sz="0" w:space="0" w:color="auto"/>
            <w:right w:val="none" w:sz="0" w:space="0" w:color="auto"/>
          </w:divBdr>
        </w:div>
        <w:div w:id="233316445">
          <w:marLeft w:val="432"/>
          <w:marRight w:val="0"/>
          <w:marTop w:val="160"/>
          <w:marBottom w:val="0"/>
          <w:divBdr>
            <w:top w:val="none" w:sz="0" w:space="0" w:color="auto"/>
            <w:left w:val="none" w:sz="0" w:space="0" w:color="auto"/>
            <w:bottom w:val="none" w:sz="0" w:space="0" w:color="auto"/>
            <w:right w:val="none" w:sz="0" w:space="0" w:color="auto"/>
          </w:divBdr>
        </w:div>
        <w:div w:id="965159595">
          <w:marLeft w:val="432"/>
          <w:marRight w:val="0"/>
          <w:marTop w:val="160"/>
          <w:marBottom w:val="0"/>
          <w:divBdr>
            <w:top w:val="none" w:sz="0" w:space="0" w:color="auto"/>
            <w:left w:val="none" w:sz="0" w:space="0" w:color="auto"/>
            <w:bottom w:val="none" w:sz="0" w:space="0" w:color="auto"/>
            <w:right w:val="none" w:sz="0" w:space="0" w:color="auto"/>
          </w:divBdr>
        </w:div>
        <w:div w:id="1071196484">
          <w:marLeft w:val="432"/>
          <w:marRight w:val="0"/>
          <w:marTop w:val="160"/>
          <w:marBottom w:val="0"/>
          <w:divBdr>
            <w:top w:val="none" w:sz="0" w:space="0" w:color="auto"/>
            <w:left w:val="none" w:sz="0" w:space="0" w:color="auto"/>
            <w:bottom w:val="none" w:sz="0" w:space="0" w:color="auto"/>
            <w:right w:val="none" w:sz="0" w:space="0" w:color="auto"/>
          </w:divBdr>
        </w:div>
        <w:div w:id="1405180438">
          <w:marLeft w:val="432"/>
          <w:marRight w:val="0"/>
          <w:marTop w:val="160"/>
          <w:marBottom w:val="0"/>
          <w:divBdr>
            <w:top w:val="none" w:sz="0" w:space="0" w:color="auto"/>
            <w:left w:val="none" w:sz="0" w:space="0" w:color="auto"/>
            <w:bottom w:val="none" w:sz="0" w:space="0" w:color="auto"/>
            <w:right w:val="none" w:sz="0" w:space="0" w:color="auto"/>
          </w:divBdr>
        </w:div>
      </w:divsChild>
    </w:div>
    <w:div w:id="1739017682">
      <w:bodyDiv w:val="1"/>
      <w:marLeft w:val="0"/>
      <w:marRight w:val="0"/>
      <w:marTop w:val="0"/>
      <w:marBottom w:val="0"/>
      <w:divBdr>
        <w:top w:val="none" w:sz="0" w:space="0" w:color="auto"/>
        <w:left w:val="none" w:sz="0" w:space="0" w:color="auto"/>
        <w:bottom w:val="none" w:sz="0" w:space="0" w:color="auto"/>
        <w:right w:val="none" w:sz="0" w:space="0" w:color="auto"/>
      </w:divBdr>
    </w:div>
    <w:div w:id="1856309802">
      <w:bodyDiv w:val="1"/>
      <w:marLeft w:val="0"/>
      <w:marRight w:val="0"/>
      <w:marTop w:val="0"/>
      <w:marBottom w:val="0"/>
      <w:divBdr>
        <w:top w:val="none" w:sz="0" w:space="0" w:color="auto"/>
        <w:left w:val="none" w:sz="0" w:space="0" w:color="auto"/>
        <w:bottom w:val="none" w:sz="0" w:space="0" w:color="auto"/>
        <w:right w:val="none" w:sz="0" w:space="0" w:color="auto"/>
      </w:divBdr>
      <w:divsChild>
        <w:div w:id="1398629041">
          <w:marLeft w:val="432"/>
          <w:marRight w:val="0"/>
          <w:marTop w:val="160"/>
          <w:marBottom w:val="0"/>
          <w:divBdr>
            <w:top w:val="none" w:sz="0" w:space="0" w:color="auto"/>
            <w:left w:val="none" w:sz="0" w:space="0" w:color="auto"/>
            <w:bottom w:val="none" w:sz="0" w:space="0" w:color="auto"/>
            <w:right w:val="none" w:sz="0" w:space="0" w:color="auto"/>
          </w:divBdr>
        </w:div>
        <w:div w:id="1659114614">
          <w:marLeft w:val="1440"/>
          <w:marRight w:val="0"/>
          <w:marTop w:val="140"/>
          <w:marBottom w:val="0"/>
          <w:divBdr>
            <w:top w:val="none" w:sz="0" w:space="0" w:color="auto"/>
            <w:left w:val="none" w:sz="0" w:space="0" w:color="auto"/>
            <w:bottom w:val="none" w:sz="0" w:space="0" w:color="auto"/>
            <w:right w:val="none" w:sz="0" w:space="0" w:color="auto"/>
          </w:divBdr>
        </w:div>
      </w:divsChild>
    </w:div>
    <w:div w:id="207928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DFCFA-FED2-7842-9EA3-7C7FCE5D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Rolfe</dc:creator>
  <cp:keywords/>
  <dc:description/>
  <cp:lastModifiedBy>Benjamin Rolfe</cp:lastModifiedBy>
  <cp:revision>6</cp:revision>
  <dcterms:created xsi:type="dcterms:W3CDTF">2025-09-15T21:55:00Z</dcterms:created>
  <dcterms:modified xsi:type="dcterms:W3CDTF">2025-09-15T21:58:00Z</dcterms:modified>
</cp:coreProperties>
</file>