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817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IEEE P802.15</w:t>
      </w:r>
    </w:p>
    <w:p w14:paraId="391092F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Wireless Personal Area Networks</w:t>
      </w:r>
    </w:p>
    <w:p w14:paraId="4BE2D45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4A0" w:firstRow="1" w:lastRow="0" w:firstColumn="1" w:lastColumn="0" w:noHBand="0" w:noVBand="1"/>
      </w:tblPr>
      <w:tblGrid>
        <w:gridCol w:w="1260"/>
        <w:gridCol w:w="8171"/>
        <w:gridCol w:w="289"/>
      </w:tblGrid>
      <w:tr w:rsidR="00064523" w14:paraId="7C3F4D56" w14:textId="77777777">
        <w:trPr>
          <w:trHeight w:val="370"/>
        </w:trPr>
        <w:tc>
          <w:tcPr>
            <w:tcW w:w="1260" w:type="dxa"/>
            <w:tcBorders>
              <w:top w:val="single" w:sz="4" w:space="0" w:color="000000"/>
            </w:tcBorders>
            <w:shd w:val="clear" w:color="auto" w:fill="auto"/>
          </w:tcPr>
          <w:p w14:paraId="57F7DEF2"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5B30DA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P802.15 Working Group for Wireless Personal Area Networks (WPANs)</w:t>
            </w:r>
          </w:p>
        </w:tc>
      </w:tr>
      <w:tr w:rsidR="00064523" w14:paraId="082D1D8E" w14:textId="77777777">
        <w:trPr>
          <w:trHeight w:val="433"/>
        </w:trPr>
        <w:tc>
          <w:tcPr>
            <w:tcW w:w="1260" w:type="dxa"/>
            <w:tcBorders>
              <w:top w:val="single" w:sz="4" w:space="0" w:color="000000"/>
            </w:tcBorders>
            <w:shd w:val="clear" w:color="auto" w:fill="auto"/>
          </w:tcPr>
          <w:p w14:paraId="2386E51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90E645E" w14:textId="7E408AA5"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Resolutions for LB213 CID </w:t>
            </w:r>
            <w:r w:rsidR="00F93F8C">
              <w:rPr>
                <w:rFonts w:ascii="Times New Roman" w:eastAsia="DejaVu Sans" w:hAnsi="Times New Roman" w:cs="Arial"/>
                <w:b/>
                <w:bCs/>
                <w:kern w:val="1"/>
                <w:sz w:val="24"/>
                <w:szCs w:val="24"/>
                <w:lang w:val="en-US" w:eastAsia="ar-SA"/>
              </w:rPr>
              <w:t>643</w:t>
            </w:r>
          </w:p>
        </w:tc>
      </w:tr>
      <w:tr w:rsidR="00064523" w14:paraId="25C77F86" w14:textId="77777777">
        <w:tc>
          <w:tcPr>
            <w:tcW w:w="1260" w:type="dxa"/>
            <w:tcBorders>
              <w:top w:val="single" w:sz="4" w:space="0" w:color="000000"/>
            </w:tcBorders>
            <w:shd w:val="clear" w:color="auto" w:fill="auto"/>
          </w:tcPr>
          <w:p w14:paraId="45D374E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5C39859B" w14:textId="002DEE06" w:rsidR="00064523" w:rsidRDefault="00DA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eastAsia="SimSun" w:hAnsi="Times New Roman"/>
                <w:color w:val="00000A"/>
                <w:kern w:val="1"/>
                <w:sz w:val="24"/>
                <w:szCs w:val="24"/>
                <w:lang w:val="en-US" w:eastAsia="zh-CN"/>
              </w:rPr>
              <w:t>August</w:t>
            </w:r>
            <w:r w:rsidR="00F86E9C">
              <w:rPr>
                <w:rFonts w:ascii="Times New Roman" w:hAnsi="Times New Roman"/>
                <w:color w:val="00000A"/>
                <w:kern w:val="1"/>
                <w:sz w:val="24"/>
                <w:szCs w:val="24"/>
                <w:lang w:eastAsia="ar-SA"/>
              </w:rPr>
              <w:t xml:space="preserve"> 2025</w:t>
            </w:r>
          </w:p>
        </w:tc>
      </w:tr>
      <w:tr w:rsidR="00064523" w14:paraId="25F2EA25" w14:textId="77777777">
        <w:trPr>
          <w:trHeight w:val="676"/>
        </w:trPr>
        <w:tc>
          <w:tcPr>
            <w:tcW w:w="1260" w:type="dxa"/>
            <w:tcBorders>
              <w:top w:val="single" w:sz="4" w:space="0" w:color="000000"/>
              <w:bottom w:val="single" w:sz="4" w:space="0" w:color="000000"/>
            </w:tcBorders>
            <w:shd w:val="clear" w:color="auto" w:fill="auto"/>
          </w:tcPr>
          <w:p w14:paraId="717406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Pr>
                <w:rFonts w:ascii="Times New Roman" w:eastAsia="DejaVu Sans" w:hAnsi="Times New Roman" w:cs="Arial"/>
                <w:kern w:val="1"/>
                <w:sz w:val="24"/>
                <w:szCs w:val="24"/>
                <w:lang w:val="en-US" w:eastAsia="ar-SA"/>
              </w:rPr>
              <w:t>Sources</w:t>
            </w:r>
          </w:p>
        </w:tc>
        <w:tc>
          <w:tcPr>
            <w:tcW w:w="8171" w:type="dxa"/>
            <w:tcBorders>
              <w:top w:val="single" w:sz="4" w:space="0" w:color="000000"/>
              <w:bottom w:val="single" w:sz="4" w:space="0" w:color="000000"/>
            </w:tcBorders>
            <w:shd w:val="clear" w:color="auto" w:fill="auto"/>
          </w:tcPr>
          <w:p w14:paraId="0B3B9F3A"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Panpan Li, Bin Qian, Lei Huang, Rojan Chitrakar (Huawei)</w:t>
            </w:r>
          </w:p>
          <w:p w14:paraId="09582CCB"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sz="4" w:space="0" w:color="000000"/>
              <w:bottom w:val="single" w:sz="4" w:space="0" w:color="000000"/>
            </w:tcBorders>
            <w:shd w:val="clear" w:color="auto" w:fill="auto"/>
          </w:tcPr>
          <w:p w14:paraId="16BB2E7B" w14:textId="77777777" w:rsidR="00064523" w:rsidRDefault="00064523">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064523" w14:paraId="7A21AD23" w14:textId="77777777">
        <w:trPr>
          <w:trHeight w:val="433"/>
        </w:trPr>
        <w:tc>
          <w:tcPr>
            <w:tcW w:w="1260" w:type="dxa"/>
            <w:tcBorders>
              <w:top w:val="single" w:sz="4" w:space="0" w:color="000000"/>
            </w:tcBorders>
            <w:shd w:val="clear" w:color="auto" w:fill="auto"/>
          </w:tcPr>
          <w:p w14:paraId="730D4F86"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60B0CFD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064523" w14:paraId="1038E99A" w14:textId="77777777">
        <w:trPr>
          <w:trHeight w:val="442"/>
        </w:trPr>
        <w:tc>
          <w:tcPr>
            <w:tcW w:w="1260" w:type="dxa"/>
            <w:tcBorders>
              <w:top w:val="single" w:sz="4" w:space="0" w:color="000000"/>
            </w:tcBorders>
            <w:shd w:val="clear" w:color="auto" w:fill="auto"/>
          </w:tcPr>
          <w:p w14:paraId="78FC0F99"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78EF526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064523" w14:paraId="7A446530" w14:textId="77777777">
        <w:tc>
          <w:tcPr>
            <w:tcW w:w="1260" w:type="dxa"/>
            <w:tcBorders>
              <w:top w:val="single" w:sz="4" w:space="0" w:color="000000"/>
            </w:tcBorders>
            <w:shd w:val="clear" w:color="auto" w:fill="auto"/>
          </w:tcPr>
          <w:p w14:paraId="726664A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5D2F4A5B" w14:textId="77777777" w:rsidR="00064523" w:rsidRDefault="00F86E9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“P802.15.4ab™/D1.0 Draft Standard for Low-Rate Wireless Networks” </w:t>
            </w:r>
          </w:p>
        </w:tc>
      </w:tr>
      <w:tr w:rsidR="00064523" w14:paraId="3848D6DE" w14:textId="77777777">
        <w:trPr>
          <w:trHeight w:val="1918"/>
        </w:trPr>
        <w:tc>
          <w:tcPr>
            <w:tcW w:w="1260" w:type="dxa"/>
            <w:tcBorders>
              <w:top w:val="single" w:sz="4" w:space="0" w:color="000000"/>
              <w:bottom w:val="single" w:sz="4" w:space="0" w:color="000000"/>
            </w:tcBorders>
            <w:shd w:val="clear" w:color="auto" w:fill="auto"/>
          </w:tcPr>
          <w:p w14:paraId="2CEAE45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4A479C6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5D67D13F"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2D34C7A"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75C633B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BA4A4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8C016C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37993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BFE2F58"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6B24A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66AD54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856CE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8B068EE"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B67284"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53F5C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08227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1E1267"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B4F2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0BD94619"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1347457" w14:textId="74F1B6A1" w:rsidR="00064523" w:rsidRPr="00F93F8C" w:rsidRDefault="00F86E9C" w:rsidP="00F93F8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45FD05F" w14:textId="1D006C73" w:rsidR="00064523" w:rsidRDefault="00F86E9C" w:rsidP="00F93F8C">
      <w:pPr>
        <w:pStyle w:val="Heading1"/>
        <w:numPr>
          <w:ilvl w:val="0"/>
          <w:numId w:val="0"/>
        </w:numPr>
        <w:rPr>
          <w:rFonts w:asciiTheme="minorHAnsi" w:eastAsiaTheme="minorEastAsia" w:hAnsiTheme="minorHAnsi" w:cstheme="minorHAnsi"/>
          <w:iCs/>
        </w:rPr>
      </w:pPr>
      <w:r>
        <w:rPr>
          <w:rFonts w:eastAsiaTheme="minorEastAsia"/>
        </w:rPr>
        <w:lastRenderedPageBreak/>
        <w:t>CID 6</w:t>
      </w:r>
      <w:r w:rsidR="005A3598">
        <w:rPr>
          <w:rFonts w:eastAsiaTheme="minorEastAsia"/>
        </w:rPr>
        <w:t>04</w:t>
      </w:r>
      <w:r w:rsidR="001407FE">
        <w:rPr>
          <w:rFonts w:eastAsiaTheme="minorEastAsia" w:hint="eastAsia"/>
        </w:rPr>
        <w:t>,</w:t>
      </w:r>
      <w:r w:rsidR="001407FE">
        <w:rPr>
          <w:rFonts w:eastAsiaTheme="minorEastAsia"/>
        </w:rPr>
        <w:t xml:space="preserve"> </w:t>
      </w:r>
      <w:r w:rsidR="005A3598">
        <w:rPr>
          <w:rFonts w:eastAsiaTheme="minorEastAsia"/>
        </w:rPr>
        <w:t>605</w:t>
      </w:r>
    </w:p>
    <w:tbl>
      <w:tblPr>
        <w:tblStyle w:val="TableGrid"/>
        <w:tblW w:w="9079" w:type="dxa"/>
        <w:tblLook w:val="04A0" w:firstRow="1" w:lastRow="0" w:firstColumn="1" w:lastColumn="0" w:noHBand="0" w:noVBand="1"/>
      </w:tblPr>
      <w:tblGrid>
        <w:gridCol w:w="691"/>
        <w:gridCol w:w="1204"/>
        <w:gridCol w:w="1134"/>
        <w:gridCol w:w="617"/>
        <w:gridCol w:w="558"/>
        <w:gridCol w:w="2324"/>
        <w:gridCol w:w="2551"/>
      </w:tblGrid>
      <w:tr w:rsidR="00FC7943" w14:paraId="2CDA5155" w14:textId="77777777" w:rsidTr="00FC7943">
        <w:trPr>
          <w:trHeight w:val="64"/>
        </w:trPr>
        <w:tc>
          <w:tcPr>
            <w:tcW w:w="691" w:type="dxa"/>
          </w:tcPr>
          <w:p w14:paraId="42648CEE" w14:textId="53F093B9" w:rsidR="00FC7943" w:rsidRDefault="00FC7943">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CID</w:t>
            </w:r>
          </w:p>
        </w:tc>
        <w:tc>
          <w:tcPr>
            <w:tcW w:w="1204" w:type="dxa"/>
          </w:tcPr>
          <w:p w14:paraId="7AC9B123" w14:textId="43DE4E09" w:rsidR="00FC7943" w:rsidRDefault="00FC794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34" w:type="dxa"/>
          </w:tcPr>
          <w:p w14:paraId="269D9536" w14:textId="77777777" w:rsidR="00FC7943" w:rsidRDefault="00FC7943">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617" w:type="dxa"/>
          </w:tcPr>
          <w:p w14:paraId="0671F816" w14:textId="77777777" w:rsidR="00FC7943" w:rsidRDefault="00FC7943">
            <w:pPr>
              <w:jc w:val="center"/>
              <w:rPr>
                <w:rFonts w:eastAsiaTheme="minorEastAsia" w:cs="Arial"/>
                <w:lang w:eastAsia="zh-CN"/>
              </w:rPr>
            </w:pPr>
            <w:r>
              <w:rPr>
                <w:rFonts w:asciiTheme="minorHAnsi" w:hAnsiTheme="minorHAnsi" w:cstheme="minorHAnsi"/>
                <w:b/>
                <w:bCs/>
                <w:lang w:eastAsia="en-IE"/>
              </w:rPr>
              <w:t>Page</w:t>
            </w:r>
          </w:p>
        </w:tc>
        <w:tc>
          <w:tcPr>
            <w:tcW w:w="558" w:type="dxa"/>
          </w:tcPr>
          <w:p w14:paraId="5D4711B2" w14:textId="77777777" w:rsidR="00FC7943" w:rsidRDefault="00FC7943">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2324" w:type="dxa"/>
          </w:tcPr>
          <w:p w14:paraId="0A7ED23A" w14:textId="77777777" w:rsidR="00FC7943" w:rsidRDefault="00FC7943">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2551" w:type="dxa"/>
          </w:tcPr>
          <w:p w14:paraId="3E53B883" w14:textId="77777777" w:rsidR="00FC7943" w:rsidRDefault="00FC7943">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FC7943" w14:paraId="06E10DA9" w14:textId="77777777" w:rsidTr="00FC7943">
        <w:trPr>
          <w:trHeight w:val="64"/>
        </w:trPr>
        <w:tc>
          <w:tcPr>
            <w:tcW w:w="691" w:type="dxa"/>
          </w:tcPr>
          <w:p w14:paraId="7FE8F847" w14:textId="4A364587" w:rsidR="00FC7943" w:rsidRDefault="00FC7943">
            <w:pPr>
              <w:jc w:val="center"/>
              <w:rPr>
                <w:rFonts w:eastAsia="DengXian" w:cs="Arial"/>
                <w:color w:val="000000"/>
                <w:lang w:eastAsia="en-IE"/>
              </w:rPr>
            </w:pPr>
            <w:r>
              <w:rPr>
                <w:rFonts w:eastAsia="DengXian" w:cs="Arial"/>
                <w:color w:val="000000"/>
                <w:lang w:eastAsia="en-IE"/>
              </w:rPr>
              <w:t>604</w:t>
            </w:r>
          </w:p>
        </w:tc>
        <w:tc>
          <w:tcPr>
            <w:tcW w:w="1204" w:type="dxa"/>
          </w:tcPr>
          <w:p w14:paraId="4E6EF841" w14:textId="267F6240" w:rsidR="00FC7943" w:rsidRDefault="00FC7943">
            <w:pPr>
              <w:jc w:val="center"/>
              <w:rPr>
                <w:rFonts w:eastAsia="DengXian" w:cs="Arial"/>
                <w:color w:val="000000"/>
                <w:lang w:eastAsia="en-IE"/>
              </w:rPr>
            </w:pPr>
            <w:r>
              <w:rPr>
                <w:rFonts w:eastAsia="DengXian" w:cs="Arial"/>
                <w:color w:val="000000"/>
                <w:lang w:eastAsia="en-IE"/>
              </w:rPr>
              <w:t>VERSO, BILLY</w:t>
            </w:r>
          </w:p>
        </w:tc>
        <w:tc>
          <w:tcPr>
            <w:tcW w:w="1134" w:type="dxa"/>
          </w:tcPr>
          <w:p w14:paraId="1236AF4E" w14:textId="512FB204" w:rsidR="00FC7943" w:rsidRDefault="00FC7943">
            <w:pPr>
              <w:jc w:val="center"/>
              <w:rPr>
                <w:rFonts w:eastAsia="DengXian" w:cs="Arial"/>
                <w:color w:val="000000"/>
                <w:lang w:eastAsia="en-IE"/>
              </w:rPr>
            </w:pPr>
            <w:r w:rsidRPr="00F93F8C">
              <w:rPr>
                <w:rFonts w:eastAsia="DengXian" w:cs="Arial"/>
                <w:color w:val="000000"/>
                <w:lang w:eastAsia="en-IE"/>
              </w:rPr>
              <w:t>10.4</w:t>
            </w:r>
            <w:r>
              <w:rPr>
                <w:rFonts w:eastAsia="DengXian" w:cs="Arial"/>
                <w:color w:val="000000"/>
                <w:lang w:eastAsia="en-IE"/>
              </w:rPr>
              <w:t>0</w:t>
            </w:r>
            <w:r w:rsidRPr="00F93F8C">
              <w:rPr>
                <w:rFonts w:eastAsia="DengXian" w:cs="Arial"/>
                <w:color w:val="000000"/>
                <w:lang w:eastAsia="en-IE"/>
              </w:rPr>
              <w:t>.</w:t>
            </w:r>
            <w:r>
              <w:rPr>
                <w:rFonts w:eastAsia="DengXian" w:cs="Arial"/>
                <w:color w:val="000000"/>
                <w:lang w:eastAsia="en-IE"/>
              </w:rPr>
              <w:t>6</w:t>
            </w:r>
            <w:r w:rsidRPr="00F93F8C">
              <w:rPr>
                <w:rFonts w:eastAsia="DengXian" w:cs="Arial"/>
                <w:color w:val="000000"/>
                <w:lang w:eastAsia="en-IE"/>
              </w:rPr>
              <w:t>.</w:t>
            </w:r>
            <w:r>
              <w:rPr>
                <w:rFonts w:eastAsia="DengXian" w:cs="Arial"/>
                <w:color w:val="000000"/>
                <w:lang w:eastAsia="en-IE"/>
              </w:rPr>
              <w:t>1</w:t>
            </w:r>
          </w:p>
        </w:tc>
        <w:tc>
          <w:tcPr>
            <w:tcW w:w="617" w:type="dxa"/>
          </w:tcPr>
          <w:p w14:paraId="56F00712" w14:textId="0A9D5952" w:rsidR="00FC7943" w:rsidRDefault="00FC7943">
            <w:pPr>
              <w:jc w:val="center"/>
              <w:rPr>
                <w:rFonts w:eastAsia="DengXian" w:cs="Arial"/>
                <w:color w:val="000000"/>
                <w:lang w:eastAsia="zh-CN"/>
              </w:rPr>
            </w:pPr>
            <w:r>
              <w:rPr>
                <w:rFonts w:eastAsia="DengXian" w:cs="Arial"/>
                <w:color w:val="000000"/>
                <w:lang w:eastAsia="zh-CN"/>
              </w:rPr>
              <w:t>158</w:t>
            </w:r>
          </w:p>
        </w:tc>
        <w:tc>
          <w:tcPr>
            <w:tcW w:w="558" w:type="dxa"/>
          </w:tcPr>
          <w:p w14:paraId="514C1F2B" w14:textId="7E358731" w:rsidR="00FC7943" w:rsidRDefault="00FC7943">
            <w:pPr>
              <w:jc w:val="center"/>
              <w:rPr>
                <w:rFonts w:eastAsia="DengXian" w:cs="Arial"/>
                <w:color w:val="000000"/>
                <w:lang w:eastAsia="zh-CN"/>
              </w:rPr>
            </w:pPr>
            <w:r>
              <w:rPr>
                <w:rFonts w:eastAsia="DengXian" w:cs="Arial"/>
                <w:color w:val="000000"/>
                <w:lang w:eastAsia="zh-CN"/>
              </w:rPr>
              <w:t>10</w:t>
            </w:r>
          </w:p>
        </w:tc>
        <w:tc>
          <w:tcPr>
            <w:tcW w:w="2324" w:type="dxa"/>
          </w:tcPr>
          <w:p w14:paraId="7054A875" w14:textId="34E71030" w:rsidR="00FC7943" w:rsidRDefault="00FC7943">
            <w:pPr>
              <w:spacing w:line="240" w:lineRule="auto"/>
              <w:jc w:val="center"/>
              <w:rPr>
                <w:rFonts w:eastAsia="DengXian" w:cs="Arial"/>
                <w:color w:val="000000"/>
                <w:lang w:val="en-US" w:eastAsia="en-IE"/>
              </w:rPr>
            </w:pPr>
            <w:r w:rsidRPr="00643ED0">
              <w:rPr>
                <w:rFonts w:eastAsia="DengXian" w:cs="Arial"/>
                <w:color w:val="000000"/>
                <w:lang w:val="en-US" w:eastAsia="en-IE"/>
              </w:rPr>
              <w:t>The Preamble Code Configuration field seems intended to signal DPS related info, but it does not say that.  We should state this and cross reference with DPS clause in both directions.</w:t>
            </w:r>
          </w:p>
        </w:tc>
        <w:tc>
          <w:tcPr>
            <w:tcW w:w="2551" w:type="dxa"/>
          </w:tcPr>
          <w:p w14:paraId="7ACF89A9" w14:textId="0D7F63EC" w:rsidR="00FC7943" w:rsidRDefault="00FC7943">
            <w:pPr>
              <w:spacing w:line="240" w:lineRule="auto"/>
              <w:jc w:val="center"/>
              <w:rPr>
                <w:rFonts w:eastAsia="DengXian" w:cs="Arial"/>
                <w:color w:val="000000"/>
                <w:lang w:val="en-US" w:eastAsia="en-IE"/>
              </w:rPr>
            </w:pPr>
            <w:r w:rsidRPr="00643ED0">
              <w:rPr>
                <w:rFonts w:eastAsia="DengXian" w:cs="Arial"/>
                <w:color w:val="000000"/>
                <w:lang w:val="en-US" w:eastAsia="en-IE"/>
              </w:rPr>
              <w:t xml:space="preserve">Add words to say that this field is used for signalling information between devices to allow for dynamic preamble and channel selection, as described in 10.29.4 and add words in 10.29.4 (base standard clause) to refer to </w:t>
            </w:r>
            <w:bookmarkStart w:id="0" w:name="_Hlk205821020"/>
            <w:r w:rsidRPr="00643ED0">
              <w:rPr>
                <w:rFonts w:eastAsia="DengXian" w:cs="Arial"/>
                <w:color w:val="000000"/>
                <w:lang w:val="en-US" w:eastAsia="en-IE"/>
              </w:rPr>
              <w:t>the AC IE with Preamble Code Configuration field as one possible way to coordinate the DPS/DCS between devices.</w:t>
            </w:r>
            <w:bookmarkEnd w:id="0"/>
          </w:p>
        </w:tc>
      </w:tr>
      <w:tr w:rsidR="00FC7943" w14:paraId="6461775E" w14:textId="77777777" w:rsidTr="00FC7943">
        <w:trPr>
          <w:trHeight w:val="64"/>
        </w:trPr>
        <w:tc>
          <w:tcPr>
            <w:tcW w:w="691" w:type="dxa"/>
          </w:tcPr>
          <w:p w14:paraId="6B1D6A73" w14:textId="44065E5D" w:rsidR="00FC7943" w:rsidRDefault="00FC7943" w:rsidP="00643ED0">
            <w:pPr>
              <w:jc w:val="center"/>
              <w:rPr>
                <w:rFonts w:eastAsia="DengXian" w:cs="Arial"/>
                <w:color w:val="000000"/>
                <w:lang w:eastAsia="en-IE"/>
              </w:rPr>
            </w:pPr>
            <w:r>
              <w:rPr>
                <w:rFonts w:eastAsia="DengXian" w:cs="Arial"/>
                <w:color w:val="000000"/>
                <w:lang w:eastAsia="en-IE"/>
              </w:rPr>
              <w:t>605</w:t>
            </w:r>
          </w:p>
        </w:tc>
        <w:tc>
          <w:tcPr>
            <w:tcW w:w="1204" w:type="dxa"/>
          </w:tcPr>
          <w:p w14:paraId="1929CB0A" w14:textId="2789C37D" w:rsidR="00FC7943" w:rsidRDefault="00FC7943" w:rsidP="00643ED0">
            <w:pPr>
              <w:jc w:val="center"/>
              <w:rPr>
                <w:rFonts w:eastAsia="DengXian" w:cs="Arial"/>
                <w:color w:val="000000"/>
                <w:lang w:eastAsia="en-IE"/>
              </w:rPr>
            </w:pPr>
            <w:r>
              <w:rPr>
                <w:rFonts w:eastAsia="DengXian" w:cs="Arial"/>
                <w:color w:val="000000"/>
                <w:lang w:eastAsia="en-IE"/>
              </w:rPr>
              <w:t>VERSO, BILLY</w:t>
            </w:r>
          </w:p>
        </w:tc>
        <w:tc>
          <w:tcPr>
            <w:tcW w:w="1134" w:type="dxa"/>
          </w:tcPr>
          <w:p w14:paraId="735F007E" w14:textId="06556171" w:rsidR="00FC7943" w:rsidRPr="00F93F8C" w:rsidRDefault="00FC7943" w:rsidP="00643ED0">
            <w:pPr>
              <w:jc w:val="center"/>
              <w:rPr>
                <w:rFonts w:eastAsia="DengXian" w:cs="Arial"/>
                <w:color w:val="000000"/>
                <w:lang w:eastAsia="en-IE"/>
              </w:rPr>
            </w:pPr>
            <w:r w:rsidRPr="00F93F8C">
              <w:rPr>
                <w:rFonts w:eastAsia="DengXian" w:cs="Arial"/>
                <w:color w:val="000000"/>
                <w:lang w:eastAsia="en-IE"/>
              </w:rPr>
              <w:t>10.4</w:t>
            </w:r>
            <w:r>
              <w:rPr>
                <w:rFonts w:eastAsia="DengXian" w:cs="Arial"/>
                <w:color w:val="000000"/>
                <w:lang w:eastAsia="en-IE"/>
              </w:rPr>
              <w:t>0</w:t>
            </w:r>
            <w:r w:rsidRPr="00F93F8C">
              <w:rPr>
                <w:rFonts w:eastAsia="DengXian" w:cs="Arial"/>
                <w:color w:val="000000"/>
                <w:lang w:eastAsia="en-IE"/>
              </w:rPr>
              <w:t>.</w:t>
            </w:r>
            <w:r>
              <w:rPr>
                <w:rFonts w:eastAsia="DengXian" w:cs="Arial"/>
                <w:color w:val="000000"/>
                <w:lang w:eastAsia="en-IE"/>
              </w:rPr>
              <w:t>6</w:t>
            </w:r>
            <w:r w:rsidRPr="00F93F8C">
              <w:rPr>
                <w:rFonts w:eastAsia="DengXian" w:cs="Arial"/>
                <w:color w:val="000000"/>
                <w:lang w:eastAsia="en-IE"/>
              </w:rPr>
              <w:t>.</w:t>
            </w:r>
            <w:r>
              <w:rPr>
                <w:rFonts w:eastAsia="DengXian" w:cs="Arial"/>
                <w:color w:val="000000"/>
                <w:lang w:eastAsia="en-IE"/>
              </w:rPr>
              <w:t>1</w:t>
            </w:r>
          </w:p>
        </w:tc>
        <w:tc>
          <w:tcPr>
            <w:tcW w:w="617" w:type="dxa"/>
          </w:tcPr>
          <w:p w14:paraId="1EA2D504" w14:textId="1487F243" w:rsidR="00FC7943" w:rsidRDefault="00FC7943" w:rsidP="00643ED0">
            <w:pPr>
              <w:jc w:val="center"/>
              <w:rPr>
                <w:rFonts w:eastAsia="DengXian" w:cs="Arial"/>
                <w:color w:val="000000"/>
                <w:lang w:eastAsia="zh-CN"/>
              </w:rPr>
            </w:pPr>
            <w:r>
              <w:rPr>
                <w:rFonts w:eastAsia="DengXian" w:cs="Arial"/>
                <w:color w:val="000000"/>
                <w:lang w:eastAsia="zh-CN"/>
              </w:rPr>
              <w:t>158</w:t>
            </w:r>
          </w:p>
        </w:tc>
        <w:tc>
          <w:tcPr>
            <w:tcW w:w="558" w:type="dxa"/>
          </w:tcPr>
          <w:p w14:paraId="67D2BC03" w14:textId="03FEE4C1" w:rsidR="00FC7943" w:rsidRDefault="00FC7943" w:rsidP="00643ED0">
            <w:pPr>
              <w:jc w:val="center"/>
              <w:rPr>
                <w:rFonts w:eastAsia="DengXian" w:cs="Arial"/>
                <w:color w:val="000000"/>
                <w:lang w:eastAsia="zh-CN"/>
              </w:rPr>
            </w:pPr>
            <w:r>
              <w:rPr>
                <w:rFonts w:eastAsia="DengXian" w:cs="Arial"/>
                <w:color w:val="000000"/>
                <w:lang w:eastAsia="zh-CN"/>
              </w:rPr>
              <w:t>12</w:t>
            </w:r>
          </w:p>
        </w:tc>
        <w:tc>
          <w:tcPr>
            <w:tcW w:w="2324" w:type="dxa"/>
          </w:tcPr>
          <w:p w14:paraId="1A83BCD2" w14:textId="735246ED" w:rsidR="00FC7943" w:rsidRDefault="00FC7943" w:rsidP="00643ED0">
            <w:pPr>
              <w:spacing w:line="240" w:lineRule="auto"/>
              <w:jc w:val="center"/>
              <w:rPr>
                <w:rFonts w:eastAsia="DengXian" w:cs="Arial"/>
                <w:color w:val="000000"/>
                <w:lang w:val="en-US" w:eastAsia="en-IE"/>
              </w:rPr>
            </w:pPr>
            <w:r w:rsidRPr="00643ED0">
              <w:rPr>
                <w:rFonts w:eastAsia="DengXian" w:cs="Arial"/>
                <w:color w:val="000000"/>
                <w:lang w:val="en-US" w:eastAsia="en-IE"/>
              </w:rPr>
              <w:t>The Preamble Code Configuration field seems to be exactly the same content as the RCPCS IE Content.  Assuming this is intended then rather than saying it in two places, lets change the text to just refer to the RCPCS IE Content. Or, if we don't need two IEs to send the same information then remove the Preamble Code Configuration field.</w:t>
            </w:r>
          </w:p>
        </w:tc>
        <w:tc>
          <w:tcPr>
            <w:tcW w:w="2551" w:type="dxa"/>
          </w:tcPr>
          <w:p w14:paraId="4AEF962F" w14:textId="38723844" w:rsidR="00FC7943" w:rsidRDefault="00FC7943" w:rsidP="00643ED0">
            <w:pPr>
              <w:spacing w:line="240" w:lineRule="auto"/>
              <w:jc w:val="center"/>
              <w:rPr>
                <w:rFonts w:eastAsia="DengXian" w:cs="Arial"/>
                <w:color w:val="000000"/>
                <w:lang w:val="en-US" w:eastAsia="en-IE"/>
              </w:rPr>
            </w:pPr>
            <w:r w:rsidRPr="00643ED0">
              <w:rPr>
                <w:rFonts w:eastAsia="DengXian" w:cs="Arial"/>
                <w:color w:val="000000"/>
                <w:lang w:val="en-US" w:eastAsia="en-IE"/>
              </w:rPr>
              <w:t>Delete Figure 154—Preamble Code Configuration field of the AC IE and related text and instead state that the Preamble Code Configuration field, if present, is identical, in meaning and format, to the content field of the RCPCS IE as shown in Figure 10-214.</w:t>
            </w:r>
          </w:p>
        </w:tc>
      </w:tr>
    </w:tbl>
    <w:p w14:paraId="02D5CA37" w14:textId="77777777" w:rsidR="00064523" w:rsidRDefault="00064523">
      <w:pPr>
        <w:rPr>
          <w:rFonts w:asciiTheme="minorHAnsi" w:eastAsiaTheme="minorEastAsia" w:hAnsiTheme="minorHAnsi" w:cstheme="minorHAnsi"/>
          <w:b/>
          <w:bCs/>
          <w:u w:val="single"/>
          <w:lang w:eastAsia="zh-CN"/>
        </w:rPr>
      </w:pPr>
    </w:p>
    <w:p w14:paraId="5EBB4DD6"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7922CF3A" w14:textId="737305B3" w:rsidR="006B5700" w:rsidRDefault="00F93F8C" w:rsidP="00FC7943">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Agree with </w:t>
      </w:r>
      <w:r w:rsidR="00FC7943">
        <w:rPr>
          <w:rFonts w:asciiTheme="minorHAnsi" w:eastAsiaTheme="minorEastAsia" w:hAnsiTheme="minorHAnsi" w:cstheme="minorHAnsi"/>
          <w:lang w:eastAsia="zh-CN"/>
        </w:rPr>
        <w:t>CID 605 that the Preamble Code Configuration field is duplicate with the RCPCS IE.</w:t>
      </w:r>
    </w:p>
    <w:p w14:paraId="19831857" w14:textId="77777777" w:rsidR="006B5700" w:rsidRDefault="006B5700">
      <w:pPr>
        <w:rPr>
          <w:rFonts w:asciiTheme="minorHAnsi" w:eastAsiaTheme="minorEastAsia" w:hAnsiTheme="minorHAnsi" w:cstheme="minorHAnsi"/>
          <w:lang w:eastAsia="zh-CN"/>
        </w:rPr>
      </w:pPr>
    </w:p>
    <w:p w14:paraId="444967FA" w14:textId="6CE882F2"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F93F8C">
        <w:rPr>
          <w:rFonts w:asciiTheme="minorHAnsi" w:eastAsiaTheme="minorEastAsia" w:hAnsiTheme="minorHAnsi" w:cstheme="minorHAnsi"/>
          <w:b/>
          <w:bCs/>
          <w:u w:val="single"/>
          <w:lang w:eastAsia="zh-CN"/>
        </w:rPr>
        <w:t>Revised</w:t>
      </w:r>
    </w:p>
    <w:p w14:paraId="74A29620" w14:textId="05473090" w:rsidR="00C9380B" w:rsidRDefault="00C9380B" w:rsidP="00C9380B">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Pr>
          <w:rFonts w:asciiTheme="minorHAnsi" w:eastAsiaTheme="minorEastAsia" w:hAnsiTheme="minorHAnsi" w:cstheme="minorHAnsi"/>
          <w:i/>
          <w:iCs/>
          <w:highlight w:val="yellow"/>
          <w:lang w:eastAsia="zh-CN"/>
        </w:rPr>
        <w:t>add the following after Line 15</w:t>
      </w:r>
      <w:r w:rsidRPr="00F93F8C">
        <w:rPr>
          <w:rFonts w:asciiTheme="minorHAnsi" w:eastAsiaTheme="minorEastAsia" w:hAnsiTheme="minorHAnsi" w:cstheme="minorHAnsi"/>
          <w:i/>
          <w:iCs/>
          <w:highlight w:val="yellow"/>
          <w:lang w:eastAsia="zh-CN"/>
        </w:rPr>
        <w:t xml:space="preserve"> in page </w:t>
      </w:r>
      <w:r>
        <w:rPr>
          <w:rFonts w:asciiTheme="minorHAnsi" w:eastAsiaTheme="minorEastAsia" w:hAnsiTheme="minorHAnsi" w:cstheme="minorHAnsi"/>
          <w:i/>
          <w:iCs/>
          <w:highlight w:val="yellow"/>
          <w:lang w:eastAsia="zh-CN"/>
        </w:rPr>
        <w:t>42 as follows:</w:t>
      </w:r>
    </w:p>
    <w:p w14:paraId="171EB4CB" w14:textId="1D4E4DE9" w:rsidR="00C9380B" w:rsidRDefault="00C9380B" w:rsidP="00C9380B">
      <w:pPr>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Change 10.29.8.5 as follows</w:t>
      </w:r>
    </w:p>
    <w:p w14:paraId="38C6168E" w14:textId="77777777" w:rsidR="00C9380B" w:rsidRDefault="00C9380B" w:rsidP="00C9380B">
      <w:pPr>
        <w:spacing w:line="240" w:lineRule="auto"/>
        <w:rPr>
          <w:rFonts w:asciiTheme="minorHAnsi" w:eastAsiaTheme="minorEastAsia" w:hAnsiTheme="minorHAnsi" w:cstheme="minorHAnsi"/>
          <w:b/>
          <w:bCs/>
          <w:lang w:eastAsia="zh-CN"/>
        </w:rPr>
      </w:pPr>
      <w:r w:rsidRPr="00C9380B">
        <w:rPr>
          <w:rFonts w:asciiTheme="minorHAnsi" w:eastAsiaTheme="minorEastAsia" w:hAnsiTheme="minorHAnsi" w:cstheme="minorHAnsi"/>
          <w:b/>
          <w:bCs/>
          <w:lang w:eastAsia="zh-CN"/>
        </w:rPr>
        <w:t>10.29.8.5 Ranging Channel and Preamble Code Selection IE (RCPCS IE)</w:t>
      </w:r>
    </w:p>
    <w:p w14:paraId="600FB3E4" w14:textId="5542C7C8" w:rsidR="00C9380B" w:rsidRPr="00C9380B" w:rsidRDefault="00C9380B" w:rsidP="00C9380B">
      <w:pPr>
        <w:spacing w:line="240" w:lineRule="auto"/>
        <w:rPr>
          <w:rFonts w:asciiTheme="minorHAnsi" w:eastAsiaTheme="minorEastAsia" w:hAnsiTheme="minorHAnsi" w:cstheme="minorHAnsi"/>
          <w:lang w:eastAsia="zh-CN"/>
        </w:rPr>
      </w:pPr>
      <w:r w:rsidRPr="00C9380B">
        <w:rPr>
          <w:rFonts w:asciiTheme="minorHAnsi" w:eastAsiaTheme="minorEastAsia" w:hAnsiTheme="minorHAnsi" w:cstheme="minorHAnsi"/>
          <w:lang w:eastAsia="zh-CN"/>
        </w:rPr>
        <w:t>The RCPCS IE is provided as a mechanism to signal the choice of channel and/or choice of transmit and</w:t>
      </w:r>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 xml:space="preserve">receive preamble codes for DPS as described in 10.29.4.1, for a forthcoming ranging exchange. </w:t>
      </w:r>
      <w:ins w:id="1" w:author="Author" w:date="2025-08-11T16:10:00Z">
        <w:r>
          <w:rPr>
            <w:rFonts w:asciiTheme="minorHAnsi" w:eastAsiaTheme="minorEastAsia" w:hAnsiTheme="minorHAnsi" w:cstheme="minorHAnsi"/>
            <w:lang w:eastAsia="zh-CN"/>
          </w:rPr>
          <w:t xml:space="preserve">The </w:t>
        </w:r>
        <w:r w:rsidRPr="00C9380B">
          <w:rPr>
            <w:rFonts w:asciiTheme="minorHAnsi" w:eastAsiaTheme="minorEastAsia" w:hAnsiTheme="minorHAnsi" w:cstheme="minorHAnsi"/>
            <w:lang w:eastAsia="zh-CN"/>
          </w:rPr>
          <w:t xml:space="preserve">AC IE with Preamble Code Configuration field </w:t>
        </w:r>
        <w:r w:rsidR="0023004E">
          <w:rPr>
            <w:rFonts w:asciiTheme="minorHAnsi" w:eastAsiaTheme="minorEastAsia" w:hAnsiTheme="minorHAnsi" w:cstheme="minorHAnsi"/>
            <w:lang w:eastAsia="zh-CN"/>
          </w:rPr>
          <w:t xml:space="preserve">is </w:t>
        </w:r>
      </w:ins>
      <w:ins w:id="2" w:author="Author" w:date="2025-08-11T16:11:00Z">
        <w:r w:rsidR="0023004E">
          <w:rPr>
            <w:rFonts w:asciiTheme="minorHAnsi" w:eastAsiaTheme="minorEastAsia" w:hAnsiTheme="minorHAnsi" w:cstheme="minorHAnsi"/>
            <w:lang w:eastAsia="zh-CN"/>
          </w:rPr>
          <w:t xml:space="preserve">another </w:t>
        </w:r>
      </w:ins>
      <w:ins w:id="3" w:author="Author" w:date="2025-08-11T16:10:00Z">
        <w:r w:rsidRPr="00C9380B">
          <w:rPr>
            <w:rFonts w:asciiTheme="minorHAnsi" w:eastAsiaTheme="minorEastAsia" w:hAnsiTheme="minorHAnsi" w:cstheme="minorHAnsi"/>
            <w:lang w:eastAsia="zh-CN"/>
          </w:rPr>
          <w:t>possible way to coordinate the DPS/DCS between devices.</w:t>
        </w:r>
      </w:ins>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The Content</w:t>
      </w:r>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field of the RCPCS IE shall be formatted as shown in Figure 10-215.</w:t>
      </w:r>
      <w:r>
        <w:rPr>
          <w:rFonts w:asciiTheme="minorHAnsi" w:eastAsiaTheme="minorEastAsia" w:hAnsiTheme="minorHAnsi" w:cstheme="minorHAnsi"/>
          <w:lang w:eastAsia="zh-CN"/>
        </w:rPr>
        <w:t xml:space="preserve"> </w:t>
      </w:r>
    </w:p>
    <w:p w14:paraId="2EF47E6B" w14:textId="77777777" w:rsidR="00C9380B" w:rsidRDefault="00C9380B">
      <w:pPr>
        <w:rPr>
          <w:ins w:id="4" w:author="Author" w:date="2025-08-11T15:36:00Z"/>
          <w:rFonts w:asciiTheme="minorHAnsi" w:eastAsiaTheme="minorEastAsia" w:hAnsiTheme="minorHAnsi" w:cstheme="minorHAnsi"/>
          <w:b/>
          <w:bCs/>
          <w:u w:val="single"/>
          <w:lang w:eastAsia="zh-CN"/>
        </w:rPr>
      </w:pPr>
    </w:p>
    <w:p w14:paraId="48801FCB" w14:textId="36F3AF3D" w:rsidR="003944F2" w:rsidRPr="003944F2" w:rsidRDefault="003944F2" w:rsidP="003944F2">
      <w:pPr>
        <w:rPr>
          <w:rFonts w:asciiTheme="minorHAnsi" w:eastAsiaTheme="minorEastAsia" w:hAnsiTheme="minorHAnsi" w:cstheme="minorHAnsi"/>
          <w:b/>
          <w:bCs/>
          <w:highlight w:val="yellow"/>
          <w:lang w:eastAsia="zh-CN"/>
        </w:rPr>
      </w:pPr>
      <w:r w:rsidRPr="003944F2">
        <w:rPr>
          <w:rFonts w:asciiTheme="minorHAnsi" w:eastAsiaTheme="minorEastAsia" w:hAnsiTheme="minorHAnsi" w:cstheme="minorHAnsi"/>
          <w:b/>
          <w:bCs/>
          <w:lang w:eastAsia="zh-CN"/>
        </w:rPr>
        <w:t>10.40.6.1 Application Control IE (AC IE)</w:t>
      </w:r>
    </w:p>
    <w:p w14:paraId="7F49BBA5" w14:textId="3065B291" w:rsidR="003944F2" w:rsidRDefault="003944F2" w:rsidP="003944F2">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Pr>
          <w:rFonts w:asciiTheme="minorHAnsi" w:eastAsiaTheme="minorEastAsia" w:hAnsiTheme="minorHAnsi" w:cstheme="minorHAnsi"/>
          <w:i/>
          <w:iCs/>
          <w:highlight w:val="yellow"/>
          <w:lang w:eastAsia="zh-CN"/>
        </w:rPr>
        <w:t>revise Line 14-15</w:t>
      </w:r>
      <w:r w:rsidRPr="00F93F8C">
        <w:rPr>
          <w:rFonts w:asciiTheme="minorHAnsi" w:eastAsiaTheme="minorEastAsia" w:hAnsiTheme="minorHAnsi" w:cstheme="minorHAnsi"/>
          <w:i/>
          <w:iCs/>
          <w:highlight w:val="yellow"/>
          <w:lang w:eastAsia="zh-CN"/>
        </w:rPr>
        <w:t xml:space="preserve"> in page </w:t>
      </w:r>
      <w:r>
        <w:rPr>
          <w:rFonts w:asciiTheme="minorHAnsi" w:eastAsiaTheme="minorEastAsia" w:hAnsiTheme="minorHAnsi" w:cstheme="minorHAnsi"/>
          <w:i/>
          <w:iCs/>
          <w:highlight w:val="yellow"/>
          <w:lang w:eastAsia="zh-CN"/>
        </w:rPr>
        <w:t>159 as follows:</w:t>
      </w:r>
    </w:p>
    <w:p w14:paraId="5747F9DF" w14:textId="2893F3C1" w:rsidR="003944F2" w:rsidRPr="003944F2" w:rsidRDefault="003944F2">
      <w:pPr>
        <w:rPr>
          <w:rFonts w:asciiTheme="minorHAnsi" w:eastAsiaTheme="minorEastAsia" w:hAnsiTheme="minorHAnsi" w:cstheme="minorHAnsi"/>
          <w:lang w:eastAsia="zh-CN"/>
        </w:rPr>
      </w:pPr>
      <w:r w:rsidRPr="003944F2">
        <w:rPr>
          <w:rFonts w:asciiTheme="minorHAnsi" w:eastAsiaTheme="minorEastAsia" w:hAnsiTheme="minorHAnsi" w:cstheme="minorHAnsi"/>
          <w:lang w:eastAsia="zh-CN"/>
        </w:rPr>
        <w:t>The Preamble Code Configuration Present field when one indicates the presence of the Preamble Code</w:t>
      </w:r>
      <w:r>
        <w:rPr>
          <w:rFonts w:asciiTheme="minorHAnsi" w:eastAsiaTheme="minorEastAsia" w:hAnsiTheme="minorHAnsi" w:cstheme="minorHAnsi"/>
          <w:lang w:eastAsia="zh-CN"/>
        </w:rPr>
        <w:t xml:space="preserve"> </w:t>
      </w:r>
      <w:r w:rsidRPr="003944F2">
        <w:rPr>
          <w:rFonts w:asciiTheme="minorHAnsi" w:eastAsiaTheme="minorEastAsia" w:hAnsiTheme="minorHAnsi" w:cstheme="minorHAnsi"/>
          <w:lang w:eastAsia="zh-CN"/>
        </w:rPr>
        <w:t>Configuration field, or not present when zero.</w:t>
      </w:r>
      <w:r>
        <w:rPr>
          <w:rFonts w:asciiTheme="minorHAnsi" w:eastAsiaTheme="minorEastAsia" w:hAnsiTheme="minorHAnsi" w:cstheme="minorHAnsi"/>
          <w:lang w:eastAsia="zh-CN"/>
        </w:rPr>
        <w:t xml:space="preserve"> </w:t>
      </w:r>
      <w:ins w:id="5" w:author="Author" w:date="2025-08-11T15:34:00Z">
        <w:r>
          <w:rPr>
            <w:rFonts w:asciiTheme="minorHAnsi" w:eastAsiaTheme="minorEastAsia" w:hAnsiTheme="minorHAnsi" w:cstheme="minorHAnsi"/>
            <w:lang w:eastAsia="zh-CN"/>
          </w:rPr>
          <w:t>The Preamble Code Configuration field is used to signal information between devices t</w:t>
        </w:r>
      </w:ins>
      <w:ins w:id="6" w:author="Author" w:date="2025-08-11T15:35:00Z">
        <w:r>
          <w:rPr>
            <w:rFonts w:asciiTheme="minorHAnsi" w:eastAsiaTheme="minorEastAsia" w:hAnsiTheme="minorHAnsi" w:cstheme="minorHAnsi"/>
            <w:lang w:eastAsia="zh-CN"/>
          </w:rPr>
          <w:t>o allow for dynamic preamble and channel selection, as described in 10.29.4.</w:t>
        </w:r>
      </w:ins>
    </w:p>
    <w:p w14:paraId="2DCEA3EC" w14:textId="7B2F0B89" w:rsidR="00F93F8C" w:rsidRDefault="00F93F8C">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sidR="00FC7943">
        <w:rPr>
          <w:rFonts w:asciiTheme="minorHAnsi" w:eastAsiaTheme="minorEastAsia" w:hAnsiTheme="minorHAnsi" w:cstheme="minorHAnsi"/>
          <w:i/>
          <w:iCs/>
          <w:highlight w:val="yellow"/>
          <w:lang w:eastAsia="zh-CN"/>
        </w:rPr>
        <w:t>revise Line 10-12</w:t>
      </w:r>
      <w:r w:rsidRPr="00F93F8C">
        <w:rPr>
          <w:rFonts w:asciiTheme="minorHAnsi" w:eastAsiaTheme="minorEastAsia" w:hAnsiTheme="minorHAnsi" w:cstheme="minorHAnsi"/>
          <w:i/>
          <w:iCs/>
          <w:highlight w:val="yellow"/>
          <w:lang w:eastAsia="zh-CN"/>
        </w:rPr>
        <w:t xml:space="preserve"> in page </w:t>
      </w:r>
      <w:r w:rsidR="00FC7943">
        <w:rPr>
          <w:rFonts w:asciiTheme="minorHAnsi" w:eastAsiaTheme="minorEastAsia" w:hAnsiTheme="minorHAnsi" w:cstheme="minorHAnsi"/>
          <w:i/>
          <w:iCs/>
          <w:highlight w:val="yellow"/>
          <w:lang w:eastAsia="zh-CN"/>
        </w:rPr>
        <w:t>159 as follows:</w:t>
      </w:r>
    </w:p>
    <w:p w14:paraId="56DA6DDF" w14:textId="131FEC29" w:rsidR="00FC7943" w:rsidRPr="00FC7943" w:rsidRDefault="00FC7943">
      <w:pPr>
        <w:rPr>
          <w:rFonts w:asciiTheme="minorHAnsi" w:eastAsiaTheme="minorEastAsia" w:hAnsiTheme="minorHAnsi" w:cstheme="minorHAnsi"/>
          <w:lang w:eastAsia="zh-CN"/>
        </w:rPr>
      </w:pPr>
      <w:r w:rsidRPr="00FC7943">
        <w:rPr>
          <w:rFonts w:asciiTheme="minorHAnsi" w:eastAsiaTheme="minorEastAsia" w:hAnsiTheme="minorHAnsi" w:cstheme="minorHAnsi"/>
          <w:lang w:eastAsia="zh-CN"/>
        </w:rPr>
        <w:t>The Preamble Code Configuration field</w:t>
      </w:r>
      <w:ins w:id="7" w:author="Author" w:date="2025-08-11T15:31:00Z">
        <w:r w:rsidR="00937281">
          <w:rPr>
            <w:rFonts w:asciiTheme="minorHAnsi" w:eastAsiaTheme="minorEastAsia" w:hAnsiTheme="minorHAnsi" w:cstheme="minorHAnsi"/>
            <w:lang w:eastAsia="zh-CN"/>
          </w:rPr>
          <w:t>,</w:t>
        </w:r>
      </w:ins>
      <w:r w:rsidRPr="00FC7943">
        <w:rPr>
          <w:rFonts w:asciiTheme="minorHAnsi" w:eastAsiaTheme="minorEastAsia" w:hAnsiTheme="minorHAnsi" w:cstheme="minorHAnsi"/>
          <w:lang w:eastAsia="zh-CN"/>
        </w:rPr>
        <w:t xml:space="preserve"> if present</w:t>
      </w:r>
      <w:ins w:id="8" w:author="Author" w:date="2025-08-11T15:31:00Z">
        <w:r w:rsidR="00937281">
          <w:rPr>
            <w:rFonts w:asciiTheme="minorHAnsi" w:eastAsiaTheme="minorEastAsia" w:hAnsiTheme="minorHAnsi" w:cstheme="minorHAnsi"/>
            <w:lang w:eastAsia="zh-CN"/>
          </w:rPr>
          <w:t>,</w:t>
        </w:r>
      </w:ins>
      <w:r w:rsidRPr="00FC7943">
        <w:rPr>
          <w:rFonts w:asciiTheme="minorHAnsi" w:eastAsiaTheme="minorEastAsia" w:hAnsiTheme="minorHAnsi" w:cstheme="minorHAnsi"/>
          <w:lang w:eastAsia="zh-CN"/>
        </w:rPr>
        <w:t xml:space="preserve"> </w:t>
      </w:r>
      <w:del w:id="9" w:author="Author" w:date="2025-08-11T15:30:00Z">
        <w:r w:rsidRPr="00FC7943" w:rsidDel="00FC7943">
          <w:rPr>
            <w:rFonts w:asciiTheme="minorHAnsi" w:eastAsiaTheme="minorEastAsia" w:hAnsiTheme="minorHAnsi" w:cstheme="minorHAnsi"/>
            <w:lang w:eastAsia="zh-CN"/>
          </w:rPr>
          <w:delText>specifies the preamble code that will be used in the</w:delText>
        </w:r>
        <w:r w:rsidDel="00FC7943">
          <w:rPr>
            <w:rFonts w:asciiTheme="minorHAnsi" w:eastAsiaTheme="minorEastAsia" w:hAnsiTheme="minorHAnsi" w:cstheme="minorHAnsi"/>
            <w:lang w:eastAsia="zh-CN"/>
          </w:rPr>
          <w:delText xml:space="preserve"> </w:delText>
        </w:r>
        <w:r w:rsidRPr="00FC7943" w:rsidDel="00FC7943">
          <w:rPr>
            <w:rFonts w:asciiTheme="minorHAnsi" w:eastAsiaTheme="minorEastAsia" w:hAnsiTheme="minorHAnsi" w:cstheme="minorHAnsi"/>
            <w:lang w:eastAsia="zh-CN"/>
          </w:rPr>
          <w:delText>forthcoming ranging exchange, and shall be formatted as shown in Figure 154.</w:delText>
        </w:r>
      </w:del>
      <w:r w:rsidR="00937281">
        <w:rPr>
          <w:rFonts w:asciiTheme="minorHAnsi" w:eastAsiaTheme="minorEastAsia" w:hAnsiTheme="minorHAnsi" w:cstheme="minorHAnsi"/>
          <w:lang w:eastAsia="zh-CN"/>
        </w:rPr>
        <w:t xml:space="preserve"> </w:t>
      </w:r>
      <w:ins w:id="10" w:author="Author" w:date="2025-08-11T15:30:00Z">
        <w:r>
          <w:rPr>
            <w:rFonts w:asciiTheme="minorHAnsi" w:eastAsiaTheme="minorEastAsia" w:hAnsiTheme="minorHAnsi" w:cstheme="minorHAnsi"/>
            <w:lang w:eastAsia="zh-CN"/>
          </w:rPr>
          <w:t xml:space="preserve"> is identical in meaning and format, to the content field of the RCPCS IE as shown in Figure 10-214.</w:t>
        </w:r>
      </w:ins>
    </w:p>
    <w:p w14:paraId="60EDE9AF" w14:textId="08DA9004" w:rsidR="00FC7943" w:rsidRPr="00F93F8C" w:rsidRDefault="00FC7943" w:rsidP="00FC7943">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delete </w:t>
      </w:r>
      <w:r>
        <w:rPr>
          <w:rFonts w:asciiTheme="minorHAnsi" w:eastAsiaTheme="minorEastAsia" w:hAnsiTheme="minorHAnsi" w:cstheme="minorHAnsi"/>
          <w:i/>
          <w:iCs/>
          <w:highlight w:val="yellow"/>
          <w:lang w:eastAsia="zh-CN"/>
        </w:rPr>
        <w:t>Figure 154</w:t>
      </w:r>
      <w:r w:rsidRPr="00F93F8C">
        <w:rPr>
          <w:rFonts w:asciiTheme="minorHAnsi" w:eastAsiaTheme="minorEastAsia" w:hAnsiTheme="minorHAnsi" w:cstheme="minorHAnsi"/>
          <w:i/>
          <w:iCs/>
          <w:highlight w:val="yellow"/>
          <w:lang w:eastAsia="zh-CN"/>
        </w:rPr>
        <w:t xml:space="preserve"> in page</w:t>
      </w:r>
      <w:r>
        <w:rPr>
          <w:rFonts w:asciiTheme="minorHAnsi" w:eastAsiaTheme="minorEastAsia" w:hAnsiTheme="minorHAnsi" w:cstheme="minorHAnsi"/>
          <w:i/>
          <w:iCs/>
          <w:highlight w:val="yellow"/>
          <w:lang w:eastAsia="zh-CN"/>
        </w:rPr>
        <w:t xml:space="preserve"> 159</w:t>
      </w:r>
      <w:r>
        <w:rPr>
          <w:rFonts w:asciiTheme="minorHAnsi" w:eastAsiaTheme="minorEastAsia" w:hAnsiTheme="minorHAnsi" w:cstheme="minorHAnsi"/>
          <w:i/>
          <w:iCs/>
          <w:lang w:eastAsia="zh-CN"/>
        </w:rPr>
        <w:t>.</w:t>
      </w:r>
    </w:p>
    <w:p w14:paraId="415B26D7" w14:textId="77777777" w:rsidR="00FC7943" w:rsidRPr="00F93F8C" w:rsidRDefault="00FC7943">
      <w:pPr>
        <w:rPr>
          <w:rFonts w:asciiTheme="minorHAnsi" w:eastAsiaTheme="minorEastAsia" w:hAnsiTheme="minorHAnsi" w:cstheme="minorHAnsi"/>
          <w:i/>
          <w:iCs/>
          <w:lang w:eastAsia="zh-CN"/>
        </w:rPr>
      </w:pPr>
    </w:p>
    <w:sectPr w:rsidR="00FC7943" w:rsidRPr="00F93F8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3079" w14:textId="77777777" w:rsidR="008E6B7E" w:rsidRDefault="008E6B7E">
      <w:pPr>
        <w:spacing w:line="240" w:lineRule="auto"/>
      </w:pPr>
      <w:r>
        <w:separator/>
      </w:r>
    </w:p>
  </w:endnote>
  <w:endnote w:type="continuationSeparator" w:id="0">
    <w:p w14:paraId="1497E689" w14:textId="77777777" w:rsidR="008E6B7E" w:rsidRDefault="008E6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200001BF" w:csb1="4F01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00000000" w:usb1="00000000"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D79" w14:textId="77777777" w:rsidR="00064523" w:rsidRDefault="000645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E1C8" w14:textId="77777777" w:rsidR="00064523" w:rsidRDefault="00064523">
    <w:pPr>
      <w:pStyle w:val="Footer"/>
      <w:ind w:right="-46"/>
      <w:jc w:val="center"/>
      <w:rPr>
        <w:rFonts w:ascii="Times New Roman" w:hAnsi="Times New Roman"/>
      </w:rPr>
    </w:pPr>
  </w:p>
  <w:p w14:paraId="2FC37E57" w14:textId="77777777" w:rsidR="00064523" w:rsidRDefault="00F86E9C">
    <w:pPr>
      <w:pStyle w:val="Footer"/>
      <w:ind w:right="-46"/>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0FC0544F" wp14:editId="606F057B">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35pt;margin-top:-7.25pt;height:0pt;width:479.3pt;z-index:251659264;mso-width-relative:page;mso-height-relative:page;" filled="f" stroked="t" coordsize="21600,21600" o:gfxdata="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EepLtgAAAALAQAA&#10;DwAAAAAAAAABACAAAAAiAAAAZHJzL2Rvd25yZXYueG1sUEsBAhQAFAAAAAgAh07iQBOwJ5zgAQAA&#10;2AMAAA4AAAAAAAAAAQAgAAAAJwEAAGRycy9lMm9Eb2MueG1sUEsFBgAAAAAGAAYAWQEAAHkFAAAA&#10;AA==&#10;">
              <v:fill on="f" focussize="0,0"/>
              <v:stroke color="#000000 [3200]" joinstyle="round"/>
              <v:imagedata o:title=""/>
              <o:lock v:ext="edit" aspectratio="f"/>
            </v:line>
          </w:pict>
        </mc:Fallback>
      </mc:AlternateConten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6E1" w14:textId="77777777" w:rsidR="00064523" w:rsidRDefault="000645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BEC1" w14:textId="77777777" w:rsidR="008E6B7E" w:rsidRDefault="008E6B7E">
      <w:pPr>
        <w:spacing w:after="0" w:line="240" w:lineRule="auto"/>
      </w:pPr>
      <w:r>
        <w:separator/>
      </w:r>
    </w:p>
  </w:footnote>
  <w:footnote w:type="continuationSeparator" w:id="0">
    <w:p w14:paraId="7CC80E93" w14:textId="77777777" w:rsidR="008E6B7E" w:rsidRDefault="008E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FD7" w14:textId="77777777" w:rsidR="00064523" w:rsidRDefault="000645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DF3" w14:textId="77777777" w:rsidR="00064523" w:rsidRDefault="00064523">
    <w:pPr>
      <w:pStyle w:val="Header"/>
      <w:spacing w:after="240" w:line="220" w:lineRule="exact"/>
      <w:jc w:val="right"/>
      <w:rPr>
        <w:rFonts w:ascii="Times New Roman" w:eastAsia="Malgun Gothic" w:hAnsi="Times New Roman"/>
        <w:u w:val="single"/>
      </w:rPr>
    </w:pPr>
  </w:p>
  <w:p w14:paraId="55FF830A" w14:textId="622493E6" w:rsidR="00064523" w:rsidRDefault="007F5591">
    <w:pPr>
      <w:pStyle w:val="Header"/>
      <w:spacing w:after="240" w:line="220" w:lineRule="exact"/>
      <w:rPr>
        <w:rFonts w:ascii="Times New Roman" w:hAnsi="Times New Roman"/>
      </w:rPr>
    </w:pPr>
    <w:r>
      <w:rPr>
        <w:rFonts w:ascii="Times New Roman" w:eastAsia="Malgun Gothic" w:hAnsi="Times New Roman"/>
        <w:u w:val="single"/>
      </w:rPr>
      <w:t xml:space="preserve">Aug </w:t>
    </w:r>
    <w:r w:rsidR="00F86E9C">
      <w:rPr>
        <w:rFonts w:ascii="Times New Roman" w:eastAsia="Malgun Gothic" w:hAnsi="Times New Roman"/>
        <w:u w:val="single"/>
      </w:rPr>
      <w:t>202</w:t>
    </w:r>
    <w:r w:rsidR="00281A59">
      <w:rPr>
        <w:rFonts w:ascii="Times New Roman" w:eastAsia="Malgun Gothic" w:hAnsi="Times New Roman"/>
        <w:u w:val="single"/>
      </w:rPr>
      <w:t>5</w:t>
    </w:r>
    <w:r w:rsidR="00F86E9C">
      <w:rPr>
        <w:rFonts w:ascii="Times New Roman" w:eastAsia="Malgun Gothic" w:hAnsi="Times New Roman"/>
        <w:u w:val="single"/>
      </w:rPr>
      <w:t xml:space="preserve">               </w:t>
    </w:r>
    <w:r w:rsidR="00F86E9C">
      <w:rPr>
        <w:rFonts w:ascii="Times New Roman" w:eastAsia="Malgun Gothic" w:hAnsi="Times New Roman"/>
        <w:u w:val="single"/>
      </w:rPr>
      <w:tab/>
      <w:t xml:space="preserve">                                                                    IEEE P802.15-25-</w:t>
    </w:r>
    <w:r w:rsidR="00F86E9C" w:rsidRPr="00DB3B98">
      <w:rPr>
        <w:rFonts w:ascii="Times New Roman" w:eastAsia="Malgun Gothic" w:hAnsi="Times New Roman"/>
        <w:u w:val="single"/>
      </w:rPr>
      <w:t>0</w:t>
    </w:r>
    <w:r w:rsidR="004A5D7F">
      <w:rPr>
        <w:rFonts w:ascii="Times New Roman" w:eastAsiaTheme="minorEastAsia" w:hAnsi="Times New Roman"/>
        <w:u w:val="single"/>
      </w:rPr>
      <w:t>410</w:t>
    </w:r>
    <w:r w:rsidR="00F86E9C" w:rsidRPr="00DB3B98">
      <w:rPr>
        <w:rFonts w:ascii="Times New Roman" w:eastAsia="Malgun Gothic" w:hAnsi="Times New Roman"/>
        <w:u w:val="single"/>
      </w:rPr>
      <w:t>-</w:t>
    </w:r>
    <w:r w:rsidR="00F86E9C">
      <w:rPr>
        <w:rFonts w:ascii="Times New Roman" w:eastAsia="Malgun Gothic" w:hAnsi="Times New Roman"/>
        <w:u w:val="single"/>
      </w:rPr>
      <w:t>0</w:t>
    </w:r>
    <w:r w:rsidR="00F93F8C">
      <w:rPr>
        <w:rFonts w:ascii="Times New Roman" w:eastAsia="SimSun" w:hAnsi="Times New Roman"/>
        <w:u w:val="single"/>
        <w:lang w:val="en-US"/>
      </w:rPr>
      <w:t>0</w:t>
    </w:r>
    <w:r w:rsidR="00F86E9C">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1A1" w14:textId="77777777" w:rsidR="00064523" w:rsidRDefault="00064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1"/>
      <w:numFmt w:val="decimal"/>
      <w:pStyle w:val="Heading1"/>
      <w:suff w:val="space"/>
      <w:lvlText w:val="%1"/>
      <w:lvlJc w:val="left"/>
      <w:pPr>
        <w:ind w:left="156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B276F1C8"/>
    <w:rsid w:val="BFFFA8C7"/>
    <w:rsid w:val="DF923EC7"/>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4523"/>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7FE"/>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3CC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09F2"/>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004E"/>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1A59"/>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44F2"/>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724"/>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3C76"/>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A5D7F"/>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3598"/>
    <w:rsid w:val="005A46D8"/>
    <w:rsid w:val="005A56DA"/>
    <w:rsid w:val="005A5B50"/>
    <w:rsid w:val="005A71D1"/>
    <w:rsid w:val="005B023E"/>
    <w:rsid w:val="005B033C"/>
    <w:rsid w:val="005B0950"/>
    <w:rsid w:val="005B0A93"/>
    <w:rsid w:val="005B146C"/>
    <w:rsid w:val="005B2391"/>
    <w:rsid w:val="005B2A05"/>
    <w:rsid w:val="005B3233"/>
    <w:rsid w:val="005B337E"/>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1AAD"/>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3ED0"/>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5700"/>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5591"/>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E6B7E"/>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37281"/>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380B"/>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1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BC"/>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4FE3"/>
    <w:rsid w:val="00DA5EE7"/>
    <w:rsid w:val="00DA615C"/>
    <w:rsid w:val="00DA6AD2"/>
    <w:rsid w:val="00DA77F6"/>
    <w:rsid w:val="00DA7B4F"/>
    <w:rsid w:val="00DB0302"/>
    <w:rsid w:val="00DB05EE"/>
    <w:rsid w:val="00DB0721"/>
    <w:rsid w:val="00DB35AE"/>
    <w:rsid w:val="00DB3B98"/>
    <w:rsid w:val="00DB4E44"/>
    <w:rsid w:val="00DB62F2"/>
    <w:rsid w:val="00DB6AAA"/>
    <w:rsid w:val="00DB76F2"/>
    <w:rsid w:val="00DB7B86"/>
    <w:rsid w:val="00DB7D64"/>
    <w:rsid w:val="00DB7D99"/>
    <w:rsid w:val="00DC0F0C"/>
    <w:rsid w:val="00DC0F88"/>
    <w:rsid w:val="00DC1419"/>
    <w:rsid w:val="00DC1B70"/>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49D0"/>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31D"/>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6E9C"/>
    <w:rsid w:val="00F87C01"/>
    <w:rsid w:val="00F90416"/>
    <w:rsid w:val="00F904EE"/>
    <w:rsid w:val="00F90918"/>
    <w:rsid w:val="00F90A42"/>
    <w:rsid w:val="00F90A9B"/>
    <w:rsid w:val="00F9383D"/>
    <w:rsid w:val="00F93F8C"/>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943"/>
    <w:rsid w:val="00FC7D7F"/>
    <w:rsid w:val="00FD0EA5"/>
    <w:rsid w:val="00FD11AC"/>
    <w:rsid w:val="00FD36BD"/>
    <w:rsid w:val="00FD3EDD"/>
    <w:rsid w:val="00FD5638"/>
    <w:rsid w:val="00FD56FE"/>
    <w:rsid w:val="00FD5C8B"/>
    <w:rsid w:val="00FD6080"/>
    <w:rsid w:val="00FE02B6"/>
    <w:rsid w:val="00FE04F4"/>
    <w:rsid w:val="00FE0798"/>
    <w:rsid w:val="00FE3F9D"/>
    <w:rsid w:val="00FE52F1"/>
    <w:rsid w:val="00FE645C"/>
    <w:rsid w:val="00FE6C16"/>
    <w:rsid w:val="00FF6050"/>
    <w:rsid w:val="00FF7477"/>
    <w:rsid w:val="2B965A6E"/>
    <w:rsid w:val="657D41ED"/>
    <w:rsid w:val="6BF9FA26"/>
    <w:rsid w:val="6FF8F2D3"/>
    <w:rsid w:val="7B5F6E4C"/>
    <w:rsid w:val="7FEF4D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30" w:lineRule="atLeast"/>
      <w:jc w:val="both"/>
    </w:pPr>
    <w:rPr>
      <w:rFonts w:ascii="Arial" w:eastAsia="Times New Roman" w:hAnsi="Arial" w:cs="Times New Roman"/>
      <w:lang w:val="en-GB"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line="-270" w:lineRule="auto"/>
      <w:ind w:left="0"/>
      <w:jc w:val="left"/>
      <w:outlineLvl w:val="0"/>
    </w:pPr>
    <w:rPr>
      <w:b/>
      <w:sz w:val="24"/>
      <w:lang w:eastAsia="zh-CN"/>
    </w:rPr>
  </w:style>
  <w:style w:type="paragraph" w:styleId="Heading2">
    <w:name w:val="heading 2"/>
    <w:basedOn w:val="Heading1"/>
    <w:next w:val="Normal"/>
    <w:link w:val="Heading2Char"/>
    <w:autoRedefine/>
    <w:pPr>
      <w:numPr>
        <w:ilvl w:val="1"/>
      </w:numPr>
      <w:tabs>
        <w:tab w:val="clear" w:pos="400"/>
        <w:tab w:val="clear" w:pos="560"/>
        <w:tab w:val="left" w:pos="700"/>
      </w:tabs>
      <w:spacing w:before="240" w:line="250" w:lineRule="exact"/>
      <w:outlineLvl w:val="1"/>
    </w:pPr>
    <w:rPr>
      <w:rFonts w:eastAsia="MS Mincho"/>
      <w:sz w:val="22"/>
      <w:lang w:val="zh-CN" w:eastAsia="ja-JP"/>
    </w:rPr>
  </w:style>
  <w:style w:type="paragraph" w:styleId="Heading3">
    <w:name w:val="heading 3"/>
    <w:basedOn w:val="Heading1"/>
    <w:next w:val="Normal"/>
    <w:link w:val="Heading3Char"/>
    <w:autoRedefine/>
    <w:qFormat/>
    <w:pPr>
      <w:numPr>
        <w:ilvl w:val="2"/>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autoRedefine/>
    <w:qFormat/>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Lucida Grande" w:hAnsi="Lucida Grande"/>
      <w:sz w:val="18"/>
      <w:szCs w:val="18"/>
      <w:lang w:eastAsia="zh-CN"/>
    </w:rPr>
  </w:style>
  <w:style w:type="paragraph" w:styleId="BodyText">
    <w:name w:val="Body Text"/>
    <w:basedOn w:val="Normal"/>
    <w:link w:val="BodyTextChar"/>
    <w:pPr>
      <w:spacing w:before="60" w:after="60" w:line="210" w:lineRule="atLeast"/>
    </w:pPr>
    <w:rPr>
      <w:sz w:val="18"/>
    </w:rPr>
  </w:style>
  <w:style w:type="paragraph" w:styleId="BodyText2">
    <w:name w:val="Body Text 2"/>
    <w:basedOn w:val="Normal"/>
    <w:link w:val="BodyText2Char"/>
    <w:pPr>
      <w:spacing w:before="60" w:after="60" w:line="190" w:lineRule="atLeast"/>
    </w:pPr>
    <w:rPr>
      <w:sz w:val="16"/>
    </w:rPr>
  </w:style>
  <w:style w:type="paragraph" w:styleId="BodyText3">
    <w:name w:val="Body Text 3"/>
    <w:basedOn w:val="Normal"/>
    <w:link w:val="BodyText3Char"/>
    <w:pPr>
      <w:spacing w:before="60" w:after="60" w:line="170" w:lineRule="atLeast"/>
    </w:pPr>
    <w:rPr>
      <w:sz w:val="14"/>
    </w:rPr>
  </w:style>
  <w:style w:type="paragraph" w:styleId="Caption">
    <w:name w:val="caption"/>
    <w:basedOn w:val="Normal"/>
    <w:next w:val="Normal"/>
    <w:qFormat/>
    <w:pPr>
      <w:spacing w:after="0" w:line="240" w:lineRule="auto"/>
      <w:jc w:val="left"/>
    </w:pPr>
    <w:rPr>
      <w:rFonts w:ascii="Cambria" w:hAnsi="Cambria"/>
      <w:b/>
      <w:bCs/>
      <w:lang w:val="en-US"/>
    </w:r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sz w:val="24"/>
      <w:szCs w:val="24"/>
      <w:lang w:eastAsia="zh-CN"/>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pPr>
      <w:shd w:val="clear" w:color="auto" w:fill="000080"/>
      <w:spacing w:after="0" w:line="240" w:lineRule="auto"/>
      <w:jc w:val="left"/>
    </w:pPr>
    <w:rPr>
      <w:sz w:val="24"/>
      <w:lang w:val="zh-CN" w:eastAsia="ja-JP"/>
    </w:rPr>
  </w:style>
  <w:style w:type="character" w:styleId="Emphasis">
    <w:name w:val="Emphasis"/>
    <w:uiPriority w:val="99"/>
    <w:qFormat/>
    <w:rPr>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spacing w:after="0" w:line="-220" w:lineRule="auto"/>
    </w:pPr>
    <w:rPr>
      <w:lang w:eastAsia="zh-CN"/>
    </w:rPr>
  </w:style>
  <w:style w:type="character" w:styleId="FootnoteReference">
    <w:name w:val="footnote reference"/>
    <w:rPr>
      <w:position w:val="6"/>
      <w:sz w:val="16"/>
      <w:vertAlign w:val="baseline"/>
    </w:rPr>
  </w:style>
  <w:style w:type="paragraph" w:styleId="FootnoteText">
    <w:name w:val="footnote text"/>
    <w:basedOn w:val="Normal"/>
    <w:link w:val="FootnoteTextChar"/>
    <w:uiPriority w:val="99"/>
    <w:pPr>
      <w:tabs>
        <w:tab w:val="left" w:pos="340"/>
      </w:tabs>
      <w:spacing w:after="120" w:line="210" w:lineRule="atLeast"/>
    </w:pPr>
    <w:rPr>
      <w:sz w:val="18"/>
      <w:lang w:eastAsia="zh-CN"/>
    </w:rPr>
  </w:style>
  <w:style w:type="paragraph" w:styleId="Header">
    <w:name w:val="header"/>
    <w:basedOn w:val="Normal"/>
    <w:link w:val="HeaderChar"/>
    <w:pPr>
      <w:spacing w:after="740" w:line="-220" w:lineRule="auto"/>
    </w:pPr>
    <w:rPr>
      <w:b/>
      <w:sz w:val="22"/>
      <w:lang w:eastAsia="zh-CN"/>
    </w:rPr>
  </w:style>
  <w:style w:type="character" w:styleId="Hyperlink">
    <w:name w:val="Hyperlink"/>
    <w:uiPriority w:val="99"/>
    <w:rPr>
      <w:color w:val="0000FF"/>
      <w:u w:val="single"/>
    </w:rPr>
  </w:style>
  <w:style w:type="paragraph" w:styleId="Index1">
    <w:name w:val="index 1"/>
    <w:basedOn w:val="Normal"/>
    <w:pPr>
      <w:spacing w:after="0" w:line="210" w:lineRule="atLeast"/>
      <w:ind w:left="340" w:hanging="340"/>
      <w:jc w:val="left"/>
    </w:pPr>
    <w:rPr>
      <w:b/>
      <w:sz w:val="18"/>
    </w:rPr>
  </w:style>
  <w:style w:type="paragraph" w:styleId="IndexHeading">
    <w:name w:val="index heading"/>
    <w:basedOn w:val="Normal"/>
    <w:next w:val="Index1"/>
    <w:pPr>
      <w:keepNext/>
      <w:spacing w:before="480" w:after="210"/>
      <w:jc w:val="center"/>
    </w:pPr>
  </w:style>
  <w:style w:type="character" w:styleId="LineNumber">
    <w:name w:val="line number"/>
    <w:uiPriority w:val="99"/>
    <w:rPr>
      <w:rFonts w:cs="Times New Roman"/>
    </w:r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szCs w:val="24"/>
      <w:lang w:val="en-US"/>
    </w:rPr>
  </w:style>
  <w:style w:type="character" w:styleId="PageNumber">
    <w:name w:val="page number"/>
    <w:basedOn w:val="DefaultParagraphFont"/>
    <w:uiPriority w:val="99"/>
  </w:style>
  <w:style w:type="character" w:styleId="Strong">
    <w:name w:val="Strong"/>
    <w:uiPriority w:val="99"/>
    <w:qFormat/>
    <w:rPr>
      <w:rFonts w:cs="Times New Roman"/>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jc w:val="left"/>
    </w:pPr>
    <w:rPr>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val="en-US" w:eastAsia="en-US"/>
    </w:rPr>
  </w:style>
  <w:style w:type="paragraph" w:styleId="TOC1">
    <w:name w:val="toc 1"/>
    <w:basedOn w:val="Normal"/>
    <w:next w:val="Normal"/>
    <w:uiPriority w:val="39"/>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pPr>
      <w:ind w:left="200"/>
    </w:pPr>
    <w:rPr>
      <w:i w:val="0"/>
      <w:iCs w:val="0"/>
      <w:sz w:val="22"/>
      <w:szCs w:val="22"/>
    </w:rPr>
  </w:style>
  <w:style w:type="paragraph" w:styleId="TOC3">
    <w:name w:val="toc 3"/>
    <w:basedOn w:val="TOC2"/>
    <w:next w:val="Normal"/>
    <w:uiPriority w:val="39"/>
    <w:pPr>
      <w:spacing w:before="0"/>
      <w:ind w:left="400"/>
    </w:pPr>
    <w:rPr>
      <w:b w:val="0"/>
      <w:bCs w:val="0"/>
      <w:sz w:val="20"/>
      <w:szCs w:val="20"/>
    </w:rPr>
  </w:style>
  <w:style w:type="paragraph" w:styleId="TOC4">
    <w:name w:val="toc 4"/>
    <w:basedOn w:val="TOC2"/>
    <w:next w:val="Normal"/>
    <w:uiPriority w:val="39"/>
    <w:pPr>
      <w:spacing w:before="0"/>
      <w:ind w:left="600"/>
    </w:pPr>
    <w:rPr>
      <w:b w:val="0"/>
      <w:bCs w:val="0"/>
      <w:sz w:val="20"/>
      <w:szCs w:val="20"/>
    </w:rPr>
  </w:style>
  <w:style w:type="paragraph" w:styleId="TOC5">
    <w:name w:val="toc 5"/>
    <w:basedOn w:val="TOC4"/>
    <w:next w:val="Normal"/>
    <w:uiPriority w:val="39"/>
    <w:pPr>
      <w:ind w:left="800"/>
    </w:pPr>
  </w:style>
  <w:style w:type="paragraph" w:styleId="TOC6">
    <w:name w:val="toc 6"/>
    <w:basedOn w:val="TOC4"/>
    <w:next w:val="Normal"/>
    <w:uiPriority w:val="39"/>
    <w:pPr>
      <w:ind w:left="1000"/>
    </w:pPr>
  </w:style>
  <w:style w:type="paragraph" w:styleId="TOC7">
    <w:name w:val="toc 7"/>
    <w:basedOn w:val="Normal"/>
    <w:next w:val="Normal"/>
    <w:autoRedefine/>
    <w:uiPriority w:val="39"/>
    <w:pPr>
      <w:spacing w:after="0"/>
      <w:ind w:left="1200"/>
      <w:jc w:val="left"/>
    </w:pPr>
    <w:rPr>
      <w:rFonts w:asciiTheme="minorHAnsi" w:hAnsiTheme="minorHAnsi" w:cstheme="minorHAnsi"/>
    </w:rPr>
  </w:style>
  <w:style w:type="paragraph" w:styleId="TOC8">
    <w:name w:val="toc 8"/>
    <w:basedOn w:val="Normal"/>
    <w:next w:val="Normal"/>
    <w:autoRedefine/>
    <w:uiPriority w:val="39"/>
    <w:pPr>
      <w:spacing w:after="0"/>
      <w:ind w:left="1400"/>
      <w:jc w:val="left"/>
    </w:pPr>
    <w:rPr>
      <w:rFonts w:asciiTheme="minorHAnsi" w:hAnsiTheme="minorHAnsi" w:cstheme="minorHAnsi"/>
    </w:rPr>
  </w:style>
  <w:style w:type="paragraph" w:styleId="TOC9">
    <w:name w:val="toc 9"/>
    <w:basedOn w:val="TOC1"/>
    <w:next w:val="Normal"/>
    <w:uiPriority w:val="39"/>
    <w:pPr>
      <w:spacing w:before="0"/>
      <w:ind w:left="1600"/>
    </w:pPr>
    <w:rPr>
      <w:b w:val="0"/>
      <w:bCs w:val="0"/>
      <w:i w:val="0"/>
      <w:iCs w:val="0"/>
      <w:sz w:val="20"/>
      <w:szCs w:val="20"/>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Arial" w:eastAsia="MS Mincho" w:hAnsi="Arial" w:cs="Times New Roman"/>
      <w:b/>
      <w:szCs w:val="20"/>
      <w:lang w:val="zh-CN" w:eastAsia="ja-JP"/>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paragraph" w:customStyle="1" w:styleId="Bibliography1">
    <w:name w:val="Bibliography1"/>
    <w:basedOn w:val="Normal"/>
    <w:pPr>
      <w:tabs>
        <w:tab w:val="left" w:pos="660"/>
      </w:tabs>
      <w:ind w:left="658" w:hanging="658"/>
    </w:p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qFormat/>
    <w:pPr>
      <w:suppressAutoHyphens/>
      <w:spacing w:before="220" w:after="220"/>
      <w:jc w:val="center"/>
    </w:pPr>
    <w:rPr>
      <w:b/>
    </w:rPr>
  </w:style>
  <w:style w:type="paragraph" w:customStyle="1" w:styleId="Foreword">
    <w:name w:val="Foreword"/>
    <w:basedOn w:val="Normal"/>
    <w:next w:val="Normal"/>
    <w:uiPriority w:val="99"/>
    <w:rPr>
      <w:color w:val="0000FF"/>
    </w:rPr>
  </w:style>
  <w:style w:type="paragraph" w:customStyle="1" w:styleId="Formula">
    <w:name w:val="Formula"/>
    <w:basedOn w:val="Normal"/>
    <w:next w:val="Normal"/>
    <w:pPr>
      <w:tabs>
        <w:tab w:val="right" w:pos="9752"/>
      </w:tabs>
      <w:spacing w:after="220"/>
      <w:ind w:left="403"/>
      <w:jc w:val="left"/>
    </w:pPr>
  </w:style>
  <w:style w:type="paragraph" w:customStyle="1" w:styleId="Introduction">
    <w:name w:val="Introduction"/>
    <w:basedOn w:val="Normal"/>
    <w:next w:val="Normal"/>
    <w:uiPriority w:val="99"/>
    <w:pPr>
      <w:keepNext/>
      <w:pageBreakBefore/>
      <w:tabs>
        <w:tab w:val="left" w:pos="400"/>
      </w:tabs>
      <w:suppressAutoHyphens/>
      <w:spacing w:before="960" w:after="310" w:line="310" w:lineRule="exact"/>
      <w:jc w:val="left"/>
    </w:pPr>
    <w:rPr>
      <w:b/>
      <w:sz w:val="28"/>
    </w:rPr>
  </w:style>
  <w:style w:type="paragraph" w:customStyle="1" w:styleId="Note">
    <w:name w:val="Note"/>
    <w:basedOn w:val="Normal"/>
    <w:next w:val="Normal"/>
    <w:uiPriority w:val="99"/>
    <w:pPr>
      <w:tabs>
        <w:tab w:val="left" w:pos="960"/>
      </w:tabs>
      <w:spacing w:line="210" w:lineRule="atLeast"/>
    </w:pPr>
    <w:rPr>
      <w:sz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qFormat/>
    <w:pPr>
      <w:keepNext/>
      <w:suppressAutoHyphens/>
      <w:spacing w:before="120" w:after="120" w:line="-230" w:lineRule="auto"/>
      <w:jc w:val="center"/>
    </w:pPr>
    <w:rPr>
      <w: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val="en-US"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val="en-US"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val="en-US"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val="en-US"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val="en-US"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val="en-US"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val="en-US"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val="en-US"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val="en-US" w:eastAsia="en-US"/>
    </w:rPr>
  </w:style>
  <w:style w:type="paragraph" w:customStyle="1" w:styleId="Prim">
    <w:name w:val="Prim"/>
    <w:next w:val="H"/>
    <w:uiPriority w:val="99"/>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val="en-US"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val="en-US"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val="en-US"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val="en-US"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eastAsia="en-US"/>
    </w:rPr>
  </w:style>
  <w:style w:type="paragraph" w:customStyle="1" w:styleId="Bibliography11">
    <w:name w:val="Bibliography11"/>
    <w:basedOn w:val="Normal"/>
    <w:next w:val="Normal"/>
    <w:uiPriority w:val="99"/>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val="en-US"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val="en-US"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val="en-US"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val="en-US"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val="en-US"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val="en-US"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sz w:val="18"/>
      <w:lang w:val="en-US"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val="en-US"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val="en-US"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val="en-US"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val="en-US"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val="en-US"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val="en-US"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val="en-US"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val="en-US"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val="en-US"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val="en-US"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val="en-US"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val="en-US" w:eastAsia="ja-JP"/>
    </w:rPr>
  </w:style>
  <w:style w:type="paragraph" w:customStyle="1" w:styleId="IEEEStdsSans-Serif">
    <w:name w:val="IEEEStds Sans-Serif"/>
    <w:uiPriority w:val="99"/>
    <w:pPr>
      <w:jc w:val="both"/>
    </w:pPr>
    <w:rPr>
      <w:rFonts w:ascii="Arial" w:eastAsia="Times New Roman" w:hAnsi="Arial" w:cs="Times New Roman"/>
      <w:lang w:val="en-US"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val="en-US"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val="en-US"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val="en-US"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val="en-US"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val="en-US" w:eastAsia="ja-JP"/>
    </w:rPr>
  </w:style>
  <w:style w:type="paragraph" w:customStyle="1" w:styleId="covertext">
    <w:name w:val="cover text"/>
    <w:basedOn w:val="Normal"/>
    <w:uiPriority w:val="99"/>
    <w:pPr>
      <w:spacing w:before="120" w:after="120" w:line="240" w:lineRule="auto"/>
      <w:jc w:val="left"/>
    </w:pPr>
    <w:rPr>
      <w:rFonts w:ascii="Times New Roman" w:hAnsi="Times New Roman"/>
      <w:sz w:val="24"/>
      <w:lang w:val="en-US"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val="en-US" w:eastAsia="en-US"/>
    </w:rPr>
  </w:style>
  <w:style w:type="paragraph" w:customStyle="1" w:styleId="Graphic">
    <w:name w:val="Graphic"/>
    <w:basedOn w:val="Normal"/>
    <w:pPr>
      <w:keepNext/>
      <w:spacing w:before="240" w:after="0" w:line="240" w:lineRule="auto"/>
      <w:jc w:val="center"/>
    </w:pPr>
    <w:rPr>
      <w:rFonts w:eastAsia="MS Mincho"/>
      <w:lang w:eastAsia="ja-JP"/>
    </w:rPr>
  </w:style>
  <w:style w:type="paragraph" w:customStyle="1" w:styleId="MessageBody">
    <w:name w:val="MessageBody"/>
    <w:basedOn w:val="Normal"/>
    <w:pPr>
      <w:spacing w:after="0" w:line="240" w:lineRule="auto"/>
      <w:jc w:val="left"/>
    </w:pPr>
    <w:rPr>
      <w:szCs w:val="24"/>
      <w:lang w:val="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val="en-US"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pPr>
      <w:spacing w:after="0" w:line="240" w:lineRule="auto"/>
      <w:jc w:val="left"/>
    </w:pPr>
    <w:rPr>
      <w:rFonts w:ascii="Times New Roman" w:hAnsi="Times New Roman"/>
      <w:lang w:val="en-US" w:eastAsia="ja-JP"/>
    </w:rPr>
  </w:style>
  <w:style w:type="character" w:styleId="PlaceholderText">
    <w:name w:val="Placeholder Text"/>
    <w:basedOn w:val="DefaultParagraphFont"/>
    <w:uiPriority w:val="99"/>
    <w:semiHidden/>
    <w:rPr>
      <w:color w:val="808080"/>
    </w:rPr>
  </w:style>
  <w:style w:type="paragraph" w:customStyle="1" w:styleId="TableHeader">
    <w:name w:val="Table Header"/>
    <w:uiPriority w:val="2"/>
    <w:qFormat/>
    <w:pPr>
      <w:spacing w:before="80" w:after="40"/>
    </w:pPr>
    <w:rPr>
      <w:rFonts w:ascii="Arial Bold" w:eastAsia="MS Mincho" w:hAnsi="Arial Bold" w:cs="Times New Roman"/>
      <w:b/>
      <w:bCs/>
      <w:sz w:val="16"/>
      <w:lang w:val="en-US" w:eastAsia="ar-SA"/>
    </w:rPr>
  </w:style>
  <w:style w:type="paragraph" w:customStyle="1" w:styleId="TableCell">
    <w:name w:val="Table Cell"/>
    <w:basedOn w:val="Normal"/>
    <w:uiPriority w:val="2"/>
    <w:qFormat/>
    <w:pPr>
      <w:suppressAutoHyphens/>
      <w:spacing w:before="40" w:after="40" w:line="220" w:lineRule="atLeast"/>
      <w:jc w:val="left"/>
    </w:pPr>
    <w:rPr>
      <w:rFonts w:eastAsia="MS Mincho"/>
      <w:bCs/>
      <w:sz w:val="16"/>
      <w:lang w:val="en-US" w:eastAsia="ar-SA"/>
    </w:rPr>
  </w:style>
  <w:style w:type="paragraph" w:customStyle="1" w:styleId="TOCHeading1">
    <w:name w:val="TOC Heading1"/>
    <w:basedOn w:val="Heading1"/>
    <w:next w:val="Normal"/>
    <w:uiPriority w:val="39"/>
    <w:unhideWhenUsed/>
    <w:qFormat/>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Revision1">
    <w:name w:val="Revision1"/>
    <w:hidden/>
    <w:uiPriority w:val="99"/>
    <w:semiHidden/>
    <w:rPr>
      <w:rFonts w:ascii="Arial" w:eastAsia="Times New Roman" w:hAnsi="Arial" w:cs="Times New Roman"/>
      <w:lang w:val="en-GB" w:eastAsia="en-US"/>
    </w:rPr>
  </w:style>
  <w:style w:type="character" w:customStyle="1" w:styleId="1">
    <w:name w:val="멘션1"/>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sisl xmlns="http://www.boldonjames.com/2008/01/sie/internal/label" xmlns:xsi="http://www.w3.org/2001/XMLSchema-instance" xmlns:xsd="http://www.w3.org/2001/XMLSchema" origin="userSelected" sislVersion="0" policy="82049413-2d3e-4083-a592-ac23f9157539">
  <element value="" uid="ee71e43c-6952-4aa0-ba93-1c3981439a05"/>
</sisl>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boldonjames.com/2016/02/Classifier/internal/wrappedLabelHistory"/>
    <ds:schemaRef ds:uri="http://www.w3.org/2001/XMLSchema"/>
  </ds:schemaRefs>
</ds:datastoreItem>
</file>

<file path=customXml/itemProps2.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boldonjames.com/2008/01/sie/internal/label"/>
    <ds:schemaRef ds:uri="http://www.w3.org/2001/XMLSchem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588218-304E-439F-850F-344DD99D76BB}">
  <ds:schemaRefs>
    <ds:schemaRef ds:uri="http://www.boldonjames.com/2016/02/Classifier/internal/wrappedLabelHistory"/>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2024-08-20T23:58:00Z</dcterms:created>
  <dcterms:modified xsi:type="dcterms:W3CDTF">2025-08-19T06:09:00Z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y fmtid="{D5CDD505-2E9C-101B-9397-08002B2CF9AE}" pid="17" name="KSOProductBuildVer">
    <vt:lpwstr>1033-6.14.0.8718</vt:lpwstr>
  </property>
  <property fmtid="{D5CDD505-2E9C-101B-9397-08002B2CF9AE}" pid="18" name="ICV">
    <vt:lpwstr>B3F66B65FD8089B1E1EF3E6882C87E9B_42</vt:lpwstr>
  </property>
</Properties>
</file>