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05921A71" w:rsidR="00FB0AC0" w:rsidRDefault="004E370C" w:rsidP="004D1052">
            <w:pPr>
              <w:pStyle w:val="covertext"/>
            </w:pPr>
            <w:r>
              <w:t>Revised Resolution for CID 290</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1B6F961D" w:rsidR="00FB0AC0" w:rsidRDefault="004E370C" w:rsidP="004D1052">
            <w:pPr>
              <w:pStyle w:val="covertext"/>
            </w:pPr>
            <w:r>
              <w:t>28</w:t>
            </w:r>
            <w:r w:rsidR="00AB3F69">
              <w:t>-</w:t>
            </w:r>
            <w:r>
              <w:t>July</w:t>
            </w:r>
            <w:r w:rsidR="00AB3F69">
              <w:t>-2025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proofErr w:type="gramStart"/>
            <w:r>
              <w:t>ben.rolfe</w:t>
            </w:r>
            <w:proofErr w:type="spellEnd"/>
            <w:proofErr w:type="gramEnd"/>
            <w:r>
              <w:t xml:space="preserve"> @ </w:t>
            </w:r>
            <w:proofErr w:type="gramStart"/>
            <w:r>
              <w:t>ieee.org ]</w:t>
            </w:r>
            <w:proofErr w:type="gramEnd"/>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0F3EAD78" w14:textId="0028DB12" w:rsidR="00FB0AC0" w:rsidRDefault="00412257" w:rsidP="00412257">
            <w:r>
              <w:t>Comments</w:t>
            </w:r>
            <w:proofErr w:type="gramStart"/>
            <w:r>
              <w:t xml:space="preserve">:  </w:t>
            </w:r>
            <w:r w:rsidR="0042651D">
              <w:t>290</w:t>
            </w:r>
            <w:proofErr w:type="gramEnd"/>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 xml:space="preserve">Some </w:t>
            </w:r>
            <w:proofErr w:type="gramStart"/>
            <w:r>
              <w:t>more almost</w:t>
            </w:r>
            <w:proofErr w:type="gramEnd"/>
            <w:r>
              <w:t xml:space="preserve">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7CA89E6C" w:rsidR="00FB0AC0" w:rsidRDefault="00287220" w:rsidP="004D1052">
            <w:pPr>
              <w:pStyle w:val="covertext"/>
            </w:pPr>
            <w:r>
              <w:t>Resolve comments</w:t>
            </w:r>
            <w:r w:rsidR="00C02CBB">
              <w:t xml:space="preserve"> 290</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2557DCD3" w14:textId="20412DE2" w:rsidR="00693090" w:rsidRDefault="00087A83" w:rsidP="00AB3F69">
      <w:pPr>
        <w:pStyle w:val="Heading1"/>
      </w:pPr>
      <w:r>
        <w:t>Proposed resolution Accepted</w:t>
      </w:r>
      <w:r w:rsidR="00B622C2">
        <w:t xml:space="preserve"> </w:t>
      </w:r>
    </w:p>
    <w:p w14:paraId="03D44B86" w14:textId="77777777" w:rsidR="002F15C0" w:rsidRDefault="002F15C0" w:rsidP="002F15C0">
      <w:r>
        <w:t>CID 290</w:t>
      </w:r>
    </w:p>
    <w:tbl>
      <w:tblPr>
        <w:tblStyle w:val="TableGrid"/>
        <w:tblW w:w="9648" w:type="dxa"/>
        <w:tblLook w:val="04A0" w:firstRow="1" w:lastRow="0" w:firstColumn="1" w:lastColumn="0" w:noHBand="0" w:noVBand="1"/>
      </w:tblPr>
      <w:tblGrid>
        <w:gridCol w:w="552"/>
        <w:gridCol w:w="786"/>
        <w:gridCol w:w="1051"/>
        <w:gridCol w:w="533"/>
        <w:gridCol w:w="4453"/>
        <w:gridCol w:w="2273"/>
      </w:tblGrid>
      <w:tr w:rsidR="002F15C0" w14:paraId="66117C3F" w14:textId="77777777" w:rsidTr="00EF51C2">
        <w:tc>
          <w:tcPr>
            <w:tcW w:w="551" w:type="dxa"/>
          </w:tcPr>
          <w:p w14:paraId="02620EBA" w14:textId="77777777" w:rsidR="002F15C0" w:rsidRDefault="002F15C0" w:rsidP="00EF51C2">
            <w:r>
              <w:t>290</w:t>
            </w:r>
          </w:p>
        </w:tc>
        <w:tc>
          <w:tcPr>
            <w:tcW w:w="810" w:type="dxa"/>
          </w:tcPr>
          <w:p w14:paraId="06DBAE25" w14:textId="77777777" w:rsidR="002F15C0" w:rsidRDefault="002F15C0" w:rsidP="00EF51C2">
            <w:r>
              <w:rPr>
                <w:rFonts w:ascii="Arial" w:hAnsi="Arial" w:cs="Arial"/>
                <w:sz w:val="20"/>
                <w:szCs w:val="20"/>
              </w:rPr>
              <w:t>83</w:t>
            </w:r>
          </w:p>
        </w:tc>
        <w:tc>
          <w:tcPr>
            <w:tcW w:w="728" w:type="dxa"/>
          </w:tcPr>
          <w:p w14:paraId="34B47A3E" w14:textId="77777777" w:rsidR="002F15C0" w:rsidRDefault="002F15C0" w:rsidP="00EF51C2">
            <w:r>
              <w:rPr>
                <w:rFonts w:ascii="Arial" w:hAnsi="Arial" w:cs="Arial"/>
                <w:sz w:val="20"/>
                <w:szCs w:val="20"/>
              </w:rPr>
              <w:t>10.39.8.3</w:t>
            </w:r>
          </w:p>
        </w:tc>
        <w:tc>
          <w:tcPr>
            <w:tcW w:w="540" w:type="dxa"/>
          </w:tcPr>
          <w:p w14:paraId="0AC25ADC" w14:textId="77777777" w:rsidR="002F15C0" w:rsidRDefault="002F15C0" w:rsidP="00EF51C2">
            <w:r>
              <w:rPr>
                <w:rFonts w:ascii="Arial" w:hAnsi="Arial" w:cs="Arial"/>
                <w:sz w:val="20"/>
                <w:szCs w:val="20"/>
              </w:rPr>
              <w:t>14</w:t>
            </w:r>
          </w:p>
        </w:tc>
        <w:tc>
          <w:tcPr>
            <w:tcW w:w="4679" w:type="dxa"/>
          </w:tcPr>
          <w:p w14:paraId="5D2452F2" w14:textId="77777777" w:rsidR="002F15C0" w:rsidRDefault="002F15C0" w:rsidP="00EF51C2">
            <w:r>
              <w:rPr>
                <w:rFonts w:ascii="Arial" w:hAnsi="Arial" w:cs="Arial"/>
                <w:sz w:val="20"/>
                <w:szCs w:val="20"/>
              </w:rPr>
              <w:t xml:space="preserve"> The behavior defined in this clause already exists in the standard, though it might not be clear to the reader this is so. Clarify that the methods defined in the standard as </w:t>
            </w:r>
            <w:proofErr w:type="gramStart"/>
            <w:r>
              <w:rPr>
                <w:rFonts w:ascii="Arial" w:hAnsi="Arial" w:cs="Arial"/>
                <w:sz w:val="20"/>
                <w:szCs w:val="20"/>
              </w:rPr>
              <w:t>Random access</w:t>
            </w:r>
            <w:proofErr w:type="gramEnd"/>
            <w:r>
              <w:rPr>
                <w:rFonts w:ascii="Arial" w:hAnsi="Arial" w:cs="Arial"/>
                <w:sz w:val="20"/>
                <w:szCs w:val="20"/>
              </w:rPr>
              <w:t xml:space="preserve"> methods (6.3.2) can be used to achieve the described behavior. Provide an example using SSBD that meets the timing constraints stated.</w:t>
            </w:r>
          </w:p>
        </w:tc>
        <w:tc>
          <w:tcPr>
            <w:tcW w:w="2340" w:type="dxa"/>
          </w:tcPr>
          <w:p w14:paraId="558EE5C4" w14:textId="77777777" w:rsidR="002F15C0" w:rsidRDefault="002F15C0" w:rsidP="00EF51C2">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bl>
    <w:p w14:paraId="47D87A3E" w14:textId="77777777" w:rsidR="002F15C0" w:rsidRDefault="002F15C0" w:rsidP="002F15C0"/>
    <w:p w14:paraId="56D671F1" w14:textId="4636DB43" w:rsidR="002F15C0" w:rsidRPr="00055785" w:rsidRDefault="002F15C0" w:rsidP="002F15C0">
      <w:pPr>
        <w:rPr>
          <w:b/>
          <w:bCs/>
        </w:rPr>
      </w:pPr>
      <w:r w:rsidRPr="00055785">
        <w:rPr>
          <w:b/>
          <w:bCs/>
        </w:rPr>
        <w:t xml:space="preserve">Proposed resolution: </w:t>
      </w:r>
      <w:r w:rsidR="004E370C" w:rsidRPr="00055785">
        <w:rPr>
          <w:b/>
          <w:bCs/>
        </w:rPr>
        <w:t>Revised</w:t>
      </w:r>
    </w:p>
    <w:p w14:paraId="65E1DF3A" w14:textId="77777777" w:rsidR="00055785" w:rsidRPr="00055785" w:rsidRDefault="00055785" w:rsidP="002F15C0">
      <w:pPr>
        <w:rPr>
          <w:b/>
          <w:bCs/>
        </w:rPr>
      </w:pPr>
      <w:r w:rsidRPr="00055785">
        <w:rPr>
          <w:b/>
          <w:bCs/>
        </w:rPr>
        <w:t>Resolution detail:</w:t>
      </w:r>
    </w:p>
    <w:p w14:paraId="5D28C6F4" w14:textId="321B8C4B" w:rsidR="004E370C" w:rsidRDefault="004E370C" w:rsidP="002F15C0">
      <w:r>
        <w:t xml:space="preserve">Change first paragraph of 10.39.8.3 to: </w:t>
      </w:r>
    </w:p>
    <w:p w14:paraId="7F0950AD" w14:textId="33DEFD18" w:rsidR="006A0636" w:rsidRDefault="004E370C" w:rsidP="00055785">
      <w:pPr>
        <w:ind w:left="720"/>
      </w:pPr>
      <w:r w:rsidRPr="004E370C">
        <w:t xml:space="preserve">If LBT is required before a transmission, either for regulatory reasons or as a coexistence mechanism, then one of the channel access methods defined in 6.4.3 </w:t>
      </w:r>
      <w:r w:rsidR="004D3E68">
        <w:t xml:space="preserve">or </w:t>
      </w:r>
      <w:r w:rsidR="004D3E68" w:rsidRPr="004D3E68">
        <w:t>10.45</w:t>
      </w:r>
      <w:r w:rsidR="004D3E68">
        <w:t xml:space="preserve"> </w:t>
      </w:r>
      <w:r w:rsidRPr="004E370C">
        <w:t xml:space="preserve">with CCA mode 1 or 3 </w:t>
      </w:r>
      <w:r w:rsidR="004D3E68">
        <w:t xml:space="preserve">shall be </w:t>
      </w:r>
      <w:r w:rsidRPr="004E370C">
        <w:t xml:space="preserve">used </w:t>
      </w:r>
      <w:r>
        <w:t xml:space="preserve">prior to </w:t>
      </w:r>
      <w:r w:rsidR="004D3E68">
        <w:t>each</w:t>
      </w:r>
      <w:r>
        <w:t xml:space="preserve"> transmission.  When used</w:t>
      </w:r>
      <w:r w:rsidR="00055785">
        <w:t xml:space="preserve">, </w:t>
      </w:r>
      <w:r w:rsidR="004D3E68">
        <w:t xml:space="preserve">the </w:t>
      </w:r>
      <w:r>
        <w:t xml:space="preserve">channel access method </w:t>
      </w:r>
      <w:r w:rsidR="004D3E68" w:rsidRPr="006A0636">
        <w:t xml:space="preserve">shall be applied by initiator and responder independently in each transmission slot, even if the same channel is used in consecutive slots. </w:t>
      </w:r>
      <w:r w:rsidR="004D3E68">
        <w:t xml:space="preserve">Note that even when not required by </w:t>
      </w:r>
      <w:r w:rsidR="00055785">
        <w:t>regulations,</w:t>
      </w:r>
      <w:r w:rsidR="004D3E68">
        <w:t xml:space="preserve"> use of the channel access </w:t>
      </w:r>
      <w:r w:rsidR="00055785">
        <w:t xml:space="preserve">with CCA </w:t>
      </w:r>
      <w:r w:rsidR="004D3E68">
        <w:t xml:space="preserve">can improve </w:t>
      </w:r>
      <w:r w:rsidR="006A0636" w:rsidRPr="006A0636">
        <w:t>coexistence with other spectrum users.</w:t>
      </w:r>
    </w:p>
    <w:p w14:paraId="00218066" w14:textId="77777777" w:rsidR="00055785" w:rsidRPr="00055785" w:rsidRDefault="002F15C0" w:rsidP="002F15C0">
      <w:pPr>
        <w:rPr>
          <w:b/>
          <w:bCs/>
        </w:rPr>
      </w:pPr>
      <w:r w:rsidRPr="00055785">
        <w:rPr>
          <w:b/>
          <w:bCs/>
        </w:rPr>
        <w:t xml:space="preserve">Explanation:  </w:t>
      </w:r>
    </w:p>
    <w:p w14:paraId="61CDCF8D" w14:textId="77777777" w:rsidR="00055785" w:rsidRDefault="002F15C0" w:rsidP="002F15C0">
      <w:r>
        <w:t xml:space="preserve">The comment does NOT address in any way </w:t>
      </w:r>
      <w:r w:rsidRPr="006A0636">
        <w:rPr>
          <w:b/>
          <w:bCs/>
          <w:i/>
          <w:iCs/>
          <w:u w:val="single"/>
        </w:rPr>
        <w:t>when</w:t>
      </w:r>
      <w:r>
        <w:t xml:space="preserve"> LBT is used for channel access. </w:t>
      </w:r>
      <w:r w:rsidRPr="006A0636">
        <w:rPr>
          <w:b/>
          <w:bCs/>
          <w:u w:val="single"/>
        </w:rPr>
        <w:t xml:space="preserve">It only notes that the standard already contains mechanisms to achieve the LBT </w:t>
      </w:r>
      <w:r w:rsidR="00055785">
        <w:rPr>
          <w:b/>
          <w:bCs/>
          <w:u w:val="single"/>
        </w:rPr>
        <w:t>channel access</w:t>
      </w:r>
      <w:r>
        <w:t xml:space="preserve">.   </w:t>
      </w:r>
      <w:r w:rsidR="00055785">
        <w:t xml:space="preserve">The comment resolution of “Accepted” was reviewed and adopted by the group. </w:t>
      </w:r>
      <w:proofErr w:type="gramStart"/>
      <w:r w:rsidR="00055785">
        <w:t>However</w:t>
      </w:r>
      <w:proofErr w:type="gramEnd"/>
      <w:r w:rsidR="00055785">
        <w:t xml:space="preserve"> the Technical Editor encountered a problem following the proposed change as described in the comment and asked that a direct replacement for the subject paragraph be provide.   Further discussion followed and this proposed text incorporates suggestions gleaned from that discussion.</w:t>
      </w:r>
    </w:p>
    <w:p w14:paraId="7BDE0715" w14:textId="72E6C1B8" w:rsidR="002F15C0" w:rsidRDefault="004D3E68" w:rsidP="002F15C0">
      <w:r>
        <w:t xml:space="preserve"> </w:t>
      </w:r>
      <w:r w:rsidR="002F15C0">
        <w:t xml:space="preserve"> </w:t>
      </w:r>
    </w:p>
    <w:p w14:paraId="2058A590" w14:textId="77777777" w:rsidR="002F15C0" w:rsidRPr="00AB3F69" w:rsidRDefault="002F15C0" w:rsidP="002F15C0"/>
    <w:p w14:paraId="339AFDB3" w14:textId="77777777" w:rsidR="002F15C0" w:rsidRPr="002F15C0" w:rsidRDefault="002F15C0" w:rsidP="002F15C0"/>
    <w:sectPr w:rsidR="002F15C0" w:rsidRPr="002F15C0"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E1DE" w14:textId="77777777" w:rsidR="00AF6636" w:rsidRDefault="00AF6636" w:rsidP="00FB0AC0">
      <w:pPr>
        <w:spacing w:after="0" w:line="240" w:lineRule="auto"/>
      </w:pPr>
      <w:r>
        <w:separator/>
      </w:r>
    </w:p>
  </w:endnote>
  <w:endnote w:type="continuationSeparator" w:id="0">
    <w:p w14:paraId="3E0DC1CA" w14:textId="77777777" w:rsidR="00AF6636" w:rsidRDefault="00AF6636"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8A28" w14:textId="77777777" w:rsidR="00AF6636" w:rsidRDefault="00AF6636" w:rsidP="00FB0AC0">
      <w:pPr>
        <w:spacing w:after="0" w:line="240" w:lineRule="auto"/>
      </w:pPr>
      <w:r>
        <w:separator/>
      </w:r>
    </w:p>
  </w:footnote>
  <w:footnote w:type="continuationSeparator" w:id="0">
    <w:p w14:paraId="0E6F22B4" w14:textId="77777777" w:rsidR="00AF6636" w:rsidRDefault="00AF6636"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3A563202" w:rsidR="004D1052" w:rsidRPr="00FB0AC0" w:rsidRDefault="004E370C"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July</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00AB3F69" w:rsidRPr="00AB3F69">
      <w:t xml:space="preserve"> </w:t>
    </w:r>
    <w:r>
      <w:rPr>
        <w:rFonts w:ascii="Times New Roman" w:hAnsi="Times New Roman" w:cs="Times New Roman"/>
        <w:b/>
        <w:sz w:val="28"/>
      </w:rPr>
      <w:t>0347</w:t>
    </w:r>
    <w:r w:rsidR="00287220">
      <w:rPr>
        <w:rFonts w:ascii="Times New Roman" w:hAnsi="Times New Roman" w:cs="Times New Roman"/>
        <w:b/>
        <w:sz w:val="28"/>
      </w:rPr>
      <w:t>-0</w:t>
    </w:r>
    <w:r>
      <w:rPr>
        <w:rFonts w:ascii="Times New Roman" w:hAnsi="Times New Roman" w:cs="Times New Roman"/>
        <w:b/>
        <w:sz w:val="28"/>
      </w:rPr>
      <w:t>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55785"/>
    <w:rsid w:val="00072E19"/>
    <w:rsid w:val="00077C5F"/>
    <w:rsid w:val="00087A83"/>
    <w:rsid w:val="000C1650"/>
    <w:rsid w:val="000C7F04"/>
    <w:rsid w:val="000D2B85"/>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64CE3"/>
    <w:rsid w:val="00373F85"/>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4D3E68"/>
    <w:rsid w:val="004E370C"/>
    <w:rsid w:val="005A338F"/>
    <w:rsid w:val="005B0655"/>
    <w:rsid w:val="005B15FA"/>
    <w:rsid w:val="006061BC"/>
    <w:rsid w:val="0062205A"/>
    <w:rsid w:val="00627A43"/>
    <w:rsid w:val="006531CF"/>
    <w:rsid w:val="0066575A"/>
    <w:rsid w:val="006668D5"/>
    <w:rsid w:val="0068460F"/>
    <w:rsid w:val="00693090"/>
    <w:rsid w:val="00693DCB"/>
    <w:rsid w:val="006A0636"/>
    <w:rsid w:val="006A2C1B"/>
    <w:rsid w:val="006A6E0A"/>
    <w:rsid w:val="006C7A99"/>
    <w:rsid w:val="006E3A21"/>
    <w:rsid w:val="00705F79"/>
    <w:rsid w:val="00721A1D"/>
    <w:rsid w:val="00774787"/>
    <w:rsid w:val="0077620A"/>
    <w:rsid w:val="007929DB"/>
    <w:rsid w:val="007A52F4"/>
    <w:rsid w:val="007B3961"/>
    <w:rsid w:val="007B5DAE"/>
    <w:rsid w:val="007C03C6"/>
    <w:rsid w:val="007C087E"/>
    <w:rsid w:val="007E2076"/>
    <w:rsid w:val="007F4B72"/>
    <w:rsid w:val="00805879"/>
    <w:rsid w:val="00832ACF"/>
    <w:rsid w:val="00875882"/>
    <w:rsid w:val="00881B76"/>
    <w:rsid w:val="00894E14"/>
    <w:rsid w:val="008A64B6"/>
    <w:rsid w:val="008B3351"/>
    <w:rsid w:val="00941D2C"/>
    <w:rsid w:val="00963B65"/>
    <w:rsid w:val="009B2426"/>
    <w:rsid w:val="00A17CAB"/>
    <w:rsid w:val="00A55A4A"/>
    <w:rsid w:val="00A70155"/>
    <w:rsid w:val="00A763A8"/>
    <w:rsid w:val="00A84154"/>
    <w:rsid w:val="00A960BC"/>
    <w:rsid w:val="00AB3F69"/>
    <w:rsid w:val="00AC5616"/>
    <w:rsid w:val="00AD002D"/>
    <w:rsid w:val="00AD5381"/>
    <w:rsid w:val="00AF6636"/>
    <w:rsid w:val="00B303C0"/>
    <w:rsid w:val="00B622C2"/>
    <w:rsid w:val="00B83A1E"/>
    <w:rsid w:val="00B841D0"/>
    <w:rsid w:val="00B928A4"/>
    <w:rsid w:val="00BC319E"/>
    <w:rsid w:val="00BC689B"/>
    <w:rsid w:val="00C02CB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40DDE"/>
    <w:rsid w:val="00D850D9"/>
    <w:rsid w:val="00DA51C4"/>
    <w:rsid w:val="00DC2880"/>
    <w:rsid w:val="00DF667D"/>
    <w:rsid w:val="00E07346"/>
    <w:rsid w:val="00E44B76"/>
    <w:rsid w:val="00E53D9B"/>
    <w:rsid w:val="00E63366"/>
    <w:rsid w:val="00E64D77"/>
    <w:rsid w:val="00E655F8"/>
    <w:rsid w:val="00E86191"/>
    <w:rsid w:val="00EB4517"/>
    <w:rsid w:val="00EB79F2"/>
    <w:rsid w:val="00ED204A"/>
    <w:rsid w:val="00EE4057"/>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3955270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4</cp:revision>
  <dcterms:created xsi:type="dcterms:W3CDTF">2025-07-28T21:33:00Z</dcterms:created>
  <dcterms:modified xsi:type="dcterms:W3CDTF">2025-07-30T13:00:00Z</dcterms:modified>
</cp:coreProperties>
</file>