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4E18B6ED"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7400BA">
              <w:rPr>
                <w:rFonts w:ascii="Times New Roman" w:eastAsia="DejaVu Sans" w:hAnsi="Times New Roman" w:cs="Arial"/>
                <w:b/>
                <w:bCs/>
                <w:kern w:val="1"/>
                <w:sz w:val="24"/>
                <w:szCs w:val="24"/>
                <w:lang w:val="en-US" w:eastAsia="ar-SA"/>
              </w:rPr>
              <w:t>R</w:t>
            </w:r>
            <w:r w:rsidR="007E1B85">
              <w:rPr>
                <w:rFonts w:ascii="Times New Roman" w:eastAsia="DejaVu Sans" w:hAnsi="Times New Roman" w:cs="Arial"/>
                <w:b/>
                <w:bCs/>
                <w:kern w:val="1"/>
                <w:sz w:val="24"/>
                <w:szCs w:val="24"/>
                <w:lang w:val="en-US" w:eastAsia="ar-SA"/>
              </w:rPr>
              <w:t>SS</w:t>
            </w:r>
            <w:r w:rsidRPr="00831C6E">
              <w:rPr>
                <w:rFonts w:ascii="Times New Roman" w:eastAsia="DejaVu Sans" w:hAnsi="Times New Roman" w:cs="Arial"/>
                <w:b/>
                <w:bCs/>
                <w:kern w:val="1"/>
                <w:sz w:val="24"/>
                <w:szCs w:val="24"/>
                <w:lang w:val="en-US" w:eastAsia="ar-SA"/>
              </w:rPr>
              <w:t xml:space="preserve"> related comment</w:t>
            </w:r>
            <w:r w:rsidR="009B1433">
              <w:rPr>
                <w:rFonts w:ascii="Times New Roman" w:eastAsia="DejaVu Sans" w:hAnsi="Times New Roman" w:cs="Arial"/>
                <w:b/>
                <w:bCs/>
                <w:kern w:val="1"/>
                <w:sz w:val="24"/>
                <w:szCs w:val="24"/>
                <w:lang w:val="en-US" w:eastAsia="ar-SA"/>
              </w:rPr>
              <w:t xml:space="preserve">s: CIDs </w:t>
            </w:r>
            <w:r w:rsidR="008515F8">
              <w:rPr>
                <w:rFonts w:ascii="Times New Roman" w:eastAsia="DejaVu Sans" w:hAnsi="Times New Roman" w:cs="Arial"/>
                <w:b/>
                <w:bCs/>
                <w:kern w:val="1"/>
                <w:sz w:val="24"/>
                <w:szCs w:val="24"/>
                <w:lang w:val="en-US" w:eastAsia="ar-SA"/>
              </w:rPr>
              <w:t>3</w:t>
            </w:r>
            <w:r w:rsidR="007E1B85">
              <w:rPr>
                <w:rFonts w:ascii="Times New Roman" w:eastAsia="DejaVu Sans" w:hAnsi="Times New Roman" w:cs="Arial"/>
                <w:b/>
                <w:bCs/>
                <w:kern w:val="1"/>
                <w:sz w:val="24"/>
                <w:szCs w:val="24"/>
                <w:lang w:val="en-US" w:eastAsia="ar-SA"/>
              </w:rPr>
              <w:t>17</w:t>
            </w:r>
            <w:r w:rsidR="009B1433">
              <w:rPr>
                <w:rFonts w:ascii="Times New Roman" w:eastAsia="DejaVu Sans" w:hAnsi="Times New Roman" w:cs="Arial"/>
                <w:b/>
                <w:bCs/>
                <w:kern w:val="1"/>
                <w:sz w:val="24"/>
                <w:szCs w:val="24"/>
                <w:lang w:val="en-US" w:eastAsia="ar-SA"/>
              </w:rPr>
              <w:t xml:space="preserve"> and </w:t>
            </w:r>
            <w:r w:rsidR="008515F8">
              <w:rPr>
                <w:rFonts w:ascii="Times New Roman" w:eastAsia="DejaVu Sans" w:hAnsi="Times New Roman" w:cs="Arial"/>
                <w:b/>
                <w:bCs/>
                <w:kern w:val="1"/>
                <w:sz w:val="24"/>
                <w:szCs w:val="24"/>
                <w:lang w:val="en-US" w:eastAsia="ar-SA"/>
              </w:rPr>
              <w:t>3</w:t>
            </w:r>
            <w:r w:rsidR="007E1B85">
              <w:rPr>
                <w:rFonts w:ascii="Times New Roman" w:eastAsia="DejaVu Sans" w:hAnsi="Times New Roman" w:cs="Arial"/>
                <w:b/>
                <w:bCs/>
                <w:kern w:val="1"/>
                <w:sz w:val="24"/>
                <w:szCs w:val="24"/>
                <w:lang w:val="en-US" w:eastAsia="ar-SA"/>
              </w:rPr>
              <w:t>19</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proofErr w:type="spellStart"/>
            <w:r w:rsidRPr="00E713DC">
              <w:rPr>
                <w:sz w:val="20"/>
                <w:szCs w:val="20"/>
              </w:rPr>
              <w:lastRenderedPageBreak/>
              <w:t>Commenter</w:t>
            </w:r>
            <w:proofErr w:type="spellEnd"/>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proofErr w:type="spellStart"/>
            <w:r>
              <w:rPr>
                <w:sz w:val="20"/>
                <w:szCs w:val="20"/>
              </w:rPr>
              <w:t>page</w:t>
            </w:r>
            <w:proofErr w:type="spellEnd"/>
          </w:p>
        </w:tc>
        <w:tc>
          <w:tcPr>
            <w:tcW w:w="1086" w:type="dxa"/>
            <w:noWrap/>
          </w:tcPr>
          <w:p w14:paraId="3A70DD4B" w14:textId="77777777" w:rsidR="00536206" w:rsidRPr="00E713DC" w:rsidRDefault="00536206" w:rsidP="00ED178B">
            <w:pPr>
              <w:rPr>
                <w:sz w:val="20"/>
                <w:szCs w:val="20"/>
              </w:rPr>
            </w:pPr>
            <w:r>
              <w:rPr>
                <w:sz w:val="20"/>
                <w:szCs w:val="20"/>
              </w:rPr>
              <w:t>Sub-</w:t>
            </w:r>
            <w:proofErr w:type="spellStart"/>
            <w:r>
              <w:rPr>
                <w:sz w:val="20"/>
                <w:szCs w:val="20"/>
              </w:rPr>
              <w:t>Clause</w:t>
            </w:r>
            <w:proofErr w:type="spellEnd"/>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7E1B85" w:rsidRPr="007D5BE4" w14:paraId="03D55B07" w14:textId="77777777" w:rsidTr="00ED178B">
        <w:trPr>
          <w:trHeight w:val="1020"/>
        </w:trPr>
        <w:tc>
          <w:tcPr>
            <w:tcW w:w="1189" w:type="dxa"/>
            <w:noWrap/>
          </w:tcPr>
          <w:p w14:paraId="00DBD301" w14:textId="676ECF8F" w:rsidR="007E1B85" w:rsidRPr="008515F8" w:rsidRDefault="007E1B85" w:rsidP="007E1B85">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0C3A7A79" w14:textId="2BED2450" w:rsidR="007E1B85" w:rsidRPr="008515F8"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317</w:t>
            </w:r>
          </w:p>
        </w:tc>
        <w:tc>
          <w:tcPr>
            <w:tcW w:w="611" w:type="dxa"/>
            <w:noWrap/>
          </w:tcPr>
          <w:p w14:paraId="3A7934C6" w14:textId="0F59D61F" w:rsidR="007E1B85" w:rsidRPr="008515F8"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15</w:t>
            </w:r>
          </w:p>
        </w:tc>
        <w:tc>
          <w:tcPr>
            <w:tcW w:w="1086" w:type="dxa"/>
            <w:noWrap/>
          </w:tcPr>
          <w:p w14:paraId="56EA537A" w14:textId="0C9A5305"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5.2.5</w:t>
            </w:r>
          </w:p>
        </w:tc>
        <w:tc>
          <w:tcPr>
            <w:tcW w:w="551" w:type="dxa"/>
            <w:noWrap/>
          </w:tcPr>
          <w:p w14:paraId="769152AC" w14:textId="2E9BEB23"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9</w:t>
            </w:r>
          </w:p>
        </w:tc>
        <w:tc>
          <w:tcPr>
            <w:tcW w:w="2701" w:type="dxa"/>
          </w:tcPr>
          <w:p w14:paraId="401D8B24" w14:textId="54E64BDE"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Is RSS a special application space on its own? I think not, it is more a subset of ranging/RTLS.  If we had someone to draft it, I can think of some broader special application spaces that might be worth adding here, (e.g., real time location, access control, sensing).  In the absence of that I propose to delete all of 5.2.5.</w:t>
            </w:r>
          </w:p>
        </w:tc>
        <w:tc>
          <w:tcPr>
            <w:tcW w:w="2701" w:type="dxa"/>
          </w:tcPr>
          <w:p w14:paraId="486FCB41" w14:textId="772B2595"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Delete all of 5.2.5</w:t>
            </w:r>
          </w:p>
        </w:tc>
      </w:tr>
      <w:tr w:rsidR="007E1B85" w:rsidRPr="007D5BE4" w14:paraId="409EC50C" w14:textId="77777777" w:rsidTr="00ED178B">
        <w:trPr>
          <w:trHeight w:val="1020"/>
        </w:trPr>
        <w:tc>
          <w:tcPr>
            <w:tcW w:w="1189" w:type="dxa"/>
            <w:noWrap/>
          </w:tcPr>
          <w:p w14:paraId="2B11C9ED" w14:textId="0899A865" w:rsidR="007E1B85" w:rsidRPr="008515F8" w:rsidRDefault="007E1B85" w:rsidP="007E1B85">
            <w:pPr>
              <w:rPr>
                <w:sz w:val="18"/>
                <w:szCs w:val="18"/>
              </w:rPr>
            </w:pPr>
            <w:r w:rsidRPr="008515F8">
              <w:rPr>
                <w:rFonts w:ascii="Arial" w:eastAsia="Times New Roman" w:hAnsi="Arial" w:cs="Arial"/>
                <w:sz w:val="18"/>
                <w:szCs w:val="18"/>
                <w:lang w:val="en-US"/>
              </w:rPr>
              <w:t>VERSO, BILLY</w:t>
            </w:r>
          </w:p>
        </w:tc>
        <w:tc>
          <w:tcPr>
            <w:tcW w:w="663" w:type="dxa"/>
            <w:noWrap/>
          </w:tcPr>
          <w:p w14:paraId="647C4D48" w14:textId="272A170C" w:rsidR="007E1B85" w:rsidRPr="008515F8" w:rsidRDefault="007E1B85" w:rsidP="007E1B85">
            <w:pPr>
              <w:rPr>
                <w:sz w:val="18"/>
                <w:szCs w:val="18"/>
              </w:rPr>
            </w:pPr>
            <w:r w:rsidRPr="007E1B85">
              <w:rPr>
                <w:rFonts w:ascii="Arial" w:eastAsia="Times New Roman" w:hAnsi="Arial" w:cs="Arial"/>
                <w:sz w:val="20"/>
                <w:szCs w:val="20"/>
                <w:lang w:val="en-US"/>
              </w:rPr>
              <w:t>319</w:t>
            </w:r>
          </w:p>
        </w:tc>
        <w:tc>
          <w:tcPr>
            <w:tcW w:w="611" w:type="dxa"/>
            <w:noWrap/>
          </w:tcPr>
          <w:p w14:paraId="0FADA83D" w14:textId="17683AD5" w:rsidR="007E1B85" w:rsidRPr="008515F8" w:rsidRDefault="007E1B85" w:rsidP="007E1B85">
            <w:pPr>
              <w:rPr>
                <w:sz w:val="18"/>
                <w:szCs w:val="18"/>
              </w:rPr>
            </w:pPr>
            <w:r w:rsidRPr="007E1B85">
              <w:rPr>
                <w:rFonts w:ascii="Arial" w:eastAsia="Times New Roman" w:hAnsi="Arial" w:cs="Arial"/>
                <w:sz w:val="20"/>
                <w:szCs w:val="20"/>
                <w:lang w:val="en-US"/>
              </w:rPr>
              <w:t>15</w:t>
            </w:r>
          </w:p>
        </w:tc>
        <w:tc>
          <w:tcPr>
            <w:tcW w:w="1086" w:type="dxa"/>
            <w:noWrap/>
          </w:tcPr>
          <w:p w14:paraId="141BE0EA" w14:textId="355E9DA2" w:rsidR="007E1B85" w:rsidRPr="008515F8" w:rsidRDefault="007E1B85" w:rsidP="007E1B85">
            <w:pPr>
              <w:rPr>
                <w:sz w:val="18"/>
                <w:szCs w:val="18"/>
              </w:rPr>
            </w:pPr>
            <w:r w:rsidRPr="007E1B85">
              <w:rPr>
                <w:rFonts w:ascii="Arial" w:eastAsia="Times New Roman" w:hAnsi="Arial" w:cs="Arial"/>
                <w:sz w:val="20"/>
                <w:szCs w:val="20"/>
                <w:lang w:val="en-US"/>
              </w:rPr>
              <w:t>5.2.5</w:t>
            </w:r>
          </w:p>
        </w:tc>
        <w:tc>
          <w:tcPr>
            <w:tcW w:w="551" w:type="dxa"/>
            <w:noWrap/>
          </w:tcPr>
          <w:p w14:paraId="0C901FB1" w14:textId="5EDE19BD" w:rsidR="007E1B85" w:rsidRPr="008515F8" w:rsidRDefault="007E1B85" w:rsidP="007E1B85">
            <w:pPr>
              <w:rPr>
                <w:sz w:val="18"/>
                <w:szCs w:val="18"/>
              </w:rPr>
            </w:pPr>
            <w:r w:rsidRPr="007E1B85">
              <w:rPr>
                <w:rFonts w:ascii="Arial" w:eastAsia="Times New Roman" w:hAnsi="Arial" w:cs="Arial"/>
                <w:sz w:val="20"/>
                <w:szCs w:val="20"/>
                <w:lang w:val="en-US"/>
              </w:rPr>
              <w:t>13</w:t>
            </w:r>
          </w:p>
        </w:tc>
        <w:tc>
          <w:tcPr>
            <w:tcW w:w="2701" w:type="dxa"/>
          </w:tcPr>
          <w:p w14:paraId="101C8300" w14:textId="38D7DF63" w:rsidR="007E1B85" w:rsidRPr="008515F8" w:rsidRDefault="007E1B85" w:rsidP="007E1B85">
            <w:pPr>
              <w:rPr>
                <w:sz w:val="18"/>
                <w:szCs w:val="18"/>
              </w:rPr>
            </w:pPr>
            <w:r w:rsidRPr="007E1B85">
              <w:rPr>
                <w:rFonts w:ascii="Arial" w:eastAsia="Times New Roman" w:hAnsi="Arial" w:cs="Arial"/>
                <w:sz w:val="20"/>
                <w:szCs w:val="20"/>
                <w:lang w:val="en-US"/>
              </w:rPr>
              <w:t>"Time structures for communication are defined by the upper layer using the UWB ranging service." is not clear in meaning anything.</w:t>
            </w:r>
          </w:p>
        </w:tc>
        <w:tc>
          <w:tcPr>
            <w:tcW w:w="2701" w:type="dxa"/>
          </w:tcPr>
          <w:p w14:paraId="30DA453B" w14:textId="706F905C" w:rsidR="007E1B85" w:rsidRPr="008515F8" w:rsidRDefault="007E1B85" w:rsidP="007E1B85">
            <w:pPr>
              <w:rPr>
                <w:sz w:val="18"/>
                <w:szCs w:val="18"/>
                <w:lang w:val="en-US"/>
              </w:rPr>
            </w:pPr>
            <w:r w:rsidRPr="007E1B85">
              <w:rPr>
                <w:rFonts w:ascii="Arial" w:eastAsia="Times New Roman" w:hAnsi="Arial" w:cs="Arial"/>
                <w:sz w:val="20"/>
                <w:szCs w:val="20"/>
                <w:lang w:val="en-US"/>
              </w:rPr>
              <w:t>Delete the sentence.</w:t>
            </w:r>
          </w:p>
        </w:tc>
      </w:tr>
    </w:tbl>
    <w:p w14:paraId="4322DBBA" w14:textId="77777777" w:rsidR="009128C9" w:rsidRDefault="009128C9">
      <w:pPr>
        <w:rPr>
          <w:b/>
          <w:bCs/>
          <w:i/>
          <w:color w:val="5B9BD5" w:themeColor="accent1"/>
        </w:rPr>
      </w:pPr>
    </w:p>
    <w:p w14:paraId="3B7FDA89" w14:textId="77777777" w:rsidR="008515F8" w:rsidRDefault="008515F8">
      <w:pPr>
        <w:rPr>
          <w:b/>
          <w:bCs/>
          <w:i/>
          <w:color w:val="5B9BD5" w:themeColor="accent1"/>
        </w:rPr>
      </w:pPr>
    </w:p>
    <w:p w14:paraId="2A3E2D85" w14:textId="77777777" w:rsidR="008515F8" w:rsidRDefault="008515F8">
      <w:pPr>
        <w:rPr>
          <w:b/>
          <w:bCs/>
          <w:i/>
          <w:color w:val="5B9BD5" w:themeColor="accent1"/>
        </w:rPr>
      </w:pPr>
    </w:p>
    <w:p w14:paraId="77401E03" w14:textId="77777777" w:rsidR="008515F8" w:rsidRDefault="008515F8">
      <w:pPr>
        <w:rPr>
          <w:b/>
          <w:bCs/>
          <w:i/>
          <w:color w:val="5B9BD5" w:themeColor="accent1"/>
        </w:rPr>
      </w:pPr>
    </w:p>
    <w:p w14:paraId="47456719" w14:textId="77777777" w:rsidR="008515F8" w:rsidRDefault="008515F8">
      <w:pPr>
        <w:rPr>
          <w:b/>
          <w:bCs/>
          <w:i/>
          <w:color w:val="5B9BD5" w:themeColor="accent1"/>
        </w:rPr>
      </w:pPr>
    </w:p>
    <w:p w14:paraId="70E056F5" w14:textId="77777777" w:rsidR="008515F8" w:rsidRDefault="008515F8">
      <w:pPr>
        <w:rPr>
          <w:b/>
          <w:bCs/>
          <w:i/>
          <w:color w:val="5B9BD5" w:themeColor="accent1"/>
        </w:rPr>
      </w:pPr>
    </w:p>
    <w:p w14:paraId="456E9555" w14:textId="77777777" w:rsidR="008515F8" w:rsidRDefault="008515F8">
      <w:pPr>
        <w:rPr>
          <w:b/>
          <w:bCs/>
          <w:i/>
          <w:color w:val="5B9BD5" w:themeColor="accent1"/>
        </w:rPr>
      </w:pPr>
    </w:p>
    <w:p w14:paraId="100ADC5C" w14:textId="77777777" w:rsidR="008515F8" w:rsidRDefault="008515F8">
      <w:pPr>
        <w:rPr>
          <w:b/>
          <w:bCs/>
          <w:i/>
          <w:color w:val="5B9BD5" w:themeColor="accent1"/>
        </w:rPr>
      </w:pPr>
    </w:p>
    <w:p w14:paraId="22D5B4FB" w14:textId="77777777" w:rsidR="008515F8" w:rsidRDefault="008515F8">
      <w:pPr>
        <w:rPr>
          <w:b/>
          <w:bCs/>
          <w:i/>
          <w:color w:val="5B9BD5" w:themeColor="accent1"/>
        </w:rPr>
      </w:pPr>
    </w:p>
    <w:p w14:paraId="678CDFD6" w14:textId="77777777" w:rsidR="007E1B85" w:rsidRDefault="007E1B85">
      <w:pPr>
        <w:rPr>
          <w:b/>
          <w:bCs/>
          <w:i/>
          <w:color w:val="5B9BD5" w:themeColor="accent1"/>
        </w:rPr>
      </w:pPr>
    </w:p>
    <w:p w14:paraId="556F11F9" w14:textId="77777777" w:rsidR="007E1B85" w:rsidRDefault="007E1B85">
      <w:pPr>
        <w:rPr>
          <w:b/>
          <w:bCs/>
          <w:i/>
          <w:color w:val="5B9BD5" w:themeColor="accent1"/>
        </w:rPr>
      </w:pPr>
    </w:p>
    <w:p w14:paraId="304C1BEC" w14:textId="77777777" w:rsidR="007E1B85" w:rsidRDefault="007E1B85">
      <w:pPr>
        <w:rPr>
          <w:b/>
          <w:bCs/>
          <w:i/>
          <w:color w:val="5B9BD5" w:themeColor="accent1"/>
        </w:rPr>
      </w:pPr>
    </w:p>
    <w:p w14:paraId="62871DD5" w14:textId="77777777" w:rsidR="007E1B85" w:rsidRDefault="007E1B85">
      <w:pPr>
        <w:rPr>
          <w:b/>
          <w:bCs/>
          <w:i/>
          <w:color w:val="5B9BD5" w:themeColor="accent1"/>
        </w:rPr>
      </w:pPr>
    </w:p>
    <w:p w14:paraId="643FD086" w14:textId="77777777" w:rsidR="007E1B85" w:rsidRDefault="007E1B85">
      <w:pPr>
        <w:rPr>
          <w:b/>
          <w:bCs/>
          <w:i/>
          <w:color w:val="5B9BD5" w:themeColor="accent1"/>
        </w:rPr>
      </w:pPr>
    </w:p>
    <w:p w14:paraId="5F685FB5" w14:textId="77777777" w:rsidR="007E1B85" w:rsidRDefault="007E1B85">
      <w:pPr>
        <w:rPr>
          <w:b/>
          <w:bCs/>
          <w:i/>
          <w:color w:val="5B9BD5" w:themeColor="accent1"/>
        </w:rPr>
      </w:pPr>
    </w:p>
    <w:p w14:paraId="40D417F5" w14:textId="77777777" w:rsidR="007E1B85" w:rsidRDefault="007E1B85">
      <w:pPr>
        <w:rPr>
          <w:b/>
          <w:bCs/>
          <w:i/>
          <w:color w:val="5B9BD5" w:themeColor="accent1"/>
        </w:rPr>
      </w:pPr>
    </w:p>
    <w:p w14:paraId="7D79BED8" w14:textId="77777777" w:rsidR="007E1B85" w:rsidRDefault="007E1B85">
      <w:pPr>
        <w:rPr>
          <w:b/>
          <w:bCs/>
          <w:i/>
          <w:color w:val="5B9BD5" w:themeColor="accent1"/>
        </w:rPr>
      </w:pPr>
    </w:p>
    <w:p w14:paraId="5B4D1071" w14:textId="77777777" w:rsidR="007E1B85" w:rsidRDefault="007E1B85">
      <w:pPr>
        <w:rPr>
          <w:b/>
          <w:bCs/>
          <w:i/>
          <w:color w:val="5B9BD5" w:themeColor="accent1"/>
        </w:rPr>
      </w:pPr>
    </w:p>
    <w:p w14:paraId="1AAA2EC0" w14:textId="77777777" w:rsidR="008515F8" w:rsidRPr="00536206" w:rsidRDefault="008515F8">
      <w:pPr>
        <w:rPr>
          <w:b/>
          <w:bCs/>
          <w:i/>
          <w:color w:val="5B9BD5" w:themeColor="accent1"/>
        </w:rPr>
      </w:pPr>
    </w:p>
    <w:p w14:paraId="4997CD11" w14:textId="14D621CF" w:rsidR="00D461FA" w:rsidRPr="00FC5EA0" w:rsidRDefault="00FC5EA0">
      <w:pPr>
        <w:rPr>
          <w:lang w:val="en-US"/>
        </w:rPr>
      </w:pPr>
      <w:r w:rsidRPr="00FC5EA0">
        <w:rPr>
          <w:b/>
          <w:bCs/>
          <w:i/>
          <w:color w:val="5B9BD5" w:themeColor="accent1"/>
          <w:lang w:val="en-US"/>
        </w:rPr>
        <w:lastRenderedPageBreak/>
        <w:t>Comment Index #</w:t>
      </w:r>
      <w:r w:rsidR="008515F8">
        <w:rPr>
          <w:b/>
          <w:bCs/>
          <w:i/>
          <w:color w:val="5B9BD5" w:themeColor="accent1"/>
          <w:lang w:val="en-US"/>
        </w:rPr>
        <w:t>3</w:t>
      </w:r>
      <w:r w:rsidR="007E1B85">
        <w:rPr>
          <w:b/>
          <w:bCs/>
          <w:i/>
          <w:color w:val="5B9BD5" w:themeColor="accent1"/>
          <w:lang w:val="en-US"/>
        </w:rPr>
        <w:t>17</w:t>
      </w:r>
      <w:r w:rsidR="00EC3B9D">
        <w:rPr>
          <w:b/>
          <w:bCs/>
          <w:i/>
          <w:color w:val="5B9BD5" w:themeColor="accent1"/>
          <w:lang w:val="en-US"/>
        </w:rPr>
        <w:t xml:space="preserve">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7E1B85" w:rsidRPr="00536206" w14:paraId="5B63CCAB" w14:textId="77777777" w:rsidTr="00ED178B">
        <w:trPr>
          <w:trHeight w:val="1020"/>
        </w:trPr>
        <w:tc>
          <w:tcPr>
            <w:tcW w:w="1189" w:type="dxa"/>
            <w:noWrap/>
          </w:tcPr>
          <w:p w14:paraId="5234591D" w14:textId="5052D124" w:rsidR="007E1B85" w:rsidRPr="00536206" w:rsidRDefault="007E1B85" w:rsidP="007E1B85">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3D4B8D38" w14:textId="4B549C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317</w:t>
            </w:r>
          </w:p>
        </w:tc>
        <w:tc>
          <w:tcPr>
            <w:tcW w:w="611" w:type="dxa"/>
            <w:noWrap/>
          </w:tcPr>
          <w:p w14:paraId="16757576" w14:textId="26504109" w:rsidR="007E1B85" w:rsidRPr="00536206"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15</w:t>
            </w:r>
          </w:p>
        </w:tc>
        <w:tc>
          <w:tcPr>
            <w:tcW w:w="1086" w:type="dxa"/>
            <w:noWrap/>
          </w:tcPr>
          <w:p w14:paraId="3327FAB9" w14:textId="5C3C3154"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5.2.5</w:t>
            </w:r>
          </w:p>
        </w:tc>
        <w:tc>
          <w:tcPr>
            <w:tcW w:w="551" w:type="dxa"/>
            <w:noWrap/>
          </w:tcPr>
          <w:p w14:paraId="1FCA504B" w14:textId="27307D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9</w:t>
            </w:r>
          </w:p>
        </w:tc>
        <w:tc>
          <w:tcPr>
            <w:tcW w:w="2701" w:type="dxa"/>
          </w:tcPr>
          <w:p w14:paraId="2F7712DB" w14:textId="733D38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Is RSS a special application space on its own? I think not, it is more a subset of ranging/RTLS.  If we had someone to draft it, I can think of some broader special application spaces that might be worth adding here, (e.g., real time location, access control, sensing).  In the absence of that I propose to delete all of 5.2.5.</w:t>
            </w:r>
          </w:p>
        </w:tc>
        <w:tc>
          <w:tcPr>
            <w:tcW w:w="2701" w:type="dxa"/>
          </w:tcPr>
          <w:p w14:paraId="061B2B96" w14:textId="1D076720"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Delete all of 5.2.5</w:t>
            </w:r>
          </w:p>
        </w:tc>
      </w:tr>
    </w:tbl>
    <w:p w14:paraId="423D849A" w14:textId="77777777" w:rsidR="00D461FA" w:rsidRPr="00DF39A7" w:rsidRDefault="00D461FA"/>
    <w:p w14:paraId="4D14F258" w14:textId="1B07B608"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8515F8">
        <w:rPr>
          <w:rFonts w:eastAsiaTheme="minorEastAsia" w:cstheme="minorHAnsi"/>
          <w:b/>
          <w:bCs/>
          <w:sz w:val="20"/>
          <w:szCs w:val="20"/>
          <w:u w:val="single"/>
          <w:lang w:val="en-GB" w:eastAsia="zh-CN"/>
        </w:rPr>
        <w:t>3</w:t>
      </w:r>
      <w:r w:rsidR="007E1B85">
        <w:rPr>
          <w:rFonts w:eastAsiaTheme="minorEastAsia" w:cstheme="minorHAnsi"/>
          <w:b/>
          <w:bCs/>
          <w:sz w:val="20"/>
          <w:szCs w:val="20"/>
          <w:u w:val="single"/>
          <w:lang w:val="en-GB" w:eastAsia="zh-CN"/>
        </w:rPr>
        <w:t>17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435747DC" w:rsidR="00253BE0" w:rsidRDefault="007E1B85" w:rsidP="00DF0983">
      <w:pPr>
        <w:spacing w:after="240" w:line="230" w:lineRule="atLeast"/>
        <w:jc w:val="both"/>
        <w:rPr>
          <w:rFonts w:eastAsiaTheme="minorEastAsia" w:cstheme="minorHAnsi"/>
          <w:b/>
          <w:bCs/>
          <w:sz w:val="20"/>
          <w:szCs w:val="20"/>
          <w:u w:val="single"/>
          <w:lang w:val="en-US" w:eastAsia="zh-CN"/>
        </w:rPr>
      </w:pPr>
      <w:r w:rsidRPr="007E1B85">
        <w:rPr>
          <w:rFonts w:eastAsiaTheme="minorEastAsia" w:cstheme="minorHAnsi"/>
          <w:b/>
          <w:bCs/>
          <w:noProof/>
          <w:sz w:val="20"/>
          <w:szCs w:val="20"/>
          <w:u w:val="single"/>
          <w:lang w:val="en-US" w:eastAsia="zh-CN"/>
        </w:rPr>
        <w:drawing>
          <wp:inline distT="0" distB="0" distL="0" distR="0" wp14:anchorId="066CA289" wp14:editId="695474D4">
            <wp:extent cx="5760720" cy="1814195"/>
            <wp:effectExtent l="0" t="0" r="0" b="0"/>
            <wp:docPr id="582525667"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5667" name="Picture 1" descr="A close-up of a document&#10;&#10;AI-generated content may be incorrect."/>
                    <pic:cNvPicPr/>
                  </pic:nvPicPr>
                  <pic:blipFill>
                    <a:blip r:embed="rId8"/>
                    <a:stretch>
                      <a:fillRect/>
                    </a:stretch>
                  </pic:blipFill>
                  <pic:spPr>
                    <a:xfrm>
                      <a:off x="0" y="0"/>
                      <a:ext cx="5760720" cy="1814195"/>
                    </a:xfrm>
                    <a:prstGeom prst="rect">
                      <a:avLst/>
                    </a:prstGeom>
                  </pic:spPr>
                </pic:pic>
              </a:graphicData>
            </a:graphic>
          </wp:inline>
        </w:drawing>
      </w:r>
    </w:p>
    <w:p w14:paraId="5243E0BE" w14:textId="555AA1E6" w:rsidR="007E1B85" w:rsidRPr="007E1B85" w:rsidRDefault="003E5187" w:rsidP="007E1B85">
      <w:pPr>
        <w:spacing w:after="240" w:line="230" w:lineRule="atLeast"/>
        <w:jc w:val="both"/>
        <w:rPr>
          <w:rFonts w:eastAsiaTheme="minorEastAsia" w:cstheme="minorHAnsi"/>
          <w:sz w:val="20"/>
          <w:szCs w:val="20"/>
          <w:lang w:val="en-US" w:eastAsia="zh-CN"/>
        </w:rPr>
      </w:pPr>
      <w:r>
        <w:rPr>
          <w:rFonts w:eastAsiaTheme="minorEastAsia" w:cstheme="minorHAnsi"/>
          <w:sz w:val="20"/>
          <w:szCs w:val="20"/>
          <w:lang w:val="en-US" w:eastAsia="zh-CN"/>
        </w:rPr>
        <w:t>S</w:t>
      </w:r>
      <w:r w:rsidR="007E1B85" w:rsidRPr="007E1B85">
        <w:rPr>
          <w:rFonts w:eastAsiaTheme="minorEastAsia" w:cstheme="minorHAnsi"/>
          <w:sz w:val="20"/>
          <w:szCs w:val="20"/>
          <w:lang w:val="en-US" w:eastAsia="zh-CN"/>
        </w:rPr>
        <w:t xml:space="preserve">ection 5.2.5 is an informative section about special application spaces. It is important to introduce ranging support service (RSS) and indicate that RSS is based on time structures with fine time granularity and flexibility. </w:t>
      </w:r>
    </w:p>
    <w:p w14:paraId="166B27EA" w14:textId="1592B419" w:rsidR="007E1B85" w:rsidRPr="00253BE0" w:rsidRDefault="007E1B85" w:rsidP="00DF0983">
      <w:pPr>
        <w:spacing w:after="240" w:line="230" w:lineRule="atLeast"/>
        <w:jc w:val="both"/>
        <w:rPr>
          <w:rFonts w:eastAsiaTheme="minorEastAsia" w:cstheme="minorHAnsi"/>
          <w:b/>
          <w:bCs/>
          <w:sz w:val="20"/>
          <w:szCs w:val="20"/>
          <w:u w:val="single"/>
          <w:lang w:val="en-US" w:eastAsia="zh-CN"/>
        </w:rPr>
      </w:pPr>
      <w:r w:rsidRPr="007E1B85">
        <w:rPr>
          <w:rFonts w:eastAsiaTheme="minorEastAsia" w:cstheme="minorHAnsi"/>
          <w:sz w:val="20"/>
          <w:szCs w:val="20"/>
          <w:lang w:val="en-US" w:eastAsia="zh-CN"/>
        </w:rPr>
        <w:t>The application is network of ranging capable infrastructure and portable devices.</w:t>
      </w:r>
      <w:r>
        <w:rPr>
          <w:rFonts w:eastAsiaTheme="minorEastAsia" w:cstheme="minorHAnsi"/>
          <w:sz w:val="20"/>
          <w:szCs w:val="20"/>
          <w:lang w:val="en-US" w:eastAsia="zh-CN"/>
        </w:rPr>
        <w:t xml:space="preserve"> </w:t>
      </w:r>
      <w:r w:rsidRPr="007E1B85">
        <w:rPr>
          <w:rFonts w:eastAsiaTheme="minorEastAsia" w:cstheme="minorHAnsi"/>
          <w:sz w:val="20"/>
          <w:szCs w:val="20"/>
          <w:lang w:val="en-US" w:eastAsia="zh-CN"/>
        </w:rPr>
        <w:t>We can add “ for flexible real-time locating solutions”</w:t>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28A1DCBC" w:rsidR="00415B34" w:rsidRPr="00291F7B" w:rsidRDefault="007E1B85" w:rsidP="00C12A92">
      <w:pPr>
        <w:rPr>
          <w:b/>
          <w:bCs/>
          <w:sz w:val="20"/>
          <w:szCs w:val="20"/>
          <w:lang w:val="en-US"/>
        </w:rPr>
      </w:pPr>
      <w:r>
        <w:rPr>
          <w:b/>
          <w:bCs/>
          <w:sz w:val="20"/>
          <w:szCs w:val="20"/>
          <w:lang w:val="en-US"/>
        </w:rPr>
        <w:t>Revised</w:t>
      </w:r>
    </w:p>
    <w:p w14:paraId="005C01E7" w14:textId="3C170980"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7E1B85">
        <w:rPr>
          <w:rFonts w:eastAsiaTheme="minorEastAsia" w:cstheme="minorHAnsi"/>
          <w:b/>
          <w:bCs/>
          <w:sz w:val="20"/>
          <w:szCs w:val="20"/>
          <w:u w:val="single"/>
          <w:lang w:val="en-GB" w:eastAsia="zh-CN"/>
        </w:rPr>
        <w:t>317</w:t>
      </w:r>
      <w:r w:rsidRPr="00415B34">
        <w:rPr>
          <w:rFonts w:eastAsiaTheme="minorEastAsia" w:cstheme="minorHAnsi"/>
          <w:b/>
          <w:bCs/>
          <w:sz w:val="20"/>
          <w:szCs w:val="20"/>
          <w:u w:val="single"/>
          <w:lang w:val="en-GB" w:eastAsia="zh-CN"/>
        </w:rPr>
        <w:t xml:space="preserve">: </w:t>
      </w:r>
    </w:p>
    <w:p w14:paraId="37F16AC7" w14:textId="3DBBD162" w:rsid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 xml:space="preserve">Change page </w:t>
      </w:r>
      <w:r w:rsidR="007E1B85">
        <w:rPr>
          <w:rFonts w:eastAsiaTheme="minorEastAsia" w:cstheme="minorHAnsi"/>
          <w:b/>
          <w:bCs/>
          <w:sz w:val="20"/>
          <w:szCs w:val="20"/>
          <w:lang w:val="en-GB" w:eastAsia="zh-CN"/>
        </w:rPr>
        <w:t>1</w:t>
      </w:r>
      <w:r w:rsidR="008515F8">
        <w:rPr>
          <w:rFonts w:eastAsiaTheme="minorEastAsia" w:cstheme="minorHAnsi"/>
          <w:b/>
          <w:bCs/>
          <w:sz w:val="20"/>
          <w:szCs w:val="20"/>
          <w:lang w:val="en-GB" w:eastAsia="zh-CN"/>
        </w:rPr>
        <w:t>5</w:t>
      </w:r>
      <w:r w:rsidRPr="00BB2886">
        <w:rPr>
          <w:rFonts w:eastAsiaTheme="minorEastAsia" w:cstheme="minorHAnsi"/>
          <w:b/>
          <w:bCs/>
          <w:sz w:val="20"/>
          <w:szCs w:val="20"/>
          <w:lang w:val="en-GB" w:eastAsia="zh-CN"/>
        </w:rPr>
        <w:t xml:space="preserve"> line </w:t>
      </w:r>
      <w:r w:rsidR="007E1B85">
        <w:rPr>
          <w:rFonts w:eastAsiaTheme="minorEastAsia" w:cstheme="minorHAnsi"/>
          <w:b/>
          <w:bCs/>
          <w:sz w:val="20"/>
          <w:szCs w:val="20"/>
          <w:lang w:val="en-GB" w:eastAsia="zh-CN"/>
        </w:rPr>
        <w:t>10-11</w:t>
      </w:r>
    </w:p>
    <w:p w14:paraId="6F0C1BBC" w14:textId="5EBB5A5A" w:rsidR="007E1B85" w:rsidRPr="007E1B85" w:rsidRDefault="007E1B85" w:rsidP="00415B34">
      <w:pPr>
        <w:spacing w:after="240" w:line="230" w:lineRule="atLeast"/>
        <w:jc w:val="both"/>
        <w:rPr>
          <w:rFonts w:eastAsiaTheme="minorEastAsia" w:cstheme="minorHAnsi"/>
          <w:sz w:val="20"/>
          <w:szCs w:val="20"/>
          <w:lang w:val="en-GB" w:eastAsia="zh-CN"/>
        </w:rPr>
      </w:pPr>
      <w:r w:rsidRPr="007E1B85">
        <w:rPr>
          <w:rFonts w:eastAsiaTheme="minorEastAsia" w:cstheme="minorHAnsi"/>
          <w:sz w:val="20"/>
          <w:szCs w:val="20"/>
          <w:lang w:val="en-US" w:eastAsia="zh-CN"/>
        </w:rPr>
        <w:t>The ranging support service (RSS) defined in this standard provides a way to support ranging services with a network of ranging capable infrastructure and portable devices</w:t>
      </w:r>
      <w:r>
        <w:rPr>
          <w:rFonts w:eastAsiaTheme="minorEastAsia" w:cstheme="minorHAnsi"/>
          <w:sz w:val="20"/>
          <w:szCs w:val="20"/>
          <w:lang w:val="en-US" w:eastAsia="zh-CN"/>
        </w:rPr>
        <w:t xml:space="preserve"> </w:t>
      </w:r>
      <w:r w:rsidRPr="007E1B85">
        <w:rPr>
          <w:rFonts w:eastAsiaTheme="minorEastAsia" w:cstheme="minorHAnsi"/>
          <w:color w:val="FF0000"/>
          <w:sz w:val="20"/>
          <w:szCs w:val="20"/>
          <w:lang w:val="en-US" w:eastAsia="zh-CN"/>
        </w:rPr>
        <w:t>(e.g., for flexible real-time locating solutions)</w:t>
      </w: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21E7983D" w14:textId="6ABEF5A0" w:rsidR="00EC3B9D" w:rsidRPr="00FC5EA0" w:rsidRDefault="00EC3B9D" w:rsidP="00EC3B9D">
      <w:pPr>
        <w:rPr>
          <w:lang w:val="en-US"/>
        </w:rPr>
      </w:pPr>
      <w:r w:rsidRPr="00FC5EA0">
        <w:rPr>
          <w:b/>
          <w:bCs/>
          <w:i/>
          <w:color w:val="5B9BD5" w:themeColor="accent1"/>
          <w:lang w:val="en-US"/>
        </w:rPr>
        <w:t>Comment Index #</w:t>
      </w:r>
      <w:r w:rsidR="008515F8">
        <w:rPr>
          <w:b/>
          <w:bCs/>
          <w:i/>
          <w:color w:val="5B9BD5" w:themeColor="accent1"/>
          <w:lang w:val="en-US"/>
        </w:rPr>
        <w:t>3</w:t>
      </w:r>
      <w:r w:rsidR="007E1B85">
        <w:rPr>
          <w:b/>
          <w:bCs/>
          <w:i/>
          <w:color w:val="5B9BD5" w:themeColor="accent1"/>
          <w:lang w:val="en-US"/>
        </w:rPr>
        <w:t>19</w:t>
      </w:r>
      <w:r>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7E1B85" w:rsidRPr="007D5BE4" w14:paraId="2BE2D00B" w14:textId="77777777" w:rsidTr="00ED178B">
        <w:trPr>
          <w:trHeight w:val="1020"/>
        </w:trPr>
        <w:tc>
          <w:tcPr>
            <w:tcW w:w="1189" w:type="dxa"/>
            <w:noWrap/>
          </w:tcPr>
          <w:p w14:paraId="48D37282" w14:textId="6977E69A" w:rsidR="007E1B85" w:rsidRPr="00536206" w:rsidRDefault="007E1B85" w:rsidP="007E1B85">
            <w:pPr>
              <w:rPr>
                <w:sz w:val="18"/>
                <w:szCs w:val="18"/>
              </w:rPr>
            </w:pPr>
            <w:r w:rsidRPr="008515F8">
              <w:rPr>
                <w:rFonts w:ascii="Arial" w:eastAsia="Times New Roman" w:hAnsi="Arial" w:cs="Arial"/>
                <w:sz w:val="18"/>
                <w:szCs w:val="18"/>
                <w:lang w:val="en-US"/>
              </w:rPr>
              <w:t>VERSO, BILLY</w:t>
            </w:r>
          </w:p>
        </w:tc>
        <w:tc>
          <w:tcPr>
            <w:tcW w:w="663" w:type="dxa"/>
            <w:noWrap/>
          </w:tcPr>
          <w:p w14:paraId="72DCC3C9" w14:textId="3DB5F8E5" w:rsidR="007E1B85" w:rsidRPr="00536206" w:rsidRDefault="007E1B85" w:rsidP="007E1B85">
            <w:pPr>
              <w:rPr>
                <w:sz w:val="18"/>
                <w:szCs w:val="18"/>
              </w:rPr>
            </w:pPr>
            <w:r w:rsidRPr="007E1B85">
              <w:rPr>
                <w:rFonts w:ascii="Arial" w:eastAsia="Times New Roman" w:hAnsi="Arial" w:cs="Arial"/>
                <w:sz w:val="20"/>
                <w:szCs w:val="20"/>
                <w:lang w:val="en-US"/>
              </w:rPr>
              <w:t>319</w:t>
            </w:r>
          </w:p>
        </w:tc>
        <w:tc>
          <w:tcPr>
            <w:tcW w:w="611" w:type="dxa"/>
            <w:noWrap/>
          </w:tcPr>
          <w:p w14:paraId="1A4FE717" w14:textId="4E2BAB5B" w:rsidR="007E1B85" w:rsidRPr="00536206" w:rsidRDefault="007E1B85" w:rsidP="007E1B85">
            <w:pPr>
              <w:rPr>
                <w:sz w:val="18"/>
                <w:szCs w:val="18"/>
              </w:rPr>
            </w:pPr>
            <w:r w:rsidRPr="007E1B85">
              <w:rPr>
                <w:rFonts w:ascii="Arial" w:eastAsia="Times New Roman" w:hAnsi="Arial" w:cs="Arial"/>
                <w:sz w:val="20"/>
                <w:szCs w:val="20"/>
                <w:lang w:val="en-US"/>
              </w:rPr>
              <w:t>15</w:t>
            </w:r>
          </w:p>
        </w:tc>
        <w:tc>
          <w:tcPr>
            <w:tcW w:w="1086" w:type="dxa"/>
            <w:noWrap/>
          </w:tcPr>
          <w:p w14:paraId="06611495" w14:textId="15489206" w:rsidR="007E1B85" w:rsidRPr="00536206" w:rsidRDefault="007E1B85" w:rsidP="007E1B85">
            <w:pPr>
              <w:rPr>
                <w:sz w:val="18"/>
                <w:szCs w:val="18"/>
              </w:rPr>
            </w:pPr>
            <w:r w:rsidRPr="007E1B85">
              <w:rPr>
                <w:rFonts w:ascii="Arial" w:eastAsia="Times New Roman" w:hAnsi="Arial" w:cs="Arial"/>
                <w:sz w:val="20"/>
                <w:szCs w:val="20"/>
                <w:lang w:val="en-US"/>
              </w:rPr>
              <w:t>5.2.5</w:t>
            </w:r>
          </w:p>
        </w:tc>
        <w:tc>
          <w:tcPr>
            <w:tcW w:w="551" w:type="dxa"/>
            <w:noWrap/>
          </w:tcPr>
          <w:p w14:paraId="555F4695" w14:textId="2A9FC091" w:rsidR="007E1B85" w:rsidRPr="00536206" w:rsidRDefault="007E1B85" w:rsidP="007E1B85">
            <w:pPr>
              <w:rPr>
                <w:sz w:val="18"/>
                <w:szCs w:val="18"/>
              </w:rPr>
            </w:pPr>
            <w:r w:rsidRPr="007E1B85">
              <w:rPr>
                <w:rFonts w:ascii="Arial" w:eastAsia="Times New Roman" w:hAnsi="Arial" w:cs="Arial"/>
                <w:sz w:val="20"/>
                <w:szCs w:val="20"/>
                <w:lang w:val="en-US"/>
              </w:rPr>
              <w:t>13</w:t>
            </w:r>
          </w:p>
        </w:tc>
        <w:tc>
          <w:tcPr>
            <w:tcW w:w="2701" w:type="dxa"/>
          </w:tcPr>
          <w:p w14:paraId="4323B3A5" w14:textId="40E75CD9" w:rsidR="007E1B85" w:rsidRPr="00536206" w:rsidRDefault="007E1B85" w:rsidP="007E1B85">
            <w:pPr>
              <w:rPr>
                <w:sz w:val="18"/>
                <w:szCs w:val="18"/>
              </w:rPr>
            </w:pPr>
            <w:r w:rsidRPr="007E1B85">
              <w:rPr>
                <w:rFonts w:ascii="Arial" w:eastAsia="Times New Roman" w:hAnsi="Arial" w:cs="Arial"/>
                <w:sz w:val="20"/>
                <w:szCs w:val="20"/>
                <w:lang w:val="en-US"/>
              </w:rPr>
              <w:t>"Time structures for communication are defined by the upper layer using the UWB ranging service." is not clear in meaning anything.</w:t>
            </w:r>
          </w:p>
        </w:tc>
        <w:tc>
          <w:tcPr>
            <w:tcW w:w="2701" w:type="dxa"/>
          </w:tcPr>
          <w:p w14:paraId="4BAFA1E6" w14:textId="2122E366" w:rsidR="007E1B85" w:rsidRPr="00536206" w:rsidRDefault="007E1B85" w:rsidP="007E1B85">
            <w:pPr>
              <w:rPr>
                <w:sz w:val="18"/>
                <w:szCs w:val="18"/>
                <w:lang w:val="en-US"/>
              </w:rPr>
            </w:pPr>
            <w:r w:rsidRPr="007E1B85">
              <w:rPr>
                <w:rFonts w:ascii="Arial" w:eastAsia="Times New Roman" w:hAnsi="Arial" w:cs="Arial"/>
                <w:sz w:val="20"/>
                <w:szCs w:val="20"/>
                <w:lang w:val="en-US"/>
              </w:rPr>
              <w:t>Delete the sentence.</w:t>
            </w:r>
          </w:p>
        </w:tc>
      </w:tr>
    </w:tbl>
    <w:p w14:paraId="16F2FC21" w14:textId="77777777" w:rsidR="00EC3B9D" w:rsidRPr="00DF39A7" w:rsidRDefault="00EC3B9D" w:rsidP="00EC3B9D"/>
    <w:p w14:paraId="02BF2927" w14:textId="042CF16F" w:rsidR="00EC3B9D" w:rsidRDefault="00EC3B9D" w:rsidP="00EC3B9D">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008515F8">
        <w:rPr>
          <w:rFonts w:eastAsiaTheme="minorEastAsia" w:cstheme="minorHAnsi"/>
          <w:b/>
          <w:bCs/>
          <w:sz w:val="20"/>
          <w:szCs w:val="20"/>
          <w:u w:val="single"/>
          <w:lang w:val="en-GB" w:eastAsia="zh-CN"/>
        </w:rPr>
        <w:t>3</w:t>
      </w:r>
      <w:r w:rsidR="007E1B85">
        <w:rPr>
          <w:rFonts w:eastAsiaTheme="minorEastAsia" w:cstheme="minorHAnsi"/>
          <w:b/>
          <w:bCs/>
          <w:sz w:val="20"/>
          <w:szCs w:val="20"/>
          <w:u w:val="single"/>
          <w:lang w:val="en-GB" w:eastAsia="zh-CN"/>
        </w:rPr>
        <w:t>19</w:t>
      </w:r>
      <w:r w:rsidR="000F004D">
        <w:rPr>
          <w:rFonts w:eastAsiaTheme="minorEastAsia" w:cstheme="minorHAnsi"/>
          <w:b/>
          <w:bCs/>
          <w:sz w:val="20"/>
          <w:szCs w:val="20"/>
          <w:u w:val="single"/>
          <w:lang w:val="en-GB" w:eastAsia="zh-CN"/>
        </w:rPr>
        <w:t>:</w:t>
      </w:r>
    </w:p>
    <w:p w14:paraId="3F6E79A4" w14:textId="6934E0E7" w:rsidR="008515F8" w:rsidRDefault="007E1B85" w:rsidP="00EC3B9D">
      <w:pPr>
        <w:spacing w:after="240" w:line="230" w:lineRule="atLeast"/>
        <w:jc w:val="both"/>
        <w:rPr>
          <w:rFonts w:eastAsiaTheme="minorEastAsia" w:cstheme="minorHAnsi"/>
          <w:b/>
          <w:bCs/>
          <w:sz w:val="20"/>
          <w:szCs w:val="20"/>
          <w:u w:val="single"/>
          <w:lang w:val="en-GB" w:eastAsia="zh-CN"/>
        </w:rPr>
      </w:pPr>
      <w:r w:rsidRPr="007E1B85">
        <w:rPr>
          <w:rFonts w:eastAsiaTheme="minorEastAsia" w:cstheme="minorHAnsi"/>
          <w:b/>
          <w:bCs/>
          <w:noProof/>
          <w:sz w:val="20"/>
          <w:szCs w:val="20"/>
          <w:u w:val="single"/>
          <w:lang w:val="en-US" w:eastAsia="zh-CN"/>
        </w:rPr>
        <w:drawing>
          <wp:inline distT="0" distB="0" distL="0" distR="0" wp14:anchorId="2CA4F8BA" wp14:editId="22D98057">
            <wp:extent cx="5760720" cy="1814195"/>
            <wp:effectExtent l="0" t="0" r="0" b="0"/>
            <wp:docPr id="46202155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5667" name="Picture 1" descr="A close-up of a document&#10;&#10;AI-generated content may be incorrect."/>
                    <pic:cNvPicPr/>
                  </pic:nvPicPr>
                  <pic:blipFill>
                    <a:blip r:embed="rId8"/>
                    <a:stretch>
                      <a:fillRect/>
                    </a:stretch>
                  </pic:blipFill>
                  <pic:spPr>
                    <a:xfrm>
                      <a:off x="0" y="0"/>
                      <a:ext cx="5760720" cy="1814195"/>
                    </a:xfrm>
                    <a:prstGeom prst="rect">
                      <a:avLst/>
                    </a:prstGeom>
                  </pic:spPr>
                </pic:pic>
              </a:graphicData>
            </a:graphic>
          </wp:inline>
        </w:drawing>
      </w:r>
    </w:p>
    <w:p w14:paraId="794B66AD" w14:textId="2172515A" w:rsidR="007E1B85" w:rsidRPr="007E1B85" w:rsidRDefault="007E1B85" w:rsidP="007E1B85">
      <w:pPr>
        <w:spacing w:after="240" w:line="230" w:lineRule="atLeast"/>
        <w:jc w:val="both"/>
        <w:rPr>
          <w:rFonts w:eastAsiaTheme="minorEastAsia" w:cstheme="minorHAnsi"/>
          <w:sz w:val="20"/>
          <w:szCs w:val="20"/>
          <w:lang w:val="en-US" w:eastAsia="zh-CN"/>
        </w:rPr>
      </w:pPr>
      <w:r>
        <w:rPr>
          <w:rFonts w:eastAsiaTheme="minorEastAsia" w:cstheme="minorHAnsi"/>
          <w:sz w:val="20"/>
          <w:szCs w:val="20"/>
          <w:lang w:val="en-US" w:eastAsia="zh-CN"/>
        </w:rPr>
        <w:t>T</w:t>
      </w:r>
      <w:r w:rsidRPr="007E1B85">
        <w:rPr>
          <w:rFonts w:eastAsiaTheme="minorEastAsia" w:cstheme="minorHAnsi"/>
          <w:sz w:val="20"/>
          <w:szCs w:val="20"/>
          <w:lang w:val="en-US" w:eastAsia="zh-CN"/>
        </w:rPr>
        <w:t>ime structure</w:t>
      </w:r>
      <w:r>
        <w:rPr>
          <w:rFonts w:eastAsiaTheme="minorEastAsia" w:cstheme="minorHAnsi"/>
          <w:sz w:val="20"/>
          <w:szCs w:val="20"/>
          <w:lang w:val="en-US" w:eastAsia="zh-CN"/>
        </w:rPr>
        <w:t>s</w:t>
      </w:r>
      <w:r w:rsidRPr="007E1B85">
        <w:rPr>
          <w:rFonts w:eastAsiaTheme="minorEastAsia" w:cstheme="minorHAnsi"/>
          <w:sz w:val="20"/>
          <w:szCs w:val="20"/>
          <w:lang w:val="en-US" w:eastAsia="zh-CN"/>
        </w:rPr>
        <w:t xml:space="preserve"> can be managed </w:t>
      </w:r>
      <w:r w:rsidR="004A79C8">
        <w:rPr>
          <w:rFonts w:eastAsiaTheme="minorEastAsia" w:cstheme="minorHAnsi"/>
          <w:sz w:val="20"/>
          <w:szCs w:val="20"/>
          <w:lang w:val="en-US" w:eastAsia="zh-CN"/>
        </w:rPr>
        <w:t xml:space="preserve">by </w:t>
      </w:r>
      <w:r w:rsidRPr="007E1B85">
        <w:rPr>
          <w:rFonts w:eastAsiaTheme="minorEastAsia" w:cstheme="minorHAnsi"/>
          <w:sz w:val="20"/>
          <w:szCs w:val="20"/>
          <w:lang w:val="en-US" w:eastAsia="zh-CN"/>
        </w:rPr>
        <w:t>the higher layer is using RSS</w:t>
      </w:r>
      <w:r w:rsidR="004A79C8">
        <w:rPr>
          <w:rFonts w:eastAsiaTheme="minorEastAsia" w:cstheme="minorHAnsi"/>
          <w:sz w:val="20"/>
          <w:szCs w:val="20"/>
          <w:lang w:val="en-US" w:eastAsia="zh-CN"/>
        </w:rPr>
        <w:t xml:space="preserve"> </w:t>
      </w:r>
      <w:proofErr w:type="spellStart"/>
      <w:r w:rsidR="004A79C8">
        <w:rPr>
          <w:rFonts w:eastAsiaTheme="minorEastAsia" w:cstheme="minorHAnsi"/>
          <w:sz w:val="20"/>
          <w:szCs w:val="20"/>
          <w:lang w:val="en-US" w:eastAsia="zh-CN"/>
        </w:rPr>
        <w:t>slotframe</w:t>
      </w:r>
      <w:proofErr w:type="spellEnd"/>
      <w:r w:rsidR="004A79C8">
        <w:rPr>
          <w:rFonts w:eastAsiaTheme="minorEastAsia" w:cstheme="minorHAnsi"/>
          <w:sz w:val="20"/>
          <w:szCs w:val="20"/>
          <w:lang w:val="en-US" w:eastAsia="zh-CN"/>
        </w:rPr>
        <w:t xml:space="preserve"> structures as defined in section 10.46.3</w:t>
      </w:r>
      <w:r w:rsidRPr="007E1B85">
        <w:rPr>
          <w:rFonts w:eastAsiaTheme="minorEastAsia" w:cstheme="minorHAnsi"/>
          <w:sz w:val="20"/>
          <w:szCs w:val="20"/>
          <w:lang w:val="en-US" w:eastAsia="zh-CN"/>
        </w:rPr>
        <w:t>.</w:t>
      </w:r>
      <w:r>
        <w:rPr>
          <w:rFonts w:eastAsiaTheme="minorEastAsia" w:cstheme="minorHAnsi"/>
          <w:sz w:val="20"/>
          <w:szCs w:val="20"/>
          <w:lang w:val="en-US" w:eastAsia="zh-CN"/>
        </w:rPr>
        <w:t xml:space="preserve"> </w:t>
      </w: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21315A15" w:rsidR="00EC3B9D" w:rsidRDefault="009C195D" w:rsidP="00EC3B9D">
      <w:pPr>
        <w:rPr>
          <w:b/>
          <w:bCs/>
          <w:sz w:val="20"/>
          <w:szCs w:val="20"/>
          <w:lang w:val="en-US"/>
        </w:rPr>
      </w:pPr>
      <w:r>
        <w:rPr>
          <w:b/>
          <w:bCs/>
          <w:sz w:val="20"/>
          <w:szCs w:val="20"/>
          <w:lang w:val="en-US"/>
        </w:rPr>
        <w:t>Revised</w:t>
      </w:r>
    </w:p>
    <w:p w14:paraId="60E20506" w14:textId="77777777" w:rsidR="009C195D" w:rsidRDefault="009C195D" w:rsidP="009C195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317</w:t>
      </w:r>
      <w:r w:rsidRPr="00415B34">
        <w:rPr>
          <w:rFonts w:eastAsiaTheme="minorEastAsia" w:cstheme="minorHAnsi"/>
          <w:b/>
          <w:bCs/>
          <w:sz w:val="20"/>
          <w:szCs w:val="20"/>
          <w:u w:val="single"/>
          <w:lang w:val="en-GB" w:eastAsia="zh-CN"/>
        </w:rPr>
        <w:t xml:space="preserve">: </w:t>
      </w:r>
    </w:p>
    <w:p w14:paraId="59E7A03A" w14:textId="44B6356A" w:rsidR="009C195D" w:rsidRDefault="009C195D" w:rsidP="009C195D">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 xml:space="preserve">Change page </w:t>
      </w:r>
      <w:r>
        <w:rPr>
          <w:rFonts w:eastAsiaTheme="minorEastAsia" w:cstheme="minorHAnsi"/>
          <w:b/>
          <w:bCs/>
          <w:sz w:val="20"/>
          <w:szCs w:val="20"/>
          <w:lang w:val="en-GB" w:eastAsia="zh-CN"/>
        </w:rPr>
        <w:t>15</w:t>
      </w:r>
      <w:r w:rsidRPr="00BB2886">
        <w:rPr>
          <w:rFonts w:eastAsiaTheme="minorEastAsia" w:cstheme="minorHAnsi"/>
          <w:b/>
          <w:bCs/>
          <w:sz w:val="20"/>
          <w:szCs w:val="20"/>
          <w:lang w:val="en-GB" w:eastAsia="zh-CN"/>
        </w:rPr>
        <w:t xml:space="preserve"> line </w:t>
      </w:r>
      <w:r>
        <w:rPr>
          <w:rFonts w:eastAsiaTheme="minorEastAsia" w:cstheme="minorHAnsi"/>
          <w:b/>
          <w:bCs/>
          <w:sz w:val="20"/>
          <w:szCs w:val="20"/>
          <w:lang w:val="en-GB" w:eastAsia="zh-CN"/>
        </w:rPr>
        <w:t>12-13</w:t>
      </w:r>
    </w:p>
    <w:p w14:paraId="740B84FF" w14:textId="0089F023" w:rsidR="009C195D" w:rsidRPr="00291F7B" w:rsidRDefault="009C195D" w:rsidP="00EC3B9D">
      <w:pPr>
        <w:rPr>
          <w:b/>
          <w:bCs/>
          <w:sz w:val="20"/>
          <w:szCs w:val="20"/>
          <w:lang w:val="en-US"/>
        </w:rPr>
      </w:pPr>
      <w:r w:rsidRPr="009C195D">
        <w:rPr>
          <w:rFonts w:ascii="Arial" w:eastAsia="Times New Roman" w:hAnsi="Arial" w:cs="Arial"/>
          <w:color w:val="FF0000"/>
          <w:sz w:val="20"/>
          <w:szCs w:val="20"/>
          <w:lang w:val="en-US"/>
        </w:rPr>
        <w:t xml:space="preserve">RSS </w:t>
      </w:r>
      <w:proofErr w:type="spellStart"/>
      <w:r w:rsidRPr="009C195D">
        <w:rPr>
          <w:rFonts w:ascii="Arial" w:eastAsia="Times New Roman" w:hAnsi="Arial" w:cs="Arial"/>
          <w:color w:val="FF0000"/>
          <w:sz w:val="20"/>
          <w:szCs w:val="20"/>
          <w:lang w:val="en-US"/>
        </w:rPr>
        <w:t>slotframe</w:t>
      </w:r>
      <w:proofErr w:type="spellEnd"/>
      <w:r w:rsidRPr="009C195D">
        <w:rPr>
          <w:rFonts w:ascii="Arial" w:eastAsia="Times New Roman" w:hAnsi="Arial" w:cs="Arial"/>
          <w:color w:val="FF0000"/>
          <w:sz w:val="20"/>
          <w:szCs w:val="20"/>
          <w:lang w:val="en-US"/>
        </w:rPr>
        <w:t xml:space="preserve"> </w:t>
      </w:r>
      <w:r w:rsidRPr="009C195D">
        <w:rPr>
          <w:rFonts w:ascii="Arial" w:eastAsia="Times New Roman" w:hAnsi="Arial" w:cs="Arial"/>
          <w:strike/>
          <w:color w:val="FF0000"/>
          <w:sz w:val="20"/>
          <w:szCs w:val="20"/>
          <w:lang w:val="en-US"/>
        </w:rPr>
        <w:t xml:space="preserve">Time </w:t>
      </w:r>
      <w:r w:rsidRPr="007E1B85">
        <w:rPr>
          <w:rFonts w:ascii="Arial" w:eastAsia="Times New Roman" w:hAnsi="Arial" w:cs="Arial"/>
          <w:sz w:val="20"/>
          <w:szCs w:val="20"/>
          <w:lang w:val="en-US"/>
        </w:rPr>
        <w:t xml:space="preserve">structures for communication are defined </w:t>
      </w:r>
      <w:r w:rsidRPr="009C195D">
        <w:rPr>
          <w:rFonts w:ascii="Arial" w:eastAsia="Times New Roman" w:hAnsi="Arial" w:cs="Arial"/>
          <w:color w:val="FF0000"/>
          <w:sz w:val="20"/>
          <w:szCs w:val="20"/>
          <w:lang w:val="en-US"/>
        </w:rPr>
        <w:t>as in</w:t>
      </w:r>
      <w:r>
        <w:rPr>
          <w:rFonts w:ascii="Arial" w:eastAsia="Times New Roman" w:hAnsi="Arial" w:cs="Arial"/>
          <w:color w:val="FF0000"/>
          <w:sz w:val="20"/>
          <w:szCs w:val="20"/>
          <w:lang w:val="en-US"/>
        </w:rPr>
        <w:t xml:space="preserve"> </w:t>
      </w:r>
      <w:r w:rsidRPr="009C195D">
        <w:rPr>
          <w:rFonts w:ascii="Arial" w:eastAsia="Times New Roman" w:hAnsi="Arial" w:cs="Arial"/>
          <w:color w:val="FF0000"/>
          <w:sz w:val="20"/>
          <w:szCs w:val="20"/>
          <w:lang w:val="en-US"/>
        </w:rPr>
        <w:t>10.46.3</w:t>
      </w:r>
      <w:r>
        <w:rPr>
          <w:rFonts w:ascii="Arial" w:eastAsia="Times New Roman" w:hAnsi="Arial" w:cs="Arial"/>
          <w:color w:val="FF0000"/>
          <w:sz w:val="20"/>
          <w:szCs w:val="20"/>
          <w:lang w:val="en-US"/>
        </w:rPr>
        <w:t>,</w:t>
      </w:r>
      <w:r w:rsidRPr="009C195D">
        <w:rPr>
          <w:rFonts w:ascii="Arial" w:eastAsia="Times New Roman" w:hAnsi="Arial" w:cs="Arial"/>
          <w:color w:val="FF0000"/>
          <w:sz w:val="20"/>
          <w:szCs w:val="20"/>
          <w:lang w:val="en-US"/>
        </w:rPr>
        <w:t xml:space="preserve"> </w:t>
      </w:r>
      <w:r w:rsidRPr="007E1B85">
        <w:rPr>
          <w:rFonts w:ascii="Arial" w:eastAsia="Times New Roman" w:hAnsi="Arial" w:cs="Arial"/>
          <w:sz w:val="20"/>
          <w:szCs w:val="20"/>
          <w:lang w:val="en-US"/>
        </w:rPr>
        <w:t>by the upper layer using the UWB ranging service</w:t>
      </w:r>
      <w:r>
        <w:rPr>
          <w:rFonts w:ascii="Arial" w:eastAsia="Times New Roman" w:hAnsi="Arial" w:cs="Arial"/>
          <w:sz w:val="20"/>
          <w:szCs w:val="20"/>
          <w:lang w:val="en-US"/>
        </w:rPr>
        <w:t>.</w:t>
      </w:r>
    </w:p>
    <w:sectPr w:rsidR="009C195D" w:rsidRPr="00291F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BB99" w14:textId="77777777" w:rsidR="00792C09" w:rsidRDefault="00792C09" w:rsidP="00D26854">
      <w:pPr>
        <w:spacing w:after="0" w:line="240" w:lineRule="auto"/>
      </w:pPr>
      <w:r>
        <w:separator/>
      </w:r>
    </w:p>
  </w:endnote>
  <w:endnote w:type="continuationSeparator" w:id="0">
    <w:p w14:paraId="6A47C6D9" w14:textId="77777777" w:rsidR="00792C09" w:rsidRDefault="00792C0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F61D" w14:textId="77777777" w:rsidR="00D428C4" w:rsidRDefault="00D42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A28C" w14:textId="77777777" w:rsidR="00D428C4" w:rsidRDefault="00D42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1BFD" w14:textId="77777777" w:rsidR="00D428C4" w:rsidRDefault="00D4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855C" w14:textId="77777777" w:rsidR="00792C09" w:rsidRDefault="00792C09" w:rsidP="00D26854">
      <w:pPr>
        <w:spacing w:after="0" w:line="240" w:lineRule="auto"/>
      </w:pPr>
      <w:r>
        <w:separator/>
      </w:r>
    </w:p>
  </w:footnote>
  <w:footnote w:type="continuationSeparator" w:id="0">
    <w:p w14:paraId="5AF30FEF" w14:textId="77777777" w:rsidR="00792C09" w:rsidRDefault="00792C0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6D46" w14:textId="77777777" w:rsidR="00D428C4" w:rsidRDefault="00D42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642174EF"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w:t>
    </w:r>
    <w:r w:rsidR="00816F46">
      <w:rPr>
        <w:rFonts w:ascii="Times New Roman" w:eastAsia="Malgun Gothic" w:hAnsi="Times New Roman"/>
        <w:u w:val="single"/>
      </w:rPr>
      <w:t>2</w:t>
    </w:r>
    <w:r w:rsidR="00D744B9">
      <w:rPr>
        <w:rFonts w:ascii="Times New Roman" w:eastAsia="Malgun Gothic" w:hAnsi="Times New Roman"/>
        <w:u w:val="single"/>
      </w:rPr>
      <w:t>67</w:t>
    </w:r>
    <w:r w:rsidR="00D26854" w:rsidRPr="00A7629E">
      <w:rPr>
        <w:rFonts w:ascii="Times New Roman" w:eastAsia="Malgun Gothic" w:hAnsi="Times New Roman"/>
        <w:u w:val="single"/>
      </w:rPr>
      <w:t>-0</w:t>
    </w:r>
    <w:r w:rsidR="00D428C4">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E2D" w14:textId="77777777" w:rsidR="00D428C4" w:rsidRDefault="00D42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6"/>
  </w:num>
  <w:num w:numId="2" w16cid:durableId="1696729043">
    <w:abstractNumId w:val="4"/>
  </w:num>
  <w:num w:numId="3" w16cid:durableId="1238172205">
    <w:abstractNumId w:val="2"/>
  </w:num>
  <w:num w:numId="4" w16cid:durableId="1990792495">
    <w:abstractNumId w:val="1"/>
  </w:num>
  <w:num w:numId="5" w16cid:durableId="1132863512">
    <w:abstractNumId w:val="5"/>
  </w:num>
  <w:num w:numId="6" w16cid:durableId="742072513">
    <w:abstractNumId w:val="0"/>
  </w:num>
  <w:num w:numId="7" w16cid:durableId="179236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87585"/>
    <w:rsid w:val="00090791"/>
    <w:rsid w:val="00091150"/>
    <w:rsid w:val="000A54B0"/>
    <w:rsid w:val="000A5E92"/>
    <w:rsid w:val="000B5738"/>
    <w:rsid w:val="000C0EC4"/>
    <w:rsid w:val="000C433E"/>
    <w:rsid w:val="000E1071"/>
    <w:rsid w:val="000E367E"/>
    <w:rsid w:val="000E60C7"/>
    <w:rsid w:val="000F004D"/>
    <w:rsid w:val="000F4216"/>
    <w:rsid w:val="00102943"/>
    <w:rsid w:val="00115F90"/>
    <w:rsid w:val="001317EE"/>
    <w:rsid w:val="00136787"/>
    <w:rsid w:val="00137A96"/>
    <w:rsid w:val="00151531"/>
    <w:rsid w:val="001612F4"/>
    <w:rsid w:val="001868C3"/>
    <w:rsid w:val="0019475B"/>
    <w:rsid w:val="001A04C2"/>
    <w:rsid w:val="001A20E3"/>
    <w:rsid w:val="001A477F"/>
    <w:rsid w:val="001C339D"/>
    <w:rsid w:val="001C4148"/>
    <w:rsid w:val="001C5244"/>
    <w:rsid w:val="001F223A"/>
    <w:rsid w:val="00207644"/>
    <w:rsid w:val="00212B83"/>
    <w:rsid w:val="00213038"/>
    <w:rsid w:val="002140B6"/>
    <w:rsid w:val="002143DF"/>
    <w:rsid w:val="00253BE0"/>
    <w:rsid w:val="00271DE3"/>
    <w:rsid w:val="002720B5"/>
    <w:rsid w:val="0028582C"/>
    <w:rsid w:val="00291F7B"/>
    <w:rsid w:val="00297E33"/>
    <w:rsid w:val="002A71B7"/>
    <w:rsid w:val="002A7529"/>
    <w:rsid w:val="002B0693"/>
    <w:rsid w:val="002B7DB1"/>
    <w:rsid w:val="002C0DDE"/>
    <w:rsid w:val="002C715E"/>
    <w:rsid w:val="002D0C6A"/>
    <w:rsid w:val="002D45EF"/>
    <w:rsid w:val="002E16D7"/>
    <w:rsid w:val="002E1B47"/>
    <w:rsid w:val="002E3FDE"/>
    <w:rsid w:val="0030575C"/>
    <w:rsid w:val="0031228E"/>
    <w:rsid w:val="003337ED"/>
    <w:rsid w:val="0033512A"/>
    <w:rsid w:val="0034119B"/>
    <w:rsid w:val="003615F1"/>
    <w:rsid w:val="00362988"/>
    <w:rsid w:val="00372EA6"/>
    <w:rsid w:val="0038041B"/>
    <w:rsid w:val="00380FA9"/>
    <w:rsid w:val="00390327"/>
    <w:rsid w:val="00391564"/>
    <w:rsid w:val="00392B7E"/>
    <w:rsid w:val="003B14F0"/>
    <w:rsid w:val="003C1193"/>
    <w:rsid w:val="003D0E0B"/>
    <w:rsid w:val="003E5187"/>
    <w:rsid w:val="003E619C"/>
    <w:rsid w:val="00410F0F"/>
    <w:rsid w:val="0041127B"/>
    <w:rsid w:val="00415B34"/>
    <w:rsid w:val="00427310"/>
    <w:rsid w:val="004345F2"/>
    <w:rsid w:val="00435888"/>
    <w:rsid w:val="00453777"/>
    <w:rsid w:val="004670E0"/>
    <w:rsid w:val="004806E5"/>
    <w:rsid w:val="00497CCE"/>
    <w:rsid w:val="004A108C"/>
    <w:rsid w:val="004A79C8"/>
    <w:rsid w:val="004B381A"/>
    <w:rsid w:val="004B5E34"/>
    <w:rsid w:val="004D1680"/>
    <w:rsid w:val="004D1C64"/>
    <w:rsid w:val="004E0302"/>
    <w:rsid w:val="004E3578"/>
    <w:rsid w:val="004F0158"/>
    <w:rsid w:val="004F3D41"/>
    <w:rsid w:val="004F5FB2"/>
    <w:rsid w:val="00501D7B"/>
    <w:rsid w:val="00505529"/>
    <w:rsid w:val="0051463B"/>
    <w:rsid w:val="00517135"/>
    <w:rsid w:val="00520E1B"/>
    <w:rsid w:val="0053178A"/>
    <w:rsid w:val="0053241E"/>
    <w:rsid w:val="00532FB2"/>
    <w:rsid w:val="00536206"/>
    <w:rsid w:val="00537628"/>
    <w:rsid w:val="005423EF"/>
    <w:rsid w:val="00547143"/>
    <w:rsid w:val="00550B2B"/>
    <w:rsid w:val="005638DC"/>
    <w:rsid w:val="00575A4D"/>
    <w:rsid w:val="005916E4"/>
    <w:rsid w:val="005A0499"/>
    <w:rsid w:val="005A2664"/>
    <w:rsid w:val="005A27E9"/>
    <w:rsid w:val="005A32A5"/>
    <w:rsid w:val="005A5E8F"/>
    <w:rsid w:val="005B24FC"/>
    <w:rsid w:val="005E7031"/>
    <w:rsid w:val="005F4142"/>
    <w:rsid w:val="006018D3"/>
    <w:rsid w:val="0060661A"/>
    <w:rsid w:val="00613894"/>
    <w:rsid w:val="006301B9"/>
    <w:rsid w:val="00632D1A"/>
    <w:rsid w:val="006370F2"/>
    <w:rsid w:val="00656374"/>
    <w:rsid w:val="00660234"/>
    <w:rsid w:val="006718B9"/>
    <w:rsid w:val="00672C8D"/>
    <w:rsid w:val="006806E2"/>
    <w:rsid w:val="00682FE3"/>
    <w:rsid w:val="006B2F95"/>
    <w:rsid w:val="006B6B58"/>
    <w:rsid w:val="006C4D90"/>
    <w:rsid w:val="006F7329"/>
    <w:rsid w:val="006F7E4F"/>
    <w:rsid w:val="00700C3A"/>
    <w:rsid w:val="007016A7"/>
    <w:rsid w:val="0070485B"/>
    <w:rsid w:val="00706944"/>
    <w:rsid w:val="00706D59"/>
    <w:rsid w:val="007215C8"/>
    <w:rsid w:val="0072366C"/>
    <w:rsid w:val="00724A97"/>
    <w:rsid w:val="00737B52"/>
    <w:rsid w:val="007400BA"/>
    <w:rsid w:val="00741577"/>
    <w:rsid w:val="00757C8D"/>
    <w:rsid w:val="00762502"/>
    <w:rsid w:val="00771C04"/>
    <w:rsid w:val="007769A9"/>
    <w:rsid w:val="007845EC"/>
    <w:rsid w:val="00792C09"/>
    <w:rsid w:val="00792F8E"/>
    <w:rsid w:val="007C41F5"/>
    <w:rsid w:val="007C7137"/>
    <w:rsid w:val="007D419D"/>
    <w:rsid w:val="007D5BE4"/>
    <w:rsid w:val="007E1B85"/>
    <w:rsid w:val="007E6381"/>
    <w:rsid w:val="007E6E35"/>
    <w:rsid w:val="0081555B"/>
    <w:rsid w:val="00816F46"/>
    <w:rsid w:val="008218B5"/>
    <w:rsid w:val="00824C10"/>
    <w:rsid w:val="00827C41"/>
    <w:rsid w:val="00830400"/>
    <w:rsid w:val="00831C6E"/>
    <w:rsid w:val="008410C5"/>
    <w:rsid w:val="0084463F"/>
    <w:rsid w:val="00844B4E"/>
    <w:rsid w:val="00850B36"/>
    <w:rsid w:val="008515F8"/>
    <w:rsid w:val="0086102E"/>
    <w:rsid w:val="00884EEB"/>
    <w:rsid w:val="008958C7"/>
    <w:rsid w:val="00896CEB"/>
    <w:rsid w:val="008E05D5"/>
    <w:rsid w:val="008E5BA9"/>
    <w:rsid w:val="008F6103"/>
    <w:rsid w:val="00900104"/>
    <w:rsid w:val="00900503"/>
    <w:rsid w:val="009128C9"/>
    <w:rsid w:val="00920E6A"/>
    <w:rsid w:val="00945083"/>
    <w:rsid w:val="009478DC"/>
    <w:rsid w:val="00951777"/>
    <w:rsid w:val="00965F80"/>
    <w:rsid w:val="00967F95"/>
    <w:rsid w:val="009826B6"/>
    <w:rsid w:val="009831A1"/>
    <w:rsid w:val="0098505E"/>
    <w:rsid w:val="00987538"/>
    <w:rsid w:val="00991102"/>
    <w:rsid w:val="009B1433"/>
    <w:rsid w:val="009B1FED"/>
    <w:rsid w:val="009C195D"/>
    <w:rsid w:val="009C4A35"/>
    <w:rsid w:val="009C55F5"/>
    <w:rsid w:val="009D6E67"/>
    <w:rsid w:val="009F5C70"/>
    <w:rsid w:val="00A03296"/>
    <w:rsid w:val="00A1211B"/>
    <w:rsid w:val="00A216F0"/>
    <w:rsid w:val="00A46FE4"/>
    <w:rsid w:val="00A53445"/>
    <w:rsid w:val="00A70926"/>
    <w:rsid w:val="00A85DBD"/>
    <w:rsid w:val="00A870AC"/>
    <w:rsid w:val="00A91CA3"/>
    <w:rsid w:val="00A9475F"/>
    <w:rsid w:val="00AA5908"/>
    <w:rsid w:val="00AB559B"/>
    <w:rsid w:val="00AB64B4"/>
    <w:rsid w:val="00AD63B7"/>
    <w:rsid w:val="00AF1E26"/>
    <w:rsid w:val="00AF40DC"/>
    <w:rsid w:val="00B139CC"/>
    <w:rsid w:val="00B208F7"/>
    <w:rsid w:val="00B47B68"/>
    <w:rsid w:val="00B53F2A"/>
    <w:rsid w:val="00B55286"/>
    <w:rsid w:val="00B723D2"/>
    <w:rsid w:val="00B75599"/>
    <w:rsid w:val="00BB052E"/>
    <w:rsid w:val="00BB2886"/>
    <w:rsid w:val="00BC617B"/>
    <w:rsid w:val="00C0287C"/>
    <w:rsid w:val="00C05851"/>
    <w:rsid w:val="00C12A92"/>
    <w:rsid w:val="00C12C0E"/>
    <w:rsid w:val="00C160E5"/>
    <w:rsid w:val="00C25FBD"/>
    <w:rsid w:val="00C3202B"/>
    <w:rsid w:val="00C328F3"/>
    <w:rsid w:val="00C511AB"/>
    <w:rsid w:val="00C52444"/>
    <w:rsid w:val="00C77369"/>
    <w:rsid w:val="00CD4A3F"/>
    <w:rsid w:val="00CE0837"/>
    <w:rsid w:val="00CE6E3D"/>
    <w:rsid w:val="00CF3302"/>
    <w:rsid w:val="00D25524"/>
    <w:rsid w:val="00D26854"/>
    <w:rsid w:val="00D359C4"/>
    <w:rsid w:val="00D412C5"/>
    <w:rsid w:val="00D428C4"/>
    <w:rsid w:val="00D441D5"/>
    <w:rsid w:val="00D461FA"/>
    <w:rsid w:val="00D610E3"/>
    <w:rsid w:val="00D62B47"/>
    <w:rsid w:val="00D6789C"/>
    <w:rsid w:val="00D73144"/>
    <w:rsid w:val="00D744B9"/>
    <w:rsid w:val="00D922E9"/>
    <w:rsid w:val="00DA0CB7"/>
    <w:rsid w:val="00DA175C"/>
    <w:rsid w:val="00DA3F6D"/>
    <w:rsid w:val="00DB599E"/>
    <w:rsid w:val="00DB77BA"/>
    <w:rsid w:val="00DB7C88"/>
    <w:rsid w:val="00DC1709"/>
    <w:rsid w:val="00DC2DCC"/>
    <w:rsid w:val="00DC469F"/>
    <w:rsid w:val="00DC4FC5"/>
    <w:rsid w:val="00DD32D1"/>
    <w:rsid w:val="00DD7DA7"/>
    <w:rsid w:val="00DF0983"/>
    <w:rsid w:val="00DF39A7"/>
    <w:rsid w:val="00DF641C"/>
    <w:rsid w:val="00E05334"/>
    <w:rsid w:val="00E24F6A"/>
    <w:rsid w:val="00E27BAA"/>
    <w:rsid w:val="00E326A4"/>
    <w:rsid w:val="00E3364B"/>
    <w:rsid w:val="00E50652"/>
    <w:rsid w:val="00E50AA8"/>
    <w:rsid w:val="00E51149"/>
    <w:rsid w:val="00E6653B"/>
    <w:rsid w:val="00E713DC"/>
    <w:rsid w:val="00E86B3D"/>
    <w:rsid w:val="00E95858"/>
    <w:rsid w:val="00E96560"/>
    <w:rsid w:val="00EA1708"/>
    <w:rsid w:val="00EA240B"/>
    <w:rsid w:val="00EB72A4"/>
    <w:rsid w:val="00EC3B9D"/>
    <w:rsid w:val="00ED38A1"/>
    <w:rsid w:val="00EF4203"/>
    <w:rsid w:val="00F02CCA"/>
    <w:rsid w:val="00F2609D"/>
    <w:rsid w:val="00F409ED"/>
    <w:rsid w:val="00F46306"/>
    <w:rsid w:val="00F50E5C"/>
    <w:rsid w:val="00F80074"/>
    <w:rsid w:val="00F92545"/>
    <w:rsid w:val="00F94A06"/>
    <w:rsid w:val="00F95919"/>
    <w:rsid w:val="00FB2803"/>
    <w:rsid w:val="00FB43F1"/>
    <w:rsid w:val="00FC3E05"/>
    <w:rsid w:val="00FC5272"/>
    <w:rsid w:val="00FC5EA0"/>
    <w:rsid w:val="00FD21F5"/>
    <w:rsid w:val="00FD55A2"/>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49257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1045065708">
      <w:bodyDiv w:val="1"/>
      <w:marLeft w:val="0"/>
      <w:marRight w:val="0"/>
      <w:marTop w:val="0"/>
      <w:marBottom w:val="0"/>
      <w:divBdr>
        <w:top w:val="none" w:sz="0" w:space="0" w:color="auto"/>
        <w:left w:val="none" w:sz="0" w:space="0" w:color="auto"/>
        <w:bottom w:val="none" w:sz="0" w:space="0" w:color="auto"/>
        <w:right w:val="none" w:sz="0" w:space="0" w:color="auto"/>
      </w:divBdr>
    </w:div>
    <w:div w:id="1092237767">
      <w:bodyDiv w:val="1"/>
      <w:marLeft w:val="0"/>
      <w:marRight w:val="0"/>
      <w:marTop w:val="0"/>
      <w:marBottom w:val="0"/>
      <w:divBdr>
        <w:top w:val="none" w:sz="0" w:space="0" w:color="auto"/>
        <w:left w:val="none" w:sz="0" w:space="0" w:color="auto"/>
        <w:bottom w:val="none" w:sz="0" w:space="0" w:color="auto"/>
        <w:right w:val="none" w:sz="0" w:space="0" w:color="auto"/>
      </w:divBdr>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16357608">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59548467">
      <w:bodyDiv w:val="1"/>
      <w:marLeft w:val="0"/>
      <w:marRight w:val="0"/>
      <w:marTop w:val="0"/>
      <w:marBottom w:val="0"/>
      <w:divBdr>
        <w:top w:val="none" w:sz="0" w:space="0" w:color="auto"/>
        <w:left w:val="none" w:sz="0" w:space="0" w:color="auto"/>
        <w:bottom w:val="none" w:sz="0" w:space="0" w:color="auto"/>
        <w:right w:val="none" w:sz="0" w:space="0" w:color="auto"/>
      </w:divBdr>
    </w:div>
    <w:div w:id="1382706068">
      <w:bodyDiv w:val="1"/>
      <w:marLeft w:val="0"/>
      <w:marRight w:val="0"/>
      <w:marTop w:val="0"/>
      <w:marBottom w:val="0"/>
      <w:divBdr>
        <w:top w:val="none" w:sz="0" w:space="0" w:color="auto"/>
        <w:left w:val="none" w:sz="0" w:space="0" w:color="auto"/>
        <w:bottom w:val="none" w:sz="0" w:space="0" w:color="auto"/>
        <w:right w:val="none" w:sz="0" w:space="0" w:color="auto"/>
      </w:divBdr>
    </w:div>
    <w:div w:id="1433165515">
      <w:bodyDiv w:val="1"/>
      <w:marLeft w:val="0"/>
      <w:marRight w:val="0"/>
      <w:marTop w:val="0"/>
      <w:marBottom w:val="0"/>
      <w:divBdr>
        <w:top w:val="none" w:sz="0" w:space="0" w:color="auto"/>
        <w:left w:val="none" w:sz="0" w:space="0" w:color="auto"/>
        <w:bottom w:val="none" w:sz="0" w:space="0" w:color="auto"/>
        <w:right w:val="none" w:sz="0" w:space="0" w:color="auto"/>
      </w:divBdr>
    </w:div>
    <w:div w:id="1469006288">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45372209">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678</TotalTime>
  <Pages>4</Pages>
  <Words>521</Words>
  <Characters>2975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191</cp:revision>
  <dcterms:created xsi:type="dcterms:W3CDTF">2024-03-12T16:28:00Z</dcterms:created>
  <dcterms:modified xsi:type="dcterms:W3CDTF">2025-05-15T11:38:00Z</dcterms:modified>
</cp:coreProperties>
</file>