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67F72601"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7400BA">
              <w:rPr>
                <w:rFonts w:ascii="Times New Roman" w:eastAsia="DejaVu Sans" w:hAnsi="Times New Roman" w:cs="Arial"/>
                <w:b/>
                <w:bCs/>
                <w:kern w:val="1"/>
                <w:sz w:val="24"/>
                <w:szCs w:val="24"/>
                <w:lang w:val="en-US" w:eastAsia="ar-SA"/>
              </w:rPr>
              <w:t>RCM</w:t>
            </w:r>
            <w:r w:rsidRPr="00831C6E">
              <w:rPr>
                <w:rFonts w:ascii="Times New Roman" w:eastAsia="DejaVu Sans" w:hAnsi="Times New Roman" w:cs="Arial"/>
                <w:b/>
                <w:bCs/>
                <w:kern w:val="1"/>
                <w:sz w:val="24"/>
                <w:szCs w:val="24"/>
                <w:lang w:val="en-US" w:eastAsia="ar-SA"/>
              </w:rPr>
              <w:t xml:space="preserve"> related comment</w:t>
            </w:r>
            <w:r w:rsidR="009B1433">
              <w:rPr>
                <w:rFonts w:ascii="Times New Roman" w:eastAsia="DejaVu Sans" w:hAnsi="Times New Roman" w:cs="Arial"/>
                <w:b/>
                <w:bCs/>
                <w:kern w:val="1"/>
                <w:sz w:val="24"/>
                <w:szCs w:val="24"/>
                <w:lang w:val="en-US" w:eastAsia="ar-SA"/>
              </w:rPr>
              <w:t xml:space="preserve">s: CIDs </w:t>
            </w:r>
            <w:r w:rsidR="008515F8">
              <w:rPr>
                <w:rFonts w:ascii="Times New Roman" w:eastAsia="DejaVu Sans" w:hAnsi="Times New Roman" w:cs="Arial"/>
                <w:b/>
                <w:bCs/>
                <w:kern w:val="1"/>
                <w:sz w:val="24"/>
                <w:szCs w:val="24"/>
                <w:lang w:val="en-US" w:eastAsia="ar-SA"/>
              </w:rPr>
              <w:t>353</w:t>
            </w:r>
            <w:r w:rsidR="009B1433">
              <w:rPr>
                <w:rFonts w:ascii="Times New Roman" w:eastAsia="DejaVu Sans" w:hAnsi="Times New Roman" w:cs="Arial"/>
                <w:b/>
                <w:bCs/>
                <w:kern w:val="1"/>
                <w:sz w:val="24"/>
                <w:szCs w:val="24"/>
                <w:lang w:val="en-US" w:eastAsia="ar-SA"/>
              </w:rPr>
              <w:t xml:space="preserve"> and </w:t>
            </w:r>
            <w:r w:rsidR="008515F8">
              <w:rPr>
                <w:rFonts w:ascii="Times New Roman" w:eastAsia="DejaVu Sans" w:hAnsi="Times New Roman" w:cs="Arial"/>
                <w:b/>
                <w:bCs/>
                <w:kern w:val="1"/>
                <w:sz w:val="24"/>
                <w:szCs w:val="24"/>
                <w:lang w:val="en-US" w:eastAsia="ar-SA"/>
              </w:rPr>
              <w:t>354</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ED3F934"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9B1433">
              <w:rPr>
                <w:rFonts w:ascii="Times New Roman" w:eastAsia="DejaVu Sans" w:hAnsi="Times New Roman" w:cs="Arial"/>
                <w:kern w:val="1"/>
                <w:sz w:val="24"/>
                <w:szCs w:val="24"/>
                <w:lang w:val="en-US" w:eastAsia="ar-SA"/>
              </w:rPr>
              <w:t xml:space="preserve">y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36206" w:rsidRPr="00E713DC" w14:paraId="30246FA5" w14:textId="77777777" w:rsidTr="00ED178B">
        <w:trPr>
          <w:trHeight w:val="586"/>
        </w:trPr>
        <w:tc>
          <w:tcPr>
            <w:tcW w:w="1189" w:type="dxa"/>
            <w:noWrap/>
          </w:tcPr>
          <w:p w14:paraId="5CAEE76B" w14:textId="77777777" w:rsidR="00536206" w:rsidRPr="00E713DC" w:rsidRDefault="00536206" w:rsidP="00ED178B">
            <w:pPr>
              <w:rPr>
                <w:sz w:val="20"/>
                <w:szCs w:val="20"/>
              </w:rPr>
            </w:pPr>
            <w:proofErr w:type="spellStart"/>
            <w:r w:rsidRPr="00E713DC">
              <w:rPr>
                <w:sz w:val="20"/>
                <w:szCs w:val="20"/>
              </w:rPr>
              <w:lastRenderedPageBreak/>
              <w:t>Commenter</w:t>
            </w:r>
            <w:proofErr w:type="spellEnd"/>
          </w:p>
        </w:tc>
        <w:tc>
          <w:tcPr>
            <w:tcW w:w="663" w:type="dxa"/>
            <w:noWrap/>
          </w:tcPr>
          <w:p w14:paraId="3CF0D594" w14:textId="77777777" w:rsidR="00536206" w:rsidRPr="00E713DC" w:rsidRDefault="00536206" w:rsidP="00ED178B">
            <w:pPr>
              <w:rPr>
                <w:sz w:val="20"/>
                <w:szCs w:val="20"/>
              </w:rPr>
            </w:pPr>
            <w:r>
              <w:rPr>
                <w:sz w:val="20"/>
                <w:szCs w:val="20"/>
              </w:rPr>
              <w:t>Index #</w:t>
            </w:r>
          </w:p>
        </w:tc>
        <w:tc>
          <w:tcPr>
            <w:tcW w:w="611" w:type="dxa"/>
            <w:noWrap/>
          </w:tcPr>
          <w:p w14:paraId="7E3E6335" w14:textId="77777777" w:rsidR="00536206" w:rsidRPr="00E713DC" w:rsidRDefault="00536206" w:rsidP="00ED178B">
            <w:pPr>
              <w:rPr>
                <w:sz w:val="20"/>
                <w:szCs w:val="20"/>
              </w:rPr>
            </w:pPr>
            <w:proofErr w:type="spellStart"/>
            <w:r>
              <w:rPr>
                <w:sz w:val="20"/>
                <w:szCs w:val="20"/>
              </w:rPr>
              <w:t>page</w:t>
            </w:r>
            <w:proofErr w:type="spellEnd"/>
          </w:p>
        </w:tc>
        <w:tc>
          <w:tcPr>
            <w:tcW w:w="1086" w:type="dxa"/>
            <w:noWrap/>
          </w:tcPr>
          <w:p w14:paraId="3A70DD4B" w14:textId="77777777" w:rsidR="00536206" w:rsidRPr="00E713DC" w:rsidRDefault="00536206" w:rsidP="00ED178B">
            <w:pPr>
              <w:rPr>
                <w:sz w:val="20"/>
                <w:szCs w:val="20"/>
              </w:rPr>
            </w:pPr>
            <w:r>
              <w:rPr>
                <w:sz w:val="20"/>
                <w:szCs w:val="20"/>
              </w:rPr>
              <w:t>Sub-</w:t>
            </w:r>
            <w:proofErr w:type="spellStart"/>
            <w:r>
              <w:rPr>
                <w:sz w:val="20"/>
                <w:szCs w:val="20"/>
              </w:rPr>
              <w:t>Clause</w:t>
            </w:r>
            <w:proofErr w:type="spellEnd"/>
          </w:p>
        </w:tc>
        <w:tc>
          <w:tcPr>
            <w:tcW w:w="551" w:type="dxa"/>
            <w:noWrap/>
          </w:tcPr>
          <w:p w14:paraId="16E65599" w14:textId="77777777" w:rsidR="00536206" w:rsidRPr="00E713DC" w:rsidRDefault="00536206" w:rsidP="00ED178B">
            <w:pPr>
              <w:rPr>
                <w:sz w:val="20"/>
                <w:szCs w:val="20"/>
              </w:rPr>
            </w:pPr>
            <w:r>
              <w:rPr>
                <w:sz w:val="20"/>
                <w:szCs w:val="20"/>
              </w:rPr>
              <w:t>Line</w:t>
            </w:r>
          </w:p>
        </w:tc>
        <w:tc>
          <w:tcPr>
            <w:tcW w:w="2701" w:type="dxa"/>
          </w:tcPr>
          <w:p w14:paraId="1D6E8FC6" w14:textId="77777777" w:rsidR="00536206" w:rsidRPr="00E713DC" w:rsidRDefault="00536206" w:rsidP="00ED178B">
            <w:pPr>
              <w:rPr>
                <w:sz w:val="20"/>
                <w:szCs w:val="20"/>
              </w:rPr>
            </w:pPr>
            <w:r>
              <w:rPr>
                <w:sz w:val="20"/>
                <w:szCs w:val="20"/>
              </w:rPr>
              <w:t>Comment</w:t>
            </w:r>
          </w:p>
        </w:tc>
        <w:tc>
          <w:tcPr>
            <w:tcW w:w="2701" w:type="dxa"/>
          </w:tcPr>
          <w:p w14:paraId="358E5375" w14:textId="77777777" w:rsidR="00536206" w:rsidRPr="00E713DC" w:rsidRDefault="00536206" w:rsidP="00ED178B">
            <w:pPr>
              <w:rPr>
                <w:sz w:val="20"/>
                <w:szCs w:val="20"/>
                <w:lang w:val="en-US"/>
              </w:rPr>
            </w:pPr>
            <w:r>
              <w:rPr>
                <w:sz w:val="20"/>
                <w:szCs w:val="20"/>
                <w:lang w:val="en-US"/>
              </w:rPr>
              <w:t>Proposed Change</w:t>
            </w:r>
          </w:p>
        </w:tc>
      </w:tr>
      <w:tr w:rsidR="008515F8" w:rsidRPr="007D5BE4" w14:paraId="03D55B07" w14:textId="77777777" w:rsidTr="00ED178B">
        <w:trPr>
          <w:trHeight w:val="1020"/>
        </w:trPr>
        <w:tc>
          <w:tcPr>
            <w:tcW w:w="1189" w:type="dxa"/>
            <w:noWrap/>
          </w:tcPr>
          <w:p w14:paraId="00DBD301" w14:textId="676ECF8F"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VERSO, BILLY</w:t>
            </w:r>
          </w:p>
        </w:tc>
        <w:tc>
          <w:tcPr>
            <w:tcW w:w="663" w:type="dxa"/>
            <w:noWrap/>
          </w:tcPr>
          <w:p w14:paraId="0C3A7A79" w14:textId="55FDF616"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353</w:t>
            </w:r>
          </w:p>
        </w:tc>
        <w:tc>
          <w:tcPr>
            <w:tcW w:w="611" w:type="dxa"/>
            <w:noWrap/>
          </w:tcPr>
          <w:p w14:paraId="3A7934C6" w14:textId="79369060"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45</w:t>
            </w:r>
          </w:p>
        </w:tc>
        <w:tc>
          <w:tcPr>
            <w:tcW w:w="1086" w:type="dxa"/>
            <w:noWrap/>
          </w:tcPr>
          <w:p w14:paraId="56EA537A" w14:textId="2C9A62C9"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 xml:space="preserve">10.32.1 </w:t>
            </w:r>
          </w:p>
        </w:tc>
        <w:tc>
          <w:tcPr>
            <w:tcW w:w="551" w:type="dxa"/>
            <w:noWrap/>
          </w:tcPr>
          <w:p w14:paraId="769152AC" w14:textId="31E04714"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25</w:t>
            </w:r>
          </w:p>
        </w:tc>
        <w:tc>
          <w:tcPr>
            <w:tcW w:w="2701" w:type="dxa"/>
          </w:tcPr>
          <w:p w14:paraId="401D8B24" w14:textId="1C2FE8D9"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The statement here that is a little vague and really is not needed, since this handling is all the domain of the higher layer.</w:t>
            </w:r>
          </w:p>
        </w:tc>
        <w:tc>
          <w:tcPr>
            <w:tcW w:w="2701" w:type="dxa"/>
          </w:tcPr>
          <w:p w14:paraId="486FCB41" w14:textId="065EB051" w:rsidR="008515F8" w:rsidRPr="008515F8"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Change the end of the paragraph starting from the sentence: "If a device receives RCMs with different contents, …"  to: "The higher layer is responsible for processing, and acting on, the RCM content."</w:t>
            </w:r>
          </w:p>
        </w:tc>
      </w:tr>
      <w:tr w:rsidR="008515F8" w:rsidRPr="007D5BE4" w14:paraId="409EC50C" w14:textId="77777777" w:rsidTr="00ED178B">
        <w:trPr>
          <w:trHeight w:val="1020"/>
        </w:trPr>
        <w:tc>
          <w:tcPr>
            <w:tcW w:w="1189" w:type="dxa"/>
            <w:noWrap/>
          </w:tcPr>
          <w:p w14:paraId="2B11C9ED" w14:textId="0899A865" w:rsidR="008515F8" w:rsidRPr="008515F8" w:rsidRDefault="008515F8" w:rsidP="008515F8">
            <w:pPr>
              <w:rPr>
                <w:sz w:val="18"/>
                <w:szCs w:val="18"/>
              </w:rPr>
            </w:pPr>
            <w:r w:rsidRPr="008515F8">
              <w:rPr>
                <w:rFonts w:ascii="Arial" w:eastAsia="Times New Roman" w:hAnsi="Arial" w:cs="Arial"/>
                <w:sz w:val="18"/>
                <w:szCs w:val="18"/>
                <w:lang w:val="en-US"/>
              </w:rPr>
              <w:t>VERSO, BILLY</w:t>
            </w:r>
          </w:p>
        </w:tc>
        <w:tc>
          <w:tcPr>
            <w:tcW w:w="663" w:type="dxa"/>
            <w:noWrap/>
          </w:tcPr>
          <w:p w14:paraId="647C4D48" w14:textId="658EB164" w:rsidR="008515F8" w:rsidRPr="008515F8" w:rsidRDefault="008515F8" w:rsidP="008515F8">
            <w:pPr>
              <w:rPr>
                <w:sz w:val="18"/>
                <w:szCs w:val="18"/>
              </w:rPr>
            </w:pPr>
            <w:r w:rsidRPr="008515F8">
              <w:rPr>
                <w:rFonts w:ascii="Arial" w:eastAsia="Times New Roman" w:hAnsi="Arial" w:cs="Arial"/>
                <w:sz w:val="18"/>
                <w:szCs w:val="18"/>
                <w:lang w:val="en-US"/>
              </w:rPr>
              <w:t>354</w:t>
            </w:r>
          </w:p>
        </w:tc>
        <w:tc>
          <w:tcPr>
            <w:tcW w:w="611" w:type="dxa"/>
            <w:noWrap/>
          </w:tcPr>
          <w:p w14:paraId="0FADA83D" w14:textId="68603D7F" w:rsidR="008515F8" w:rsidRPr="008515F8" w:rsidRDefault="008515F8" w:rsidP="008515F8">
            <w:pPr>
              <w:rPr>
                <w:sz w:val="18"/>
                <w:szCs w:val="18"/>
              </w:rPr>
            </w:pPr>
            <w:r w:rsidRPr="008515F8">
              <w:rPr>
                <w:rFonts w:ascii="Arial" w:eastAsia="Times New Roman" w:hAnsi="Arial" w:cs="Arial"/>
                <w:sz w:val="18"/>
                <w:szCs w:val="18"/>
                <w:lang w:val="en-US"/>
              </w:rPr>
              <w:t>46</w:t>
            </w:r>
          </w:p>
        </w:tc>
        <w:tc>
          <w:tcPr>
            <w:tcW w:w="1086" w:type="dxa"/>
            <w:noWrap/>
          </w:tcPr>
          <w:p w14:paraId="141BE0EA" w14:textId="76228B00" w:rsidR="008515F8" w:rsidRPr="008515F8" w:rsidRDefault="008515F8" w:rsidP="008515F8">
            <w:pPr>
              <w:rPr>
                <w:sz w:val="18"/>
                <w:szCs w:val="18"/>
              </w:rPr>
            </w:pPr>
            <w:r w:rsidRPr="008515F8">
              <w:rPr>
                <w:rFonts w:ascii="Arial" w:eastAsia="Times New Roman" w:hAnsi="Arial" w:cs="Arial"/>
                <w:color w:val="000000"/>
                <w:sz w:val="18"/>
                <w:szCs w:val="18"/>
                <w:lang w:val="en-US"/>
              </w:rPr>
              <w:t>10.32.2</w:t>
            </w:r>
          </w:p>
        </w:tc>
        <w:tc>
          <w:tcPr>
            <w:tcW w:w="551" w:type="dxa"/>
            <w:noWrap/>
          </w:tcPr>
          <w:p w14:paraId="0C901FB1" w14:textId="7D3E5780" w:rsidR="008515F8" w:rsidRPr="008515F8" w:rsidRDefault="008515F8" w:rsidP="008515F8">
            <w:pPr>
              <w:rPr>
                <w:sz w:val="18"/>
                <w:szCs w:val="18"/>
              </w:rPr>
            </w:pPr>
            <w:r w:rsidRPr="008515F8">
              <w:rPr>
                <w:rFonts w:ascii="Arial" w:eastAsia="Times New Roman" w:hAnsi="Arial" w:cs="Arial"/>
                <w:color w:val="000000"/>
                <w:sz w:val="18"/>
                <w:szCs w:val="18"/>
                <w:lang w:val="en-US"/>
              </w:rPr>
              <w:t>28</w:t>
            </w:r>
          </w:p>
        </w:tc>
        <w:tc>
          <w:tcPr>
            <w:tcW w:w="2701" w:type="dxa"/>
          </w:tcPr>
          <w:p w14:paraId="101C8300" w14:textId="4A535602" w:rsidR="008515F8" w:rsidRPr="008515F8" w:rsidRDefault="008515F8" w:rsidP="008515F8">
            <w:pPr>
              <w:rPr>
                <w:sz w:val="18"/>
                <w:szCs w:val="18"/>
              </w:rPr>
            </w:pPr>
            <w:r w:rsidRPr="008515F8">
              <w:rPr>
                <w:rFonts w:ascii="Arial" w:eastAsia="Times New Roman" w:hAnsi="Arial" w:cs="Arial"/>
                <w:color w:val="000000"/>
                <w:sz w:val="18"/>
                <w:szCs w:val="18"/>
                <w:lang w:val="en-US"/>
              </w:rPr>
              <w:t xml:space="preserve">Is there something in the RCM to indicate which slot it is being sent in, so that for example if a devices receives and RCM not sent in slot zero, after missing the initial RCM, that it knows where slot zero is to correctly </w:t>
            </w:r>
            <w:proofErr w:type="spellStart"/>
            <w:r w:rsidRPr="008515F8">
              <w:rPr>
                <w:rFonts w:ascii="Arial" w:eastAsia="Times New Roman" w:hAnsi="Arial" w:cs="Arial"/>
                <w:color w:val="000000"/>
                <w:sz w:val="18"/>
                <w:szCs w:val="18"/>
                <w:lang w:val="en-US"/>
              </w:rPr>
              <w:t>synchronise</w:t>
            </w:r>
            <w:proofErr w:type="spellEnd"/>
            <w:r w:rsidRPr="008515F8">
              <w:rPr>
                <w:rFonts w:ascii="Arial" w:eastAsia="Times New Roman" w:hAnsi="Arial" w:cs="Arial"/>
                <w:color w:val="000000"/>
                <w:sz w:val="18"/>
                <w:szCs w:val="18"/>
                <w:lang w:val="en-US"/>
              </w:rPr>
              <w:t xml:space="preserve"> to the ranging block/round etc.  I don't see this in the ARC IE or AC IE, so I think that maybe this is broken as an idea.  The ARC IE is part of the base standard so we probably cannot add a slot # field in it, but we can do so in the AC IE, in which case this text can say "RCM using AC IE" and state that the slot# field is present for this purpose.</w:t>
            </w:r>
          </w:p>
        </w:tc>
        <w:tc>
          <w:tcPr>
            <w:tcW w:w="2701" w:type="dxa"/>
          </w:tcPr>
          <w:p w14:paraId="30DA453B" w14:textId="5C413214" w:rsidR="008515F8" w:rsidRPr="008515F8" w:rsidRDefault="008515F8" w:rsidP="008515F8">
            <w:pPr>
              <w:rPr>
                <w:sz w:val="18"/>
                <w:szCs w:val="18"/>
                <w:lang w:val="en-US"/>
              </w:rPr>
            </w:pPr>
            <w:r w:rsidRPr="008515F8">
              <w:rPr>
                <w:rFonts w:ascii="Arial" w:eastAsia="Times New Roman" w:hAnsi="Arial" w:cs="Arial"/>
                <w:color w:val="000000"/>
                <w:sz w:val="18"/>
                <w:szCs w:val="18"/>
                <w:lang w:val="en-US"/>
              </w:rPr>
              <w:t>Add slot number field to the AC IE, and modify this text to say "RCM using AC IE", which "shall have the slot number field included if RCM are being sent in slots other than slot zero".</w:t>
            </w:r>
          </w:p>
        </w:tc>
      </w:tr>
    </w:tbl>
    <w:p w14:paraId="4322DBBA" w14:textId="77777777" w:rsidR="009128C9" w:rsidRDefault="009128C9">
      <w:pPr>
        <w:rPr>
          <w:b/>
          <w:bCs/>
          <w:i/>
          <w:color w:val="5B9BD5" w:themeColor="accent1"/>
        </w:rPr>
      </w:pPr>
    </w:p>
    <w:p w14:paraId="0B1E9D94" w14:textId="77777777" w:rsidR="008515F8" w:rsidRDefault="008515F8">
      <w:pPr>
        <w:rPr>
          <w:b/>
          <w:bCs/>
          <w:i/>
          <w:color w:val="5B9BD5" w:themeColor="accent1"/>
        </w:rPr>
      </w:pPr>
    </w:p>
    <w:p w14:paraId="2336042D" w14:textId="77777777" w:rsidR="008515F8" w:rsidRDefault="008515F8">
      <w:pPr>
        <w:rPr>
          <w:b/>
          <w:bCs/>
          <w:i/>
          <w:color w:val="5B9BD5" w:themeColor="accent1"/>
        </w:rPr>
      </w:pPr>
    </w:p>
    <w:p w14:paraId="574B56B8" w14:textId="77777777" w:rsidR="008515F8" w:rsidRDefault="008515F8">
      <w:pPr>
        <w:rPr>
          <w:b/>
          <w:bCs/>
          <w:i/>
          <w:color w:val="5B9BD5" w:themeColor="accent1"/>
        </w:rPr>
      </w:pPr>
    </w:p>
    <w:p w14:paraId="4C8B4159" w14:textId="77777777" w:rsidR="008515F8" w:rsidRDefault="008515F8">
      <w:pPr>
        <w:rPr>
          <w:b/>
          <w:bCs/>
          <w:i/>
          <w:color w:val="5B9BD5" w:themeColor="accent1"/>
        </w:rPr>
      </w:pPr>
    </w:p>
    <w:p w14:paraId="3EA52A0F" w14:textId="77777777" w:rsidR="008515F8" w:rsidRDefault="008515F8">
      <w:pPr>
        <w:rPr>
          <w:b/>
          <w:bCs/>
          <w:i/>
          <w:color w:val="5B9BD5" w:themeColor="accent1"/>
        </w:rPr>
      </w:pPr>
    </w:p>
    <w:p w14:paraId="2355F36B" w14:textId="77777777" w:rsidR="008515F8" w:rsidRDefault="008515F8">
      <w:pPr>
        <w:rPr>
          <w:b/>
          <w:bCs/>
          <w:i/>
          <w:color w:val="5B9BD5" w:themeColor="accent1"/>
        </w:rPr>
      </w:pPr>
    </w:p>
    <w:p w14:paraId="3B7FDA89" w14:textId="77777777" w:rsidR="008515F8" w:rsidRDefault="008515F8">
      <w:pPr>
        <w:rPr>
          <w:b/>
          <w:bCs/>
          <w:i/>
          <w:color w:val="5B9BD5" w:themeColor="accent1"/>
        </w:rPr>
      </w:pPr>
    </w:p>
    <w:p w14:paraId="2A3E2D85" w14:textId="77777777" w:rsidR="008515F8" w:rsidRDefault="008515F8">
      <w:pPr>
        <w:rPr>
          <w:b/>
          <w:bCs/>
          <w:i/>
          <w:color w:val="5B9BD5" w:themeColor="accent1"/>
        </w:rPr>
      </w:pPr>
    </w:p>
    <w:p w14:paraId="77401E03" w14:textId="77777777" w:rsidR="008515F8" w:rsidRDefault="008515F8">
      <w:pPr>
        <w:rPr>
          <w:b/>
          <w:bCs/>
          <w:i/>
          <w:color w:val="5B9BD5" w:themeColor="accent1"/>
        </w:rPr>
      </w:pPr>
    </w:p>
    <w:p w14:paraId="47456719" w14:textId="77777777" w:rsidR="008515F8" w:rsidRDefault="008515F8">
      <w:pPr>
        <w:rPr>
          <w:b/>
          <w:bCs/>
          <w:i/>
          <w:color w:val="5B9BD5" w:themeColor="accent1"/>
        </w:rPr>
      </w:pPr>
    </w:p>
    <w:p w14:paraId="70E056F5" w14:textId="77777777" w:rsidR="008515F8" w:rsidRDefault="008515F8">
      <w:pPr>
        <w:rPr>
          <w:b/>
          <w:bCs/>
          <w:i/>
          <w:color w:val="5B9BD5" w:themeColor="accent1"/>
        </w:rPr>
      </w:pPr>
    </w:p>
    <w:p w14:paraId="456E9555" w14:textId="77777777" w:rsidR="008515F8" w:rsidRDefault="008515F8">
      <w:pPr>
        <w:rPr>
          <w:b/>
          <w:bCs/>
          <w:i/>
          <w:color w:val="5B9BD5" w:themeColor="accent1"/>
        </w:rPr>
      </w:pPr>
    </w:p>
    <w:p w14:paraId="100ADC5C" w14:textId="77777777" w:rsidR="008515F8" w:rsidRDefault="008515F8">
      <w:pPr>
        <w:rPr>
          <w:b/>
          <w:bCs/>
          <w:i/>
          <w:color w:val="5B9BD5" w:themeColor="accent1"/>
        </w:rPr>
      </w:pPr>
    </w:p>
    <w:p w14:paraId="22D5B4FB" w14:textId="77777777" w:rsidR="008515F8" w:rsidRDefault="008515F8">
      <w:pPr>
        <w:rPr>
          <w:b/>
          <w:bCs/>
          <w:i/>
          <w:color w:val="5B9BD5" w:themeColor="accent1"/>
        </w:rPr>
      </w:pPr>
    </w:p>
    <w:p w14:paraId="1AAA2EC0" w14:textId="77777777" w:rsidR="008515F8" w:rsidRPr="00536206" w:rsidRDefault="008515F8">
      <w:pPr>
        <w:rPr>
          <w:b/>
          <w:bCs/>
          <w:i/>
          <w:color w:val="5B9BD5" w:themeColor="accent1"/>
        </w:rPr>
      </w:pPr>
    </w:p>
    <w:p w14:paraId="4997CD11" w14:textId="47A17BB5" w:rsidR="00D461FA" w:rsidRPr="00FC5EA0" w:rsidRDefault="00FC5EA0">
      <w:pPr>
        <w:rPr>
          <w:lang w:val="en-US"/>
        </w:rPr>
      </w:pPr>
      <w:r w:rsidRPr="00FC5EA0">
        <w:rPr>
          <w:b/>
          <w:bCs/>
          <w:i/>
          <w:color w:val="5B9BD5" w:themeColor="accent1"/>
          <w:lang w:val="en-US"/>
        </w:rPr>
        <w:lastRenderedPageBreak/>
        <w:t>Comment Index #</w:t>
      </w:r>
      <w:r w:rsidR="008515F8">
        <w:rPr>
          <w:b/>
          <w:bCs/>
          <w:i/>
          <w:color w:val="5B9BD5" w:themeColor="accent1"/>
          <w:lang w:val="en-US"/>
        </w:rPr>
        <w:t>353</w:t>
      </w:r>
      <w:r w:rsidR="00EC3B9D">
        <w:rPr>
          <w:b/>
          <w:bCs/>
          <w:i/>
          <w:color w:val="5B9BD5" w:themeColor="accent1"/>
          <w:lang w:val="en-US"/>
        </w:rPr>
        <w:t xml:space="preserve">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8515F8" w:rsidRPr="00536206" w14:paraId="5B63CCAB" w14:textId="77777777" w:rsidTr="00ED178B">
        <w:trPr>
          <w:trHeight w:val="1020"/>
        </w:trPr>
        <w:tc>
          <w:tcPr>
            <w:tcW w:w="1189" w:type="dxa"/>
            <w:noWrap/>
          </w:tcPr>
          <w:p w14:paraId="5234591D" w14:textId="6D357C6A"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VERSO, BILLY</w:t>
            </w:r>
          </w:p>
        </w:tc>
        <w:tc>
          <w:tcPr>
            <w:tcW w:w="663" w:type="dxa"/>
            <w:noWrap/>
          </w:tcPr>
          <w:p w14:paraId="3D4B8D38" w14:textId="7AA3318E"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353</w:t>
            </w:r>
          </w:p>
        </w:tc>
        <w:tc>
          <w:tcPr>
            <w:tcW w:w="611" w:type="dxa"/>
            <w:noWrap/>
          </w:tcPr>
          <w:p w14:paraId="16757576" w14:textId="606C073B"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45</w:t>
            </w:r>
          </w:p>
        </w:tc>
        <w:tc>
          <w:tcPr>
            <w:tcW w:w="1086" w:type="dxa"/>
            <w:noWrap/>
          </w:tcPr>
          <w:p w14:paraId="3327FAB9" w14:textId="5B322478"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 xml:space="preserve">10.32.1 </w:t>
            </w:r>
          </w:p>
        </w:tc>
        <w:tc>
          <w:tcPr>
            <w:tcW w:w="551" w:type="dxa"/>
            <w:noWrap/>
          </w:tcPr>
          <w:p w14:paraId="1FCA504B" w14:textId="04F7EC75"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25</w:t>
            </w:r>
          </w:p>
        </w:tc>
        <w:tc>
          <w:tcPr>
            <w:tcW w:w="2701" w:type="dxa"/>
          </w:tcPr>
          <w:p w14:paraId="2F7712DB" w14:textId="7358E66F"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The statement here that is a little vague and really is not needed, since this handling is all the domain of the higher layer.</w:t>
            </w:r>
          </w:p>
        </w:tc>
        <w:tc>
          <w:tcPr>
            <w:tcW w:w="2701" w:type="dxa"/>
          </w:tcPr>
          <w:p w14:paraId="061B2B96" w14:textId="25FBEEB1" w:rsidR="008515F8" w:rsidRPr="00536206" w:rsidRDefault="008515F8" w:rsidP="008515F8">
            <w:pPr>
              <w:rPr>
                <w:rFonts w:ascii="Arial" w:hAnsi="Arial" w:cs="Arial"/>
                <w:color w:val="000000"/>
                <w:kern w:val="24"/>
                <w:sz w:val="18"/>
                <w:szCs w:val="18"/>
              </w:rPr>
            </w:pPr>
            <w:r w:rsidRPr="008515F8">
              <w:rPr>
                <w:rFonts w:ascii="Arial" w:eastAsia="Times New Roman" w:hAnsi="Arial" w:cs="Arial"/>
                <w:sz w:val="18"/>
                <w:szCs w:val="18"/>
                <w:lang w:val="en-US"/>
              </w:rPr>
              <w:t>Change the end of the paragraph starting from the sentence: "If a device receives RCMs with different contents, …"  to: "The higher layer is responsible for processing, and acting on, the RCM content."</w:t>
            </w:r>
          </w:p>
        </w:tc>
      </w:tr>
    </w:tbl>
    <w:p w14:paraId="423D849A" w14:textId="77777777" w:rsidR="00D461FA" w:rsidRPr="00DF39A7" w:rsidRDefault="00D461FA"/>
    <w:p w14:paraId="4D14F258" w14:textId="44300BC1"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8515F8">
        <w:rPr>
          <w:rFonts w:eastAsiaTheme="minorEastAsia" w:cstheme="minorHAnsi"/>
          <w:b/>
          <w:bCs/>
          <w:sz w:val="20"/>
          <w:szCs w:val="20"/>
          <w:u w:val="single"/>
          <w:lang w:val="en-GB" w:eastAsia="zh-CN"/>
        </w:rPr>
        <w:t>353</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33E8C514" w:rsidR="00253BE0" w:rsidRPr="00253BE0" w:rsidRDefault="008515F8" w:rsidP="00DF0983">
      <w:pPr>
        <w:spacing w:after="240" w:line="230" w:lineRule="atLeast"/>
        <w:jc w:val="both"/>
        <w:rPr>
          <w:rFonts w:eastAsiaTheme="minorEastAsia" w:cstheme="minorHAnsi"/>
          <w:b/>
          <w:bCs/>
          <w:sz w:val="20"/>
          <w:szCs w:val="20"/>
          <w:u w:val="single"/>
          <w:lang w:val="en-US" w:eastAsia="zh-CN"/>
        </w:rPr>
      </w:pPr>
      <w:r w:rsidRPr="008515F8">
        <w:rPr>
          <w:rFonts w:eastAsiaTheme="minorEastAsia" w:cstheme="minorHAnsi"/>
          <w:b/>
          <w:bCs/>
          <w:noProof/>
          <w:sz w:val="20"/>
          <w:szCs w:val="20"/>
          <w:u w:val="single"/>
          <w:lang w:val="en-US" w:eastAsia="zh-CN"/>
        </w:rPr>
        <w:drawing>
          <wp:inline distT="0" distB="0" distL="0" distR="0" wp14:anchorId="03DD6FE1" wp14:editId="5189EE46">
            <wp:extent cx="4770120" cy="1751989"/>
            <wp:effectExtent l="0" t="0" r="0" b="635"/>
            <wp:docPr id="628765234"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65234" name="Picture 1" descr="A close-up of a text&#10;&#10;AI-generated content may be incorrect."/>
                    <pic:cNvPicPr/>
                  </pic:nvPicPr>
                  <pic:blipFill>
                    <a:blip r:embed="rId8"/>
                    <a:stretch>
                      <a:fillRect/>
                    </a:stretch>
                  </pic:blipFill>
                  <pic:spPr>
                    <a:xfrm>
                      <a:off x="0" y="0"/>
                      <a:ext cx="4778629" cy="1755114"/>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6C027A2B" w:rsidR="00415B34" w:rsidRPr="00291F7B" w:rsidRDefault="00532FB2" w:rsidP="00C12A92">
      <w:pPr>
        <w:rPr>
          <w:b/>
          <w:bCs/>
          <w:sz w:val="20"/>
          <w:szCs w:val="20"/>
          <w:lang w:val="en-US"/>
        </w:rPr>
      </w:pPr>
      <w:r>
        <w:rPr>
          <w:b/>
          <w:bCs/>
          <w:sz w:val="20"/>
          <w:szCs w:val="20"/>
          <w:lang w:val="en-US"/>
        </w:rPr>
        <w:t>Accepted</w:t>
      </w:r>
    </w:p>
    <w:p w14:paraId="005C01E7" w14:textId="731C885D"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8515F8">
        <w:rPr>
          <w:rFonts w:eastAsiaTheme="minorEastAsia" w:cstheme="minorHAnsi"/>
          <w:b/>
          <w:bCs/>
          <w:sz w:val="20"/>
          <w:szCs w:val="20"/>
          <w:u w:val="single"/>
          <w:lang w:val="en-GB" w:eastAsia="zh-CN"/>
        </w:rPr>
        <w:t>353</w:t>
      </w:r>
      <w:r w:rsidRPr="00415B34">
        <w:rPr>
          <w:rFonts w:eastAsiaTheme="minorEastAsia" w:cstheme="minorHAnsi"/>
          <w:b/>
          <w:bCs/>
          <w:sz w:val="20"/>
          <w:szCs w:val="20"/>
          <w:u w:val="single"/>
          <w:lang w:val="en-GB" w:eastAsia="zh-CN"/>
        </w:rPr>
        <w:t xml:space="preserve">: </w:t>
      </w:r>
    </w:p>
    <w:p w14:paraId="37F16AC7" w14:textId="3A5CBABA" w:rsid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 xml:space="preserve">Change page </w:t>
      </w:r>
      <w:r w:rsidR="008515F8">
        <w:rPr>
          <w:rFonts w:eastAsiaTheme="minorEastAsia" w:cstheme="minorHAnsi"/>
          <w:b/>
          <w:bCs/>
          <w:sz w:val="20"/>
          <w:szCs w:val="20"/>
          <w:lang w:val="en-GB" w:eastAsia="zh-CN"/>
        </w:rPr>
        <w:t>45</w:t>
      </w:r>
      <w:r w:rsidRPr="00BB2886">
        <w:rPr>
          <w:rFonts w:eastAsiaTheme="minorEastAsia" w:cstheme="minorHAnsi"/>
          <w:b/>
          <w:bCs/>
          <w:sz w:val="20"/>
          <w:szCs w:val="20"/>
          <w:lang w:val="en-GB" w:eastAsia="zh-CN"/>
        </w:rPr>
        <w:t xml:space="preserve"> line </w:t>
      </w:r>
      <w:r w:rsidR="008515F8">
        <w:rPr>
          <w:rFonts w:eastAsiaTheme="minorEastAsia" w:cstheme="minorHAnsi"/>
          <w:b/>
          <w:bCs/>
          <w:sz w:val="20"/>
          <w:szCs w:val="20"/>
          <w:lang w:val="en-GB" w:eastAsia="zh-CN"/>
        </w:rPr>
        <w:t>25</w:t>
      </w:r>
      <w:r w:rsidRPr="00BB2886">
        <w:rPr>
          <w:rFonts w:eastAsiaTheme="minorEastAsia" w:cstheme="minorHAnsi"/>
          <w:b/>
          <w:bCs/>
          <w:sz w:val="20"/>
          <w:szCs w:val="20"/>
          <w:lang w:val="en-GB" w:eastAsia="zh-CN"/>
        </w:rPr>
        <w:t>-</w:t>
      </w:r>
      <w:r w:rsidR="008515F8">
        <w:rPr>
          <w:rFonts w:eastAsiaTheme="minorEastAsia" w:cstheme="minorHAnsi"/>
          <w:b/>
          <w:bCs/>
          <w:sz w:val="20"/>
          <w:szCs w:val="20"/>
          <w:lang w:val="en-GB" w:eastAsia="zh-CN"/>
        </w:rPr>
        <w:t>27</w:t>
      </w:r>
    </w:p>
    <w:p w14:paraId="088E3A82" w14:textId="0F561129" w:rsidR="008515F8" w:rsidRPr="008515F8" w:rsidRDefault="008515F8" w:rsidP="00415B34">
      <w:pPr>
        <w:spacing w:after="240" w:line="230" w:lineRule="atLeast"/>
        <w:jc w:val="both"/>
        <w:rPr>
          <w:rFonts w:eastAsiaTheme="minorEastAsia" w:cstheme="minorHAnsi"/>
          <w:sz w:val="20"/>
          <w:szCs w:val="20"/>
          <w:lang w:val="en-GB" w:eastAsia="zh-CN"/>
        </w:rPr>
      </w:pPr>
      <w:r w:rsidRPr="008515F8">
        <w:rPr>
          <w:rFonts w:eastAsiaTheme="minorEastAsia" w:cstheme="minorHAnsi"/>
          <w:sz w:val="20"/>
          <w:szCs w:val="20"/>
          <w:lang w:val="en-US" w:eastAsia="zh-CN"/>
        </w:rPr>
        <w:t xml:space="preserve">If a device receives RCMs with different contents, e.g., due to a malfunction, in the same ranging round, the selection of the valid RCM by the device is implementation dependent. </w:t>
      </w:r>
      <w:r w:rsidRPr="008515F8">
        <w:rPr>
          <w:rFonts w:eastAsiaTheme="minorEastAsia" w:cstheme="minorHAnsi"/>
          <w:strike/>
          <w:color w:val="FF0000"/>
          <w:sz w:val="20"/>
          <w:szCs w:val="20"/>
          <w:lang w:val="en-US" w:eastAsia="zh-CN"/>
        </w:rPr>
        <w:t>The higher layer might decide on it. Such a decision could be majority based or could be based on the best received packet quality (e.g., RSSI or LQI).</w:t>
      </w:r>
      <w:r w:rsidRPr="008515F8">
        <w:rPr>
          <w:rFonts w:ascii="Arial" w:eastAsia="Times New Roman" w:hAnsi="Arial" w:cs="Arial"/>
          <w:color w:val="FF0000"/>
          <w:sz w:val="18"/>
          <w:szCs w:val="18"/>
          <w:lang w:val="en-US"/>
        </w:rPr>
        <w:t xml:space="preserve"> The higher layer is responsible for processing and acting on, the RCM content</w:t>
      </w:r>
      <w:r>
        <w:rPr>
          <w:rFonts w:ascii="Arial" w:eastAsia="Times New Roman" w:hAnsi="Arial" w:cs="Arial"/>
          <w:color w:val="FF0000"/>
          <w:sz w:val="18"/>
          <w:szCs w:val="18"/>
          <w:lang w:val="en-US"/>
        </w:rPr>
        <w:t>.</w:t>
      </w: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p w14:paraId="35572690" w14:textId="77777777" w:rsidR="002B0693" w:rsidRDefault="002B0693" w:rsidP="00884EEB">
      <w:pPr>
        <w:spacing w:after="240" w:line="230" w:lineRule="atLeast"/>
        <w:jc w:val="both"/>
        <w:rPr>
          <w:rFonts w:eastAsiaTheme="minorEastAsia" w:cstheme="minorHAnsi"/>
          <w:sz w:val="20"/>
          <w:szCs w:val="20"/>
          <w:lang w:val="en-GB" w:eastAsia="zh-CN"/>
        </w:rPr>
      </w:pPr>
    </w:p>
    <w:p w14:paraId="22F691C7" w14:textId="77777777" w:rsidR="002B0693" w:rsidRPr="00884EEB" w:rsidRDefault="002B0693" w:rsidP="00884EEB">
      <w:pPr>
        <w:spacing w:after="240" w:line="230" w:lineRule="atLeast"/>
        <w:jc w:val="both"/>
        <w:rPr>
          <w:rFonts w:eastAsiaTheme="minorEastAsia" w:cstheme="minorHAnsi"/>
          <w:sz w:val="20"/>
          <w:szCs w:val="20"/>
          <w:lang w:val="en-GB" w:eastAsia="zh-CN"/>
        </w:rPr>
      </w:pPr>
    </w:p>
    <w:p w14:paraId="21E7983D" w14:textId="5C3A6856" w:rsidR="00EC3B9D" w:rsidRPr="00FC5EA0" w:rsidRDefault="00EC3B9D" w:rsidP="00EC3B9D">
      <w:pPr>
        <w:rPr>
          <w:lang w:val="en-US"/>
        </w:rPr>
      </w:pPr>
      <w:r w:rsidRPr="00FC5EA0">
        <w:rPr>
          <w:b/>
          <w:bCs/>
          <w:i/>
          <w:color w:val="5B9BD5" w:themeColor="accent1"/>
          <w:lang w:val="en-US"/>
        </w:rPr>
        <w:t>Comment Index #</w:t>
      </w:r>
      <w:r w:rsidR="008515F8">
        <w:rPr>
          <w:b/>
          <w:bCs/>
          <w:i/>
          <w:color w:val="5B9BD5" w:themeColor="accent1"/>
          <w:lang w:val="en-US"/>
        </w:rPr>
        <w:t>354</w:t>
      </w:r>
      <w:r>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proofErr w:type="spellStart"/>
            <w:r w:rsidRPr="00E713DC">
              <w:rPr>
                <w:sz w:val="20"/>
                <w:szCs w:val="20"/>
              </w:rPr>
              <w:t>Commenter</w:t>
            </w:r>
            <w:proofErr w:type="spellEnd"/>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proofErr w:type="spellStart"/>
            <w:r>
              <w:rPr>
                <w:sz w:val="20"/>
                <w:szCs w:val="20"/>
              </w:rPr>
              <w:t>page</w:t>
            </w:r>
            <w:proofErr w:type="spellEnd"/>
          </w:p>
        </w:tc>
        <w:tc>
          <w:tcPr>
            <w:tcW w:w="1086" w:type="dxa"/>
            <w:noWrap/>
          </w:tcPr>
          <w:p w14:paraId="6662CD30" w14:textId="77777777" w:rsidR="005638DC" w:rsidRPr="00E713DC" w:rsidRDefault="005638DC" w:rsidP="00ED178B">
            <w:pPr>
              <w:rPr>
                <w:sz w:val="20"/>
                <w:szCs w:val="20"/>
              </w:rPr>
            </w:pPr>
            <w:r>
              <w:rPr>
                <w:sz w:val="20"/>
                <w:szCs w:val="20"/>
              </w:rPr>
              <w:t>Sub-</w:t>
            </w:r>
            <w:proofErr w:type="spellStart"/>
            <w:r>
              <w:rPr>
                <w:sz w:val="20"/>
                <w:szCs w:val="20"/>
              </w:rPr>
              <w:t>Clause</w:t>
            </w:r>
            <w:proofErr w:type="spellEnd"/>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8515F8" w:rsidRPr="007D5BE4" w14:paraId="2BE2D00B" w14:textId="77777777" w:rsidTr="00ED178B">
        <w:trPr>
          <w:trHeight w:val="1020"/>
        </w:trPr>
        <w:tc>
          <w:tcPr>
            <w:tcW w:w="1189" w:type="dxa"/>
            <w:noWrap/>
          </w:tcPr>
          <w:p w14:paraId="48D37282" w14:textId="62490931" w:rsidR="008515F8" w:rsidRPr="00536206" w:rsidRDefault="008515F8" w:rsidP="008515F8">
            <w:pPr>
              <w:rPr>
                <w:sz w:val="18"/>
                <w:szCs w:val="18"/>
              </w:rPr>
            </w:pPr>
            <w:r w:rsidRPr="008515F8">
              <w:rPr>
                <w:rFonts w:ascii="Arial" w:eastAsia="Times New Roman" w:hAnsi="Arial" w:cs="Arial"/>
                <w:sz w:val="18"/>
                <w:szCs w:val="18"/>
                <w:lang w:val="en-US"/>
              </w:rPr>
              <w:t>VERSO, BILLY</w:t>
            </w:r>
          </w:p>
        </w:tc>
        <w:tc>
          <w:tcPr>
            <w:tcW w:w="663" w:type="dxa"/>
            <w:noWrap/>
          </w:tcPr>
          <w:p w14:paraId="72DCC3C9" w14:textId="41256793" w:rsidR="008515F8" w:rsidRPr="00536206" w:rsidRDefault="008515F8" w:rsidP="008515F8">
            <w:pPr>
              <w:rPr>
                <w:sz w:val="18"/>
                <w:szCs w:val="18"/>
              </w:rPr>
            </w:pPr>
            <w:r w:rsidRPr="008515F8">
              <w:rPr>
                <w:rFonts w:ascii="Arial" w:eastAsia="Times New Roman" w:hAnsi="Arial" w:cs="Arial"/>
                <w:sz w:val="18"/>
                <w:szCs w:val="18"/>
                <w:lang w:val="en-US"/>
              </w:rPr>
              <w:t>354</w:t>
            </w:r>
          </w:p>
        </w:tc>
        <w:tc>
          <w:tcPr>
            <w:tcW w:w="611" w:type="dxa"/>
            <w:noWrap/>
          </w:tcPr>
          <w:p w14:paraId="1A4FE717" w14:textId="4090B832" w:rsidR="008515F8" w:rsidRPr="00536206" w:rsidRDefault="008515F8" w:rsidP="008515F8">
            <w:pPr>
              <w:rPr>
                <w:sz w:val="18"/>
                <w:szCs w:val="18"/>
              </w:rPr>
            </w:pPr>
            <w:r w:rsidRPr="008515F8">
              <w:rPr>
                <w:rFonts w:ascii="Arial" w:eastAsia="Times New Roman" w:hAnsi="Arial" w:cs="Arial"/>
                <w:sz w:val="18"/>
                <w:szCs w:val="18"/>
                <w:lang w:val="en-US"/>
              </w:rPr>
              <w:t>46</w:t>
            </w:r>
          </w:p>
        </w:tc>
        <w:tc>
          <w:tcPr>
            <w:tcW w:w="1086" w:type="dxa"/>
            <w:noWrap/>
          </w:tcPr>
          <w:p w14:paraId="06611495" w14:textId="47E828D0" w:rsidR="008515F8" w:rsidRPr="00536206" w:rsidRDefault="008515F8" w:rsidP="008515F8">
            <w:pPr>
              <w:rPr>
                <w:sz w:val="18"/>
                <w:szCs w:val="18"/>
              </w:rPr>
            </w:pPr>
            <w:r w:rsidRPr="008515F8">
              <w:rPr>
                <w:rFonts w:ascii="Arial" w:eastAsia="Times New Roman" w:hAnsi="Arial" w:cs="Arial"/>
                <w:color w:val="000000"/>
                <w:sz w:val="18"/>
                <w:szCs w:val="18"/>
                <w:lang w:val="en-US"/>
              </w:rPr>
              <w:t>10.32.2</w:t>
            </w:r>
          </w:p>
        </w:tc>
        <w:tc>
          <w:tcPr>
            <w:tcW w:w="551" w:type="dxa"/>
            <w:noWrap/>
          </w:tcPr>
          <w:p w14:paraId="555F4695" w14:textId="338B1267" w:rsidR="008515F8" w:rsidRPr="00536206" w:rsidRDefault="008515F8" w:rsidP="008515F8">
            <w:pPr>
              <w:rPr>
                <w:sz w:val="18"/>
                <w:szCs w:val="18"/>
              </w:rPr>
            </w:pPr>
            <w:r w:rsidRPr="008515F8">
              <w:rPr>
                <w:rFonts w:ascii="Arial" w:eastAsia="Times New Roman" w:hAnsi="Arial" w:cs="Arial"/>
                <w:color w:val="000000"/>
                <w:sz w:val="18"/>
                <w:szCs w:val="18"/>
                <w:lang w:val="en-US"/>
              </w:rPr>
              <w:t>28</w:t>
            </w:r>
          </w:p>
        </w:tc>
        <w:tc>
          <w:tcPr>
            <w:tcW w:w="2701" w:type="dxa"/>
          </w:tcPr>
          <w:p w14:paraId="4323B3A5" w14:textId="3ABC907E" w:rsidR="008515F8" w:rsidRPr="00536206" w:rsidRDefault="008515F8" w:rsidP="008515F8">
            <w:pPr>
              <w:rPr>
                <w:sz w:val="18"/>
                <w:szCs w:val="18"/>
              </w:rPr>
            </w:pPr>
            <w:r w:rsidRPr="008515F8">
              <w:rPr>
                <w:rFonts w:ascii="Arial" w:eastAsia="Times New Roman" w:hAnsi="Arial" w:cs="Arial"/>
                <w:color w:val="000000"/>
                <w:sz w:val="18"/>
                <w:szCs w:val="18"/>
                <w:lang w:val="en-US"/>
              </w:rPr>
              <w:t xml:space="preserve">Is there something in the RCM to indicate which slot it is being sent in, so that for example if a devices receives and RCM not sent in slot zero, after missing the initial RCM, that it knows where slot zero is to correctly </w:t>
            </w:r>
            <w:proofErr w:type="spellStart"/>
            <w:r w:rsidRPr="008515F8">
              <w:rPr>
                <w:rFonts w:ascii="Arial" w:eastAsia="Times New Roman" w:hAnsi="Arial" w:cs="Arial"/>
                <w:color w:val="000000"/>
                <w:sz w:val="18"/>
                <w:szCs w:val="18"/>
                <w:lang w:val="en-US"/>
              </w:rPr>
              <w:t>synchronise</w:t>
            </w:r>
            <w:proofErr w:type="spellEnd"/>
            <w:r w:rsidRPr="008515F8">
              <w:rPr>
                <w:rFonts w:ascii="Arial" w:eastAsia="Times New Roman" w:hAnsi="Arial" w:cs="Arial"/>
                <w:color w:val="000000"/>
                <w:sz w:val="18"/>
                <w:szCs w:val="18"/>
                <w:lang w:val="en-US"/>
              </w:rPr>
              <w:t xml:space="preserve"> to the ranging block/round etc.  I don't see this in the ARC IE or AC IE, so I think that maybe this is broken as an idea.  The ARC IE is part of the base standard so we probably cannot add a slot # field in it, but we can do so in the AC IE, in which case this text can say "RCM using AC IE" and state that the slot# field is present for this purpose.</w:t>
            </w:r>
          </w:p>
        </w:tc>
        <w:tc>
          <w:tcPr>
            <w:tcW w:w="2701" w:type="dxa"/>
          </w:tcPr>
          <w:p w14:paraId="4BAFA1E6" w14:textId="6F295EF2" w:rsidR="008515F8" w:rsidRPr="00536206" w:rsidRDefault="008515F8" w:rsidP="008515F8">
            <w:pPr>
              <w:rPr>
                <w:sz w:val="18"/>
                <w:szCs w:val="18"/>
                <w:lang w:val="en-US"/>
              </w:rPr>
            </w:pPr>
            <w:r w:rsidRPr="008515F8">
              <w:rPr>
                <w:rFonts w:ascii="Arial" w:eastAsia="Times New Roman" w:hAnsi="Arial" w:cs="Arial"/>
                <w:color w:val="000000"/>
                <w:sz w:val="18"/>
                <w:szCs w:val="18"/>
                <w:lang w:val="en-US"/>
              </w:rPr>
              <w:t>Add slot number field to the AC IE, and modify this text to say "RCM using AC IE", which "shall have the slot number field included if RCM are being sent in slots other than slot zero".</w:t>
            </w:r>
          </w:p>
        </w:tc>
      </w:tr>
    </w:tbl>
    <w:p w14:paraId="16F2FC21" w14:textId="77777777" w:rsidR="00EC3B9D" w:rsidRPr="00DF39A7" w:rsidRDefault="00EC3B9D" w:rsidP="00EC3B9D"/>
    <w:p w14:paraId="02BF2927" w14:textId="12988C4E" w:rsidR="00EC3B9D" w:rsidRDefault="00EC3B9D" w:rsidP="00EC3B9D">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008515F8">
        <w:rPr>
          <w:rFonts w:eastAsiaTheme="minorEastAsia" w:cstheme="minorHAnsi"/>
          <w:b/>
          <w:bCs/>
          <w:sz w:val="20"/>
          <w:szCs w:val="20"/>
          <w:u w:val="single"/>
          <w:lang w:val="en-GB" w:eastAsia="zh-CN"/>
        </w:rPr>
        <w:t>354</w:t>
      </w:r>
      <w:r w:rsidR="000F004D">
        <w:rPr>
          <w:rFonts w:eastAsiaTheme="minorEastAsia" w:cstheme="minorHAnsi"/>
          <w:b/>
          <w:bCs/>
          <w:sz w:val="20"/>
          <w:szCs w:val="20"/>
          <w:u w:val="single"/>
          <w:lang w:val="en-GB" w:eastAsia="zh-CN"/>
        </w:rPr>
        <w:t>:</w:t>
      </w:r>
    </w:p>
    <w:p w14:paraId="3F6E79A4" w14:textId="5F63C6A9" w:rsidR="008515F8" w:rsidRDefault="008515F8" w:rsidP="00EC3B9D">
      <w:pPr>
        <w:spacing w:after="240" w:line="230" w:lineRule="atLeast"/>
        <w:jc w:val="both"/>
        <w:rPr>
          <w:rFonts w:eastAsiaTheme="minorEastAsia" w:cstheme="minorHAnsi"/>
          <w:b/>
          <w:bCs/>
          <w:sz w:val="20"/>
          <w:szCs w:val="20"/>
          <w:u w:val="single"/>
          <w:lang w:val="en-GB" w:eastAsia="zh-CN"/>
        </w:rPr>
      </w:pPr>
      <w:r w:rsidRPr="008515F8">
        <w:rPr>
          <w:rFonts w:eastAsiaTheme="minorEastAsia" w:cstheme="minorHAnsi"/>
          <w:b/>
          <w:bCs/>
          <w:noProof/>
          <w:sz w:val="20"/>
          <w:szCs w:val="20"/>
          <w:u w:val="single"/>
          <w:lang w:val="en-GB" w:eastAsia="zh-CN"/>
        </w:rPr>
        <w:drawing>
          <wp:inline distT="0" distB="0" distL="0" distR="0" wp14:anchorId="11C929EC" wp14:editId="1FE3DF1B">
            <wp:extent cx="5760720" cy="950595"/>
            <wp:effectExtent l="0" t="0" r="0" b="1905"/>
            <wp:docPr id="1313590243" name="Picture 1" descr="A close-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90243" name="Picture 1" descr="A close-up of a message&#10;&#10;AI-generated content may be incorrect."/>
                    <pic:cNvPicPr/>
                  </pic:nvPicPr>
                  <pic:blipFill>
                    <a:blip r:embed="rId9"/>
                    <a:stretch>
                      <a:fillRect/>
                    </a:stretch>
                  </pic:blipFill>
                  <pic:spPr>
                    <a:xfrm>
                      <a:off x="0" y="0"/>
                      <a:ext cx="5760720" cy="950595"/>
                    </a:xfrm>
                    <a:prstGeom prst="rect">
                      <a:avLst/>
                    </a:prstGeom>
                  </pic:spPr>
                </pic:pic>
              </a:graphicData>
            </a:graphic>
          </wp:inline>
        </w:drawing>
      </w:r>
    </w:p>
    <w:p w14:paraId="1DB09303" w14:textId="14F13E89" w:rsidR="00497CCE" w:rsidRDefault="00532FB2" w:rsidP="00EC3B9D">
      <w:pPr>
        <w:spacing w:after="240" w:line="230" w:lineRule="atLeast"/>
        <w:jc w:val="both"/>
        <w:rPr>
          <w:rFonts w:eastAsiaTheme="minorEastAsia" w:cstheme="minorHAnsi"/>
          <w:sz w:val="20"/>
          <w:szCs w:val="20"/>
          <w:lang w:val="en-US" w:eastAsia="zh-CN"/>
        </w:rPr>
      </w:pPr>
      <w:r w:rsidRPr="00497CCE">
        <w:rPr>
          <w:rFonts w:eastAsiaTheme="minorEastAsia" w:cstheme="minorHAnsi"/>
          <w:sz w:val="20"/>
          <w:szCs w:val="20"/>
          <w:lang w:val="en-US" w:eastAsia="zh-CN"/>
        </w:rPr>
        <w:t xml:space="preserve">In the RSS </w:t>
      </w:r>
      <w:proofErr w:type="spellStart"/>
      <w:r w:rsidRPr="00497CCE">
        <w:rPr>
          <w:rFonts w:eastAsiaTheme="minorEastAsia" w:cstheme="minorHAnsi"/>
          <w:sz w:val="20"/>
          <w:szCs w:val="20"/>
          <w:lang w:val="en-US" w:eastAsia="zh-CN"/>
        </w:rPr>
        <w:t>slotframe</w:t>
      </w:r>
      <w:proofErr w:type="spellEnd"/>
      <w:r w:rsidRPr="00497CCE">
        <w:rPr>
          <w:rFonts w:eastAsiaTheme="minorEastAsia" w:cstheme="minorHAnsi"/>
          <w:sz w:val="20"/>
          <w:szCs w:val="20"/>
          <w:lang w:val="en-US" w:eastAsia="zh-CN"/>
        </w:rPr>
        <w:t xml:space="preserve">, slots </w:t>
      </w:r>
      <w:r w:rsidR="00497CCE" w:rsidRPr="00497CCE">
        <w:rPr>
          <w:rFonts w:eastAsiaTheme="minorEastAsia" w:cstheme="minorHAnsi"/>
          <w:sz w:val="20"/>
          <w:szCs w:val="20"/>
          <w:lang w:val="en-US" w:eastAsia="zh-CN"/>
        </w:rPr>
        <w:t xml:space="preserve">of the ranging control phase </w:t>
      </w:r>
      <w:r w:rsidRPr="00497CCE">
        <w:rPr>
          <w:rFonts w:eastAsiaTheme="minorEastAsia" w:cstheme="minorHAnsi"/>
          <w:sz w:val="20"/>
          <w:szCs w:val="20"/>
          <w:lang w:val="en-US" w:eastAsia="zh-CN"/>
        </w:rPr>
        <w:t xml:space="preserve">are assigned to </w:t>
      </w:r>
      <w:r w:rsidR="00497CCE" w:rsidRPr="00497CCE">
        <w:rPr>
          <w:rFonts w:eastAsiaTheme="minorEastAsia" w:cstheme="minorHAnsi"/>
          <w:sz w:val="20"/>
          <w:szCs w:val="20"/>
          <w:lang w:val="en-US" w:eastAsia="zh-CN"/>
        </w:rPr>
        <w:t>controllers</w:t>
      </w:r>
      <w:r w:rsidRPr="00497CCE">
        <w:rPr>
          <w:rFonts w:eastAsiaTheme="minorEastAsia" w:cstheme="minorHAnsi"/>
          <w:sz w:val="20"/>
          <w:szCs w:val="20"/>
          <w:lang w:val="en-US" w:eastAsia="zh-CN"/>
        </w:rPr>
        <w:t xml:space="preserve"> for transmitting </w:t>
      </w:r>
      <w:r w:rsidR="00497CCE" w:rsidRPr="00497CCE">
        <w:rPr>
          <w:rFonts w:eastAsiaTheme="minorEastAsia" w:cstheme="minorHAnsi"/>
          <w:sz w:val="20"/>
          <w:szCs w:val="20"/>
          <w:lang w:val="en-US" w:eastAsia="zh-CN"/>
        </w:rPr>
        <w:t>Ranging Control</w:t>
      </w:r>
      <w:r w:rsidRPr="00497CCE">
        <w:rPr>
          <w:rFonts w:eastAsiaTheme="minorEastAsia" w:cstheme="minorHAnsi"/>
          <w:sz w:val="20"/>
          <w:szCs w:val="20"/>
          <w:lang w:val="en-US" w:eastAsia="zh-CN"/>
        </w:rPr>
        <w:t xml:space="preserve"> messages</w:t>
      </w:r>
      <w:r w:rsidR="00497CCE" w:rsidRPr="00497CCE">
        <w:rPr>
          <w:rFonts w:eastAsiaTheme="minorEastAsia" w:cstheme="minorHAnsi"/>
          <w:sz w:val="20"/>
          <w:szCs w:val="20"/>
          <w:lang w:val="en-US" w:eastAsia="zh-CN"/>
        </w:rPr>
        <w:t>. The RDM IE (described in 10.32.9.8) in the RCM is used to convey the assignment of time slots and device roles in a ranging round</w:t>
      </w:r>
      <w:r w:rsidR="00497CCE">
        <w:rPr>
          <w:rFonts w:eastAsiaTheme="minorEastAsia" w:cstheme="minorHAnsi"/>
          <w:sz w:val="20"/>
          <w:szCs w:val="20"/>
          <w:lang w:val="en-US" w:eastAsia="zh-CN"/>
        </w:rPr>
        <w:t xml:space="preserve">. </w:t>
      </w:r>
      <w:r w:rsidR="00497CCE" w:rsidRPr="00497CCE">
        <w:rPr>
          <w:rFonts w:eastAsia="Times New Roman" w:cstheme="minorHAnsi"/>
          <w:color w:val="000000"/>
          <w:sz w:val="20"/>
          <w:szCs w:val="20"/>
          <w:lang w:val="en-US"/>
        </w:rPr>
        <w:t>I</w:t>
      </w:r>
      <w:r w:rsidR="00497CCE" w:rsidRPr="008515F8">
        <w:rPr>
          <w:rFonts w:eastAsia="Times New Roman" w:cstheme="minorHAnsi"/>
          <w:color w:val="000000"/>
          <w:sz w:val="20"/>
          <w:szCs w:val="20"/>
          <w:lang w:val="en-US"/>
        </w:rPr>
        <w:t xml:space="preserve">f a device receives an RCM not sent in slot zero, after missing the initial RCM, it knows where slot zero is to correctly synchronize to the ranging block/round </w:t>
      </w:r>
      <w:r w:rsidR="00497CCE">
        <w:rPr>
          <w:rFonts w:eastAsia="Times New Roman" w:cstheme="minorHAnsi"/>
          <w:color w:val="000000"/>
          <w:sz w:val="20"/>
          <w:szCs w:val="20"/>
          <w:lang w:val="en-US"/>
        </w:rPr>
        <w:t>according to the controller address.</w:t>
      </w:r>
      <w:r w:rsidR="00497CCE" w:rsidRPr="00497CCE">
        <w:rPr>
          <w:rFonts w:eastAsiaTheme="minorEastAsia" w:cstheme="minorHAnsi"/>
          <w:sz w:val="20"/>
          <w:szCs w:val="20"/>
          <w:lang w:val="en-US" w:eastAsia="zh-CN"/>
        </w:rPr>
        <w:t xml:space="preserve"> The RDM IE can be omitted from the </w:t>
      </w:r>
      <w:r w:rsidR="00497CCE">
        <w:rPr>
          <w:rFonts w:eastAsiaTheme="minorEastAsia" w:cstheme="minorHAnsi"/>
          <w:sz w:val="20"/>
          <w:szCs w:val="20"/>
          <w:lang w:val="en-US" w:eastAsia="zh-CN"/>
        </w:rPr>
        <w:t>RC</w:t>
      </w:r>
      <w:r w:rsidR="00497CCE" w:rsidRPr="00497CCE">
        <w:rPr>
          <w:rFonts w:eastAsiaTheme="minorEastAsia" w:cstheme="minorHAnsi"/>
          <w:sz w:val="20"/>
          <w:szCs w:val="20"/>
          <w:lang w:val="en-US" w:eastAsia="zh-CN"/>
        </w:rPr>
        <w:t>M in the case where the roles and transmission schedule is pre-determined or conveyed via some out-of-band mechanism</w:t>
      </w:r>
      <w:r w:rsidR="00497CCE">
        <w:rPr>
          <w:rFonts w:eastAsiaTheme="minorEastAsia" w:cstheme="minorHAnsi"/>
          <w:sz w:val="20"/>
          <w:szCs w:val="20"/>
          <w:lang w:val="en-US" w:eastAsia="zh-CN"/>
        </w:rPr>
        <w:t>.</w:t>
      </w:r>
    </w:p>
    <w:p w14:paraId="0D150828" w14:textId="77777777" w:rsidR="00DD7DA7" w:rsidRPr="00DD7DA7" w:rsidRDefault="00DD7DA7" w:rsidP="00DD7DA7">
      <w:pPr>
        <w:spacing w:after="240" w:line="230" w:lineRule="atLeast"/>
        <w:jc w:val="both"/>
        <w:rPr>
          <w:rFonts w:eastAsiaTheme="minorEastAsia" w:cstheme="minorHAnsi"/>
          <w:sz w:val="20"/>
          <w:szCs w:val="20"/>
          <w:lang w:val="en-US" w:eastAsia="zh-CN"/>
        </w:rPr>
      </w:pPr>
    </w:p>
    <w:p w14:paraId="0FB85473" w14:textId="77777777"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6FE0335C" w:rsidR="00EC3B9D" w:rsidRPr="00291F7B" w:rsidRDefault="008515F8" w:rsidP="00EC3B9D">
      <w:pPr>
        <w:rPr>
          <w:b/>
          <w:bCs/>
          <w:sz w:val="20"/>
          <w:szCs w:val="20"/>
          <w:lang w:val="en-US"/>
        </w:rPr>
      </w:pPr>
      <w:r>
        <w:rPr>
          <w:b/>
          <w:bCs/>
          <w:sz w:val="20"/>
          <w:szCs w:val="20"/>
          <w:lang w:val="en-US"/>
        </w:rPr>
        <w:t>Rejected</w:t>
      </w:r>
    </w:p>
    <w:sectPr w:rsidR="00EC3B9D" w:rsidRPr="00291F7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BB99" w14:textId="77777777" w:rsidR="00792C09" w:rsidRDefault="00792C09" w:rsidP="00D26854">
      <w:pPr>
        <w:spacing w:after="0" w:line="240" w:lineRule="auto"/>
      </w:pPr>
      <w:r>
        <w:separator/>
      </w:r>
    </w:p>
  </w:endnote>
  <w:endnote w:type="continuationSeparator" w:id="0">
    <w:p w14:paraId="6A47C6D9" w14:textId="77777777" w:rsidR="00792C09" w:rsidRDefault="00792C09"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855C" w14:textId="77777777" w:rsidR="00792C09" w:rsidRDefault="00792C09" w:rsidP="00D26854">
      <w:pPr>
        <w:spacing w:after="0" w:line="240" w:lineRule="auto"/>
      </w:pPr>
      <w:r>
        <w:separator/>
      </w:r>
    </w:p>
  </w:footnote>
  <w:footnote w:type="continuationSeparator" w:id="0">
    <w:p w14:paraId="5AF30FEF" w14:textId="77777777" w:rsidR="00792C09" w:rsidRDefault="00792C09"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3F217474"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Pr>
        <w:rFonts w:ascii="Times New Roman" w:eastAsia="Malgun Gothic" w:hAnsi="Times New Roman"/>
        <w:u w:val="single"/>
      </w:rPr>
      <w:t>-</w:t>
    </w:r>
    <w:r w:rsidR="000E1071">
      <w:rPr>
        <w:rFonts w:ascii="Times New Roman" w:eastAsia="Malgun Gothic" w:hAnsi="Times New Roman"/>
        <w:u w:val="single"/>
      </w:rPr>
      <w:t>0</w:t>
    </w:r>
    <w:r w:rsidR="00816F46">
      <w:rPr>
        <w:rFonts w:ascii="Times New Roman" w:eastAsia="Malgun Gothic" w:hAnsi="Times New Roman"/>
        <w:u w:val="single"/>
      </w:rPr>
      <w:t>246</w:t>
    </w:r>
    <w:r w:rsidR="00D26854" w:rsidRPr="00A7629E">
      <w:rPr>
        <w:rFonts w:ascii="Times New Roman" w:eastAsia="Malgun Gothic" w:hAnsi="Times New Roman"/>
        <w:u w:val="single"/>
      </w:rPr>
      <w:t>-0</w:t>
    </w:r>
    <w:r w:rsidR="00E05334">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6"/>
  </w:num>
  <w:num w:numId="2" w16cid:durableId="1696729043">
    <w:abstractNumId w:val="4"/>
  </w:num>
  <w:num w:numId="3" w16cid:durableId="1238172205">
    <w:abstractNumId w:val="2"/>
  </w:num>
  <w:num w:numId="4" w16cid:durableId="1990792495">
    <w:abstractNumId w:val="1"/>
  </w:num>
  <w:num w:numId="5" w16cid:durableId="1132863512">
    <w:abstractNumId w:val="5"/>
  </w:num>
  <w:num w:numId="6" w16cid:durableId="742072513">
    <w:abstractNumId w:val="0"/>
  </w:num>
  <w:num w:numId="7" w16cid:durableId="179236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52B87"/>
    <w:rsid w:val="00055896"/>
    <w:rsid w:val="00064DBB"/>
    <w:rsid w:val="00087585"/>
    <w:rsid w:val="00090791"/>
    <w:rsid w:val="00091150"/>
    <w:rsid w:val="000A54B0"/>
    <w:rsid w:val="000A5E92"/>
    <w:rsid w:val="000B5738"/>
    <w:rsid w:val="000C0EC4"/>
    <w:rsid w:val="000C433E"/>
    <w:rsid w:val="000E1071"/>
    <w:rsid w:val="000E367E"/>
    <w:rsid w:val="000E60C7"/>
    <w:rsid w:val="000F004D"/>
    <w:rsid w:val="000F4216"/>
    <w:rsid w:val="00102943"/>
    <w:rsid w:val="00115F90"/>
    <w:rsid w:val="001317EE"/>
    <w:rsid w:val="00136787"/>
    <w:rsid w:val="00137A96"/>
    <w:rsid w:val="00151531"/>
    <w:rsid w:val="001612F4"/>
    <w:rsid w:val="001868C3"/>
    <w:rsid w:val="0019475B"/>
    <w:rsid w:val="001A04C2"/>
    <w:rsid w:val="001A20E3"/>
    <w:rsid w:val="001A477F"/>
    <w:rsid w:val="001C339D"/>
    <w:rsid w:val="001C4148"/>
    <w:rsid w:val="001C5244"/>
    <w:rsid w:val="001F223A"/>
    <w:rsid w:val="00207644"/>
    <w:rsid w:val="00212B83"/>
    <w:rsid w:val="00213038"/>
    <w:rsid w:val="002140B6"/>
    <w:rsid w:val="002143DF"/>
    <w:rsid w:val="00253BE0"/>
    <w:rsid w:val="00271DE3"/>
    <w:rsid w:val="002720B5"/>
    <w:rsid w:val="0028582C"/>
    <w:rsid w:val="00291F7B"/>
    <w:rsid w:val="00297E33"/>
    <w:rsid w:val="002A7529"/>
    <w:rsid w:val="002B0693"/>
    <w:rsid w:val="002B7DB1"/>
    <w:rsid w:val="002C0DDE"/>
    <w:rsid w:val="002C715E"/>
    <w:rsid w:val="002D0C6A"/>
    <w:rsid w:val="002D45EF"/>
    <w:rsid w:val="002E16D7"/>
    <w:rsid w:val="002E1B47"/>
    <w:rsid w:val="002E3FDE"/>
    <w:rsid w:val="0030575C"/>
    <w:rsid w:val="0031228E"/>
    <w:rsid w:val="003337ED"/>
    <w:rsid w:val="0033512A"/>
    <w:rsid w:val="0034119B"/>
    <w:rsid w:val="003615F1"/>
    <w:rsid w:val="00362988"/>
    <w:rsid w:val="00372EA6"/>
    <w:rsid w:val="0038041B"/>
    <w:rsid w:val="00380FA9"/>
    <w:rsid w:val="00390327"/>
    <w:rsid w:val="00391564"/>
    <w:rsid w:val="00392B7E"/>
    <w:rsid w:val="003B14F0"/>
    <w:rsid w:val="003C1193"/>
    <w:rsid w:val="003D0E0B"/>
    <w:rsid w:val="003E619C"/>
    <w:rsid w:val="00410F0F"/>
    <w:rsid w:val="0041127B"/>
    <w:rsid w:val="00415B34"/>
    <w:rsid w:val="00427310"/>
    <w:rsid w:val="004345F2"/>
    <w:rsid w:val="00435888"/>
    <w:rsid w:val="00453777"/>
    <w:rsid w:val="004670E0"/>
    <w:rsid w:val="004806E5"/>
    <w:rsid w:val="00497CCE"/>
    <w:rsid w:val="004A108C"/>
    <w:rsid w:val="004B381A"/>
    <w:rsid w:val="004B5E34"/>
    <w:rsid w:val="004D1680"/>
    <w:rsid w:val="004D1C64"/>
    <w:rsid w:val="004E0302"/>
    <w:rsid w:val="004E3578"/>
    <w:rsid w:val="004F0158"/>
    <w:rsid w:val="004F3D41"/>
    <w:rsid w:val="004F5FB2"/>
    <w:rsid w:val="00501D7B"/>
    <w:rsid w:val="00505529"/>
    <w:rsid w:val="0051463B"/>
    <w:rsid w:val="00517135"/>
    <w:rsid w:val="00520E1B"/>
    <w:rsid w:val="0053178A"/>
    <w:rsid w:val="0053241E"/>
    <w:rsid w:val="00532FB2"/>
    <w:rsid w:val="00536206"/>
    <w:rsid w:val="00537628"/>
    <w:rsid w:val="005423EF"/>
    <w:rsid w:val="00547143"/>
    <w:rsid w:val="00550B2B"/>
    <w:rsid w:val="005638DC"/>
    <w:rsid w:val="00575A4D"/>
    <w:rsid w:val="005916E4"/>
    <w:rsid w:val="005A0499"/>
    <w:rsid w:val="005A2664"/>
    <w:rsid w:val="005A27E9"/>
    <w:rsid w:val="005A32A5"/>
    <w:rsid w:val="005A5E8F"/>
    <w:rsid w:val="005B24FC"/>
    <w:rsid w:val="005E7031"/>
    <w:rsid w:val="005F4142"/>
    <w:rsid w:val="006018D3"/>
    <w:rsid w:val="0060661A"/>
    <w:rsid w:val="00613894"/>
    <w:rsid w:val="006301B9"/>
    <w:rsid w:val="00632D1A"/>
    <w:rsid w:val="006370F2"/>
    <w:rsid w:val="00656374"/>
    <w:rsid w:val="00660234"/>
    <w:rsid w:val="006718B9"/>
    <w:rsid w:val="00672C8D"/>
    <w:rsid w:val="006806E2"/>
    <w:rsid w:val="00682FE3"/>
    <w:rsid w:val="006B2F95"/>
    <w:rsid w:val="006B6B58"/>
    <w:rsid w:val="006C4D90"/>
    <w:rsid w:val="006F7329"/>
    <w:rsid w:val="006F7E4F"/>
    <w:rsid w:val="00700C3A"/>
    <w:rsid w:val="007016A7"/>
    <w:rsid w:val="0070485B"/>
    <w:rsid w:val="00706944"/>
    <w:rsid w:val="00706D59"/>
    <w:rsid w:val="007215C8"/>
    <w:rsid w:val="0072366C"/>
    <w:rsid w:val="00724A97"/>
    <w:rsid w:val="00737B52"/>
    <w:rsid w:val="007400BA"/>
    <w:rsid w:val="00741577"/>
    <w:rsid w:val="00757C8D"/>
    <w:rsid w:val="00762502"/>
    <w:rsid w:val="00771C04"/>
    <w:rsid w:val="007769A9"/>
    <w:rsid w:val="007845EC"/>
    <w:rsid w:val="00792C09"/>
    <w:rsid w:val="00792F8E"/>
    <w:rsid w:val="007C41F5"/>
    <w:rsid w:val="007C7137"/>
    <w:rsid w:val="007D419D"/>
    <w:rsid w:val="007D5BE4"/>
    <w:rsid w:val="007E6381"/>
    <w:rsid w:val="007E6E35"/>
    <w:rsid w:val="0081555B"/>
    <w:rsid w:val="00816F46"/>
    <w:rsid w:val="008218B5"/>
    <w:rsid w:val="00824C10"/>
    <w:rsid w:val="00827C41"/>
    <w:rsid w:val="00831C6E"/>
    <w:rsid w:val="008410C5"/>
    <w:rsid w:val="0084463F"/>
    <w:rsid w:val="00850B36"/>
    <w:rsid w:val="008515F8"/>
    <w:rsid w:val="0086102E"/>
    <w:rsid w:val="00884EEB"/>
    <w:rsid w:val="008958C7"/>
    <w:rsid w:val="00896CEB"/>
    <w:rsid w:val="008E05D5"/>
    <w:rsid w:val="008E5BA9"/>
    <w:rsid w:val="008F6103"/>
    <w:rsid w:val="00900104"/>
    <w:rsid w:val="00900503"/>
    <w:rsid w:val="009128C9"/>
    <w:rsid w:val="00920E6A"/>
    <w:rsid w:val="00945083"/>
    <w:rsid w:val="009478DC"/>
    <w:rsid w:val="00951777"/>
    <w:rsid w:val="00965F80"/>
    <w:rsid w:val="00967F95"/>
    <w:rsid w:val="009826B6"/>
    <w:rsid w:val="009831A1"/>
    <w:rsid w:val="0098505E"/>
    <w:rsid w:val="00987538"/>
    <w:rsid w:val="00991102"/>
    <w:rsid w:val="009B1433"/>
    <w:rsid w:val="009B1FED"/>
    <w:rsid w:val="009C4A35"/>
    <w:rsid w:val="009C55F5"/>
    <w:rsid w:val="009D6E67"/>
    <w:rsid w:val="009F5C70"/>
    <w:rsid w:val="00A03296"/>
    <w:rsid w:val="00A1211B"/>
    <w:rsid w:val="00A216F0"/>
    <w:rsid w:val="00A46FE4"/>
    <w:rsid w:val="00A53445"/>
    <w:rsid w:val="00A70926"/>
    <w:rsid w:val="00A85DBD"/>
    <w:rsid w:val="00A870AC"/>
    <w:rsid w:val="00A91CA3"/>
    <w:rsid w:val="00A9475F"/>
    <w:rsid w:val="00AA5908"/>
    <w:rsid w:val="00AB559B"/>
    <w:rsid w:val="00AB64B4"/>
    <w:rsid w:val="00AD63B7"/>
    <w:rsid w:val="00AF1E26"/>
    <w:rsid w:val="00AF40DC"/>
    <w:rsid w:val="00B139CC"/>
    <w:rsid w:val="00B208F7"/>
    <w:rsid w:val="00B47B68"/>
    <w:rsid w:val="00B53F2A"/>
    <w:rsid w:val="00B55286"/>
    <w:rsid w:val="00B723D2"/>
    <w:rsid w:val="00B75599"/>
    <w:rsid w:val="00BB052E"/>
    <w:rsid w:val="00BB2886"/>
    <w:rsid w:val="00BC617B"/>
    <w:rsid w:val="00C0287C"/>
    <w:rsid w:val="00C05851"/>
    <w:rsid w:val="00C12A92"/>
    <w:rsid w:val="00C12C0E"/>
    <w:rsid w:val="00C160E5"/>
    <w:rsid w:val="00C25FBD"/>
    <w:rsid w:val="00C3202B"/>
    <w:rsid w:val="00C328F3"/>
    <w:rsid w:val="00C511AB"/>
    <w:rsid w:val="00C52444"/>
    <w:rsid w:val="00C77369"/>
    <w:rsid w:val="00CD4A3F"/>
    <w:rsid w:val="00CE0837"/>
    <w:rsid w:val="00CE6E3D"/>
    <w:rsid w:val="00CF3302"/>
    <w:rsid w:val="00D25524"/>
    <w:rsid w:val="00D26854"/>
    <w:rsid w:val="00D359C4"/>
    <w:rsid w:val="00D412C5"/>
    <w:rsid w:val="00D441D5"/>
    <w:rsid w:val="00D461FA"/>
    <w:rsid w:val="00D610E3"/>
    <w:rsid w:val="00D62B47"/>
    <w:rsid w:val="00D6789C"/>
    <w:rsid w:val="00D73144"/>
    <w:rsid w:val="00D922E9"/>
    <w:rsid w:val="00DA0CB7"/>
    <w:rsid w:val="00DA175C"/>
    <w:rsid w:val="00DA3F6D"/>
    <w:rsid w:val="00DB599E"/>
    <w:rsid w:val="00DB77BA"/>
    <w:rsid w:val="00DB7C88"/>
    <w:rsid w:val="00DC1709"/>
    <w:rsid w:val="00DC2DCC"/>
    <w:rsid w:val="00DC469F"/>
    <w:rsid w:val="00DC4FC5"/>
    <w:rsid w:val="00DD32D1"/>
    <w:rsid w:val="00DD7DA7"/>
    <w:rsid w:val="00DF0983"/>
    <w:rsid w:val="00DF39A7"/>
    <w:rsid w:val="00DF641C"/>
    <w:rsid w:val="00E05334"/>
    <w:rsid w:val="00E24F6A"/>
    <w:rsid w:val="00E27BAA"/>
    <w:rsid w:val="00E326A4"/>
    <w:rsid w:val="00E3364B"/>
    <w:rsid w:val="00E50652"/>
    <w:rsid w:val="00E50AA8"/>
    <w:rsid w:val="00E51149"/>
    <w:rsid w:val="00E6653B"/>
    <w:rsid w:val="00E713DC"/>
    <w:rsid w:val="00E86B3D"/>
    <w:rsid w:val="00E95858"/>
    <w:rsid w:val="00E96560"/>
    <w:rsid w:val="00EA1708"/>
    <w:rsid w:val="00EA240B"/>
    <w:rsid w:val="00EB72A4"/>
    <w:rsid w:val="00EC3B9D"/>
    <w:rsid w:val="00ED38A1"/>
    <w:rsid w:val="00EF4203"/>
    <w:rsid w:val="00F02CCA"/>
    <w:rsid w:val="00F2609D"/>
    <w:rsid w:val="00F409ED"/>
    <w:rsid w:val="00F46306"/>
    <w:rsid w:val="00F50E5C"/>
    <w:rsid w:val="00F80074"/>
    <w:rsid w:val="00F92545"/>
    <w:rsid w:val="00F94A06"/>
    <w:rsid w:val="00F95919"/>
    <w:rsid w:val="00FB2803"/>
    <w:rsid w:val="00FB43F1"/>
    <w:rsid w:val="00FC3E05"/>
    <w:rsid w:val="00FC5272"/>
    <w:rsid w:val="00FC5EA0"/>
    <w:rsid w:val="00FD21F5"/>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049257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1045065708">
      <w:bodyDiv w:val="1"/>
      <w:marLeft w:val="0"/>
      <w:marRight w:val="0"/>
      <w:marTop w:val="0"/>
      <w:marBottom w:val="0"/>
      <w:divBdr>
        <w:top w:val="none" w:sz="0" w:space="0" w:color="auto"/>
        <w:left w:val="none" w:sz="0" w:space="0" w:color="auto"/>
        <w:bottom w:val="none" w:sz="0" w:space="0" w:color="auto"/>
        <w:right w:val="none" w:sz="0" w:space="0" w:color="auto"/>
      </w:divBdr>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16357608">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45372209">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657</TotalTime>
  <Pages>4</Pages>
  <Words>720</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184</cp:revision>
  <dcterms:created xsi:type="dcterms:W3CDTF">2024-03-12T16:28:00Z</dcterms:created>
  <dcterms:modified xsi:type="dcterms:W3CDTF">2025-05-13T15:41:00Z</dcterms:modified>
</cp:coreProperties>
</file>