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28A1" w14:textId="77777777" w:rsidR="00365C6C" w:rsidRDefault="00000000">
      <w:r>
        <w:t>IEEE P802.15</w:t>
      </w:r>
    </w:p>
    <w:p w14:paraId="015A28A2" w14:textId="77777777" w:rsidR="00365C6C" w:rsidRDefault="00000000">
      <w:r>
        <w:t>Wireless Personal Area Networks</w:t>
      </w:r>
    </w:p>
    <w:p w14:paraId="015A28A3" w14:textId="77777777" w:rsidR="00365C6C" w:rsidRDefault="00365C6C"/>
    <w:tbl>
      <w:tblPr>
        <w:tblW w:w="9450" w:type="dxa"/>
        <w:tblInd w:w="-108" w:type="dxa"/>
        <w:tblLayout w:type="fixed"/>
        <w:tblLook w:val="04A0" w:firstRow="1" w:lastRow="0" w:firstColumn="1" w:lastColumn="0" w:noHBand="0" w:noVBand="1"/>
      </w:tblPr>
      <w:tblGrid>
        <w:gridCol w:w="1254"/>
        <w:gridCol w:w="4055"/>
        <w:gridCol w:w="4141"/>
      </w:tblGrid>
      <w:tr w:rsidR="00365C6C" w14:paraId="015A28A6" w14:textId="77777777">
        <w:tc>
          <w:tcPr>
            <w:tcW w:w="1254" w:type="dxa"/>
            <w:tcBorders>
              <w:top w:val="single" w:sz="6" w:space="0" w:color="000000"/>
            </w:tcBorders>
          </w:tcPr>
          <w:p w14:paraId="015A28A4" w14:textId="77777777" w:rsidR="00365C6C" w:rsidRDefault="00000000">
            <w:pPr>
              <w:pStyle w:val="covertext"/>
            </w:pPr>
            <w:r>
              <w:t>Project</w:t>
            </w:r>
          </w:p>
        </w:tc>
        <w:tc>
          <w:tcPr>
            <w:tcW w:w="8196" w:type="dxa"/>
            <w:gridSpan w:val="2"/>
            <w:tcBorders>
              <w:top w:val="single" w:sz="6" w:space="0" w:color="000000"/>
            </w:tcBorders>
          </w:tcPr>
          <w:p w14:paraId="015A28A5" w14:textId="77777777" w:rsidR="00365C6C" w:rsidRDefault="00000000">
            <w:pPr>
              <w:pStyle w:val="covertext"/>
            </w:pPr>
            <w:r>
              <w:t>IEEE P802.15 Working Group for Wireless Personal Area Networks (WPANs)</w:t>
            </w:r>
          </w:p>
        </w:tc>
      </w:tr>
      <w:tr w:rsidR="00365C6C" w14:paraId="015A28A9" w14:textId="77777777">
        <w:tc>
          <w:tcPr>
            <w:tcW w:w="1254" w:type="dxa"/>
            <w:tcBorders>
              <w:top w:val="single" w:sz="6" w:space="0" w:color="000000"/>
            </w:tcBorders>
          </w:tcPr>
          <w:p w14:paraId="015A28A7" w14:textId="77777777" w:rsidR="00365C6C" w:rsidRDefault="00000000">
            <w:pPr>
              <w:pStyle w:val="covertext"/>
            </w:pPr>
            <w:r>
              <w:t>Title</w:t>
            </w:r>
          </w:p>
        </w:tc>
        <w:tc>
          <w:tcPr>
            <w:tcW w:w="8196" w:type="dxa"/>
            <w:gridSpan w:val="2"/>
            <w:tcBorders>
              <w:top w:val="single" w:sz="6" w:space="0" w:color="000000"/>
            </w:tcBorders>
          </w:tcPr>
          <w:p w14:paraId="015A28A8" w14:textId="5E4A2849" w:rsidR="00365C6C" w:rsidRDefault="0068471E">
            <w:pPr>
              <w:pStyle w:val="covertext"/>
            </w:pPr>
            <w:r w:rsidRPr="0068471E">
              <w:t>Proposed Operations Manual Updates</w:t>
            </w:r>
            <w:r>
              <w:t xml:space="preserve"> May 2025</w:t>
            </w:r>
          </w:p>
        </w:tc>
      </w:tr>
      <w:tr w:rsidR="00365C6C" w14:paraId="015A28AC" w14:textId="77777777">
        <w:tc>
          <w:tcPr>
            <w:tcW w:w="1254" w:type="dxa"/>
            <w:tcBorders>
              <w:top w:val="single" w:sz="6" w:space="0" w:color="000000"/>
            </w:tcBorders>
          </w:tcPr>
          <w:p w14:paraId="015A28AA" w14:textId="77777777" w:rsidR="00365C6C" w:rsidRPr="00F852D5" w:rsidRDefault="00000000">
            <w:pPr>
              <w:pStyle w:val="covertext"/>
            </w:pPr>
            <w:r w:rsidRPr="00F852D5">
              <w:t>Date Submitted</w:t>
            </w:r>
          </w:p>
        </w:tc>
        <w:tc>
          <w:tcPr>
            <w:tcW w:w="8196" w:type="dxa"/>
            <w:gridSpan w:val="2"/>
            <w:tcBorders>
              <w:top w:val="single" w:sz="6" w:space="0" w:color="000000"/>
            </w:tcBorders>
          </w:tcPr>
          <w:p w14:paraId="015A28AB" w14:textId="73E2891D" w:rsidR="00365C6C" w:rsidRPr="00F852D5" w:rsidRDefault="00F81D2F">
            <w:pPr>
              <w:pStyle w:val="covertext"/>
            </w:pPr>
            <w:r w:rsidRPr="00F852D5">
              <w:t>1</w:t>
            </w:r>
            <w:r w:rsidR="0068471E">
              <w:t>3</w:t>
            </w:r>
            <w:r w:rsidRPr="00F852D5">
              <w:rPr>
                <w:vertAlign w:val="superscript"/>
              </w:rPr>
              <w:t>th</w:t>
            </w:r>
            <w:r w:rsidRPr="00F852D5">
              <w:t xml:space="preserve"> </w:t>
            </w:r>
            <w:r w:rsidRPr="00F852D5">
              <w:rPr>
                <w:color w:val="000000"/>
              </w:rPr>
              <w:t>Ma</w:t>
            </w:r>
            <w:r w:rsidR="0068471E">
              <w:rPr>
                <w:color w:val="000000"/>
              </w:rPr>
              <w:t>y</w:t>
            </w:r>
            <w:r w:rsidRPr="00F852D5">
              <w:rPr>
                <w:color w:val="000000"/>
              </w:rPr>
              <w:t xml:space="preserve"> </w:t>
            </w:r>
            <w:r w:rsidRPr="00F852D5">
              <w:t>2025</w:t>
            </w:r>
          </w:p>
        </w:tc>
      </w:tr>
      <w:tr w:rsidR="00365C6C" w14:paraId="015A28B0" w14:textId="77777777">
        <w:tc>
          <w:tcPr>
            <w:tcW w:w="1254" w:type="dxa"/>
            <w:tcBorders>
              <w:top w:val="single" w:sz="4" w:space="0" w:color="000000"/>
              <w:bottom w:val="single" w:sz="4" w:space="0" w:color="000000"/>
            </w:tcBorders>
          </w:tcPr>
          <w:p w14:paraId="015A28AD" w14:textId="77777777" w:rsidR="00365C6C" w:rsidRPr="00F852D5" w:rsidRDefault="00000000">
            <w:pPr>
              <w:pStyle w:val="covertext"/>
            </w:pPr>
            <w:r w:rsidRPr="00F852D5">
              <w:t>Source</w:t>
            </w:r>
          </w:p>
        </w:tc>
        <w:tc>
          <w:tcPr>
            <w:tcW w:w="4055" w:type="dxa"/>
            <w:tcBorders>
              <w:top w:val="single" w:sz="4" w:space="0" w:color="000000"/>
              <w:bottom w:val="single" w:sz="4" w:space="0" w:color="000000"/>
            </w:tcBorders>
          </w:tcPr>
          <w:p w14:paraId="015A28AE" w14:textId="2BF598A2" w:rsidR="00365C6C" w:rsidRPr="00F852D5" w:rsidRDefault="0068471E">
            <w:pPr>
              <w:pStyle w:val="covertext"/>
              <w:rPr>
                <w:shd w:val="clear" w:color="auto" w:fill="FFFF00"/>
              </w:rPr>
            </w:pPr>
            <w:r>
              <w:t>Benjamin Rolfe</w:t>
            </w:r>
          </w:p>
        </w:tc>
        <w:tc>
          <w:tcPr>
            <w:tcW w:w="4141" w:type="dxa"/>
            <w:tcBorders>
              <w:top w:val="single" w:sz="4" w:space="0" w:color="000000"/>
              <w:bottom w:val="single" w:sz="4" w:space="0" w:color="000000"/>
            </w:tcBorders>
          </w:tcPr>
          <w:p w14:paraId="015A28AF" w14:textId="681157D9" w:rsidR="00365C6C" w:rsidRPr="00F852D5" w:rsidRDefault="00000000">
            <w:pPr>
              <w:pStyle w:val="covertext"/>
            </w:pPr>
            <w:r w:rsidRPr="00F852D5">
              <w:t>E-mail:</w:t>
            </w:r>
            <w:r w:rsidRPr="00F852D5">
              <w:tab/>
            </w:r>
            <w:proofErr w:type="spellStart"/>
            <w:r w:rsidR="0068471E">
              <w:t>ben.rolfe</w:t>
            </w:r>
            <w:proofErr w:type="spellEnd"/>
            <w:r w:rsidR="0068471E">
              <w:t xml:space="preserve"> </w:t>
            </w:r>
            <w:r w:rsidR="00F81D2F" w:rsidRPr="00F852D5">
              <w:t>@</w:t>
            </w:r>
            <w:r w:rsidR="0068471E">
              <w:t xml:space="preserve"> ieee.org</w:t>
            </w:r>
          </w:p>
        </w:tc>
      </w:tr>
      <w:tr w:rsidR="00365C6C" w14:paraId="015A28B3" w14:textId="77777777">
        <w:tc>
          <w:tcPr>
            <w:tcW w:w="1254" w:type="dxa"/>
            <w:tcBorders>
              <w:top w:val="single" w:sz="6" w:space="0" w:color="000000"/>
            </w:tcBorders>
          </w:tcPr>
          <w:p w14:paraId="015A28B1" w14:textId="77777777" w:rsidR="00365C6C" w:rsidRPr="00F852D5" w:rsidRDefault="00000000">
            <w:pPr>
              <w:pStyle w:val="covertext"/>
            </w:pPr>
            <w:r w:rsidRPr="00F852D5">
              <w:t>Re:</w:t>
            </w:r>
          </w:p>
        </w:tc>
        <w:tc>
          <w:tcPr>
            <w:tcW w:w="8196" w:type="dxa"/>
            <w:gridSpan w:val="2"/>
            <w:tcBorders>
              <w:top w:val="single" w:sz="6" w:space="0" w:color="000000"/>
            </w:tcBorders>
          </w:tcPr>
          <w:p w14:paraId="015A28B2" w14:textId="0296D5FC" w:rsidR="00365C6C" w:rsidRPr="00F852D5" w:rsidRDefault="0068471E">
            <w:pPr>
              <w:pStyle w:val="covertext"/>
            </w:pPr>
            <w:r>
              <w:t>Working Group 15 operations manual updates</w:t>
            </w:r>
          </w:p>
        </w:tc>
      </w:tr>
      <w:tr w:rsidR="00365C6C" w14:paraId="015A28B6" w14:textId="77777777">
        <w:tc>
          <w:tcPr>
            <w:tcW w:w="1254" w:type="dxa"/>
            <w:tcBorders>
              <w:top w:val="single" w:sz="6" w:space="0" w:color="000000"/>
            </w:tcBorders>
          </w:tcPr>
          <w:p w14:paraId="015A28B4" w14:textId="77777777" w:rsidR="00365C6C" w:rsidRPr="00F852D5" w:rsidRDefault="00000000">
            <w:pPr>
              <w:pStyle w:val="covertext"/>
            </w:pPr>
            <w:r w:rsidRPr="00F852D5">
              <w:t>Abstract</w:t>
            </w:r>
          </w:p>
        </w:tc>
        <w:tc>
          <w:tcPr>
            <w:tcW w:w="8196" w:type="dxa"/>
            <w:gridSpan w:val="2"/>
            <w:tcBorders>
              <w:top w:val="single" w:sz="6" w:space="0" w:color="000000"/>
            </w:tcBorders>
          </w:tcPr>
          <w:p w14:paraId="015A28B5" w14:textId="37F38AF9" w:rsidR="00365C6C" w:rsidRPr="00F852D5" w:rsidRDefault="0068471E">
            <w:pPr>
              <w:pStyle w:val="covertext"/>
            </w:pPr>
            <w:r>
              <w:t>Propused updates to the OM</w:t>
            </w:r>
          </w:p>
        </w:tc>
      </w:tr>
      <w:tr w:rsidR="00365C6C" w14:paraId="015A28B9" w14:textId="77777777">
        <w:tc>
          <w:tcPr>
            <w:tcW w:w="1254" w:type="dxa"/>
            <w:tcBorders>
              <w:top w:val="single" w:sz="6" w:space="0" w:color="000000"/>
            </w:tcBorders>
          </w:tcPr>
          <w:p w14:paraId="015A28B7" w14:textId="77777777" w:rsidR="00365C6C" w:rsidRPr="00F852D5" w:rsidRDefault="00000000">
            <w:pPr>
              <w:pStyle w:val="covertext"/>
            </w:pPr>
            <w:r w:rsidRPr="00F852D5">
              <w:t>Purpose</w:t>
            </w:r>
          </w:p>
        </w:tc>
        <w:tc>
          <w:tcPr>
            <w:tcW w:w="8196" w:type="dxa"/>
            <w:gridSpan w:val="2"/>
            <w:tcBorders>
              <w:top w:val="single" w:sz="6" w:space="0" w:color="000000"/>
            </w:tcBorders>
          </w:tcPr>
          <w:p w14:paraId="015A28B8" w14:textId="09939A0C" w:rsidR="00365C6C" w:rsidRPr="00F852D5" w:rsidRDefault="0068471E">
            <w:pPr>
              <w:pStyle w:val="covertext"/>
            </w:pPr>
            <w:r>
              <w:rPr>
                <w:color w:val="000000"/>
              </w:rPr>
              <w:t>Align documented process with reality</w:t>
            </w:r>
          </w:p>
        </w:tc>
      </w:tr>
      <w:tr w:rsidR="00365C6C" w14:paraId="015A28BC" w14:textId="77777777">
        <w:tc>
          <w:tcPr>
            <w:tcW w:w="1254" w:type="dxa"/>
            <w:tcBorders>
              <w:top w:val="single" w:sz="6" w:space="0" w:color="000000"/>
              <w:bottom w:val="single" w:sz="6" w:space="0" w:color="000000"/>
            </w:tcBorders>
          </w:tcPr>
          <w:p w14:paraId="015A28BA" w14:textId="77777777" w:rsidR="00365C6C" w:rsidRPr="00F852D5" w:rsidRDefault="00000000">
            <w:pPr>
              <w:pStyle w:val="covertext"/>
            </w:pPr>
            <w:r w:rsidRPr="00F852D5">
              <w:t>Notice</w:t>
            </w:r>
          </w:p>
        </w:tc>
        <w:tc>
          <w:tcPr>
            <w:tcW w:w="8196" w:type="dxa"/>
            <w:gridSpan w:val="2"/>
            <w:tcBorders>
              <w:top w:val="single" w:sz="6" w:space="0" w:color="000000"/>
              <w:bottom w:val="single" w:sz="6" w:space="0" w:color="000000"/>
            </w:tcBorders>
          </w:tcPr>
          <w:p w14:paraId="015A28BB" w14:textId="77777777" w:rsidR="00365C6C" w:rsidRPr="00F852D5" w:rsidRDefault="00000000">
            <w:pPr>
              <w:pStyle w:val="covertext"/>
            </w:pPr>
            <w:r w:rsidRPr="00F852D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65C6C" w14:paraId="015A28BF" w14:textId="77777777">
        <w:tc>
          <w:tcPr>
            <w:tcW w:w="1254" w:type="dxa"/>
            <w:tcBorders>
              <w:top w:val="single" w:sz="6" w:space="0" w:color="000000"/>
              <w:bottom w:val="single" w:sz="6" w:space="0" w:color="000000"/>
            </w:tcBorders>
          </w:tcPr>
          <w:p w14:paraId="015A28BD" w14:textId="77777777" w:rsidR="00365C6C" w:rsidRDefault="00000000">
            <w:pPr>
              <w:pStyle w:val="covertext"/>
            </w:pPr>
            <w:r>
              <w:t>Release</w:t>
            </w:r>
          </w:p>
        </w:tc>
        <w:tc>
          <w:tcPr>
            <w:tcW w:w="8196" w:type="dxa"/>
            <w:gridSpan w:val="2"/>
            <w:tcBorders>
              <w:top w:val="single" w:sz="6" w:space="0" w:color="000000"/>
              <w:bottom w:val="single" w:sz="6" w:space="0" w:color="000000"/>
            </w:tcBorders>
          </w:tcPr>
          <w:p w14:paraId="015A28BE" w14:textId="77777777" w:rsidR="00365C6C" w:rsidRDefault="00000000">
            <w:pPr>
              <w:pStyle w:val="covertext"/>
            </w:pPr>
            <w:r>
              <w:t>The contributor acknowledges and accepts that this contribution becomes the property of IEEE and may be made publicly available by P802.15.</w:t>
            </w:r>
          </w:p>
        </w:tc>
      </w:tr>
    </w:tbl>
    <w:p w14:paraId="015A28C0" w14:textId="77777777" w:rsidR="00365C6C" w:rsidRDefault="00365C6C">
      <w:pPr>
        <w:rPr>
          <w:shd w:val="clear" w:color="auto" w:fill="FFFF00"/>
        </w:rPr>
        <w:sectPr w:rsidR="00365C6C">
          <w:headerReference w:type="default" r:id="rId7"/>
          <w:footerReference w:type="default" r:id="rId8"/>
          <w:pgSz w:w="12240" w:h="15840"/>
          <w:pgMar w:top="1800" w:right="1440" w:bottom="1800" w:left="1440" w:header="1296" w:footer="1296" w:gutter="0"/>
          <w:cols w:space="720"/>
          <w:formProt w:val="0"/>
          <w:docGrid w:linePitch="360"/>
        </w:sectPr>
      </w:pPr>
    </w:p>
    <w:p w14:paraId="47F13D39" w14:textId="1C4E9B63" w:rsidR="0068471E" w:rsidRDefault="0068471E" w:rsidP="0068471E">
      <w:pPr>
        <w:pStyle w:val="Heading"/>
      </w:pPr>
      <w:r>
        <w:lastRenderedPageBreak/>
        <w:t xml:space="preserve">OM Clause:  </w:t>
      </w:r>
      <w:r w:rsidR="0023063A" w:rsidRPr="0023063A">
        <w:t>5.3</w:t>
      </w:r>
      <w:r w:rsidR="0023063A">
        <w:t xml:space="preserve"> </w:t>
      </w:r>
      <w:r w:rsidR="0023063A" w:rsidRPr="0023063A">
        <w:t>Duration</w:t>
      </w:r>
      <w:r w:rsidR="0023063A">
        <w:t xml:space="preserve"> (CRG)</w:t>
      </w:r>
    </w:p>
    <w:p w14:paraId="32FDBB57" w14:textId="1801F533" w:rsidR="00423E45" w:rsidRPr="00423E45" w:rsidRDefault="00423E45" w:rsidP="00423E45">
      <w:pPr>
        <w:pStyle w:val="BodyText"/>
        <w:rPr>
          <w:b/>
          <w:bCs/>
          <w:lang w:eastAsia="zh-CN"/>
        </w:rPr>
      </w:pPr>
      <w:r w:rsidRPr="00423E45">
        <w:rPr>
          <w:b/>
          <w:bCs/>
          <w:lang w:eastAsia="zh-CN"/>
        </w:rPr>
        <w:t>Proposed change:</w:t>
      </w:r>
    </w:p>
    <w:p w14:paraId="41ADB11E" w14:textId="3C73013A" w:rsidR="00423E45" w:rsidRDefault="00423E45" w:rsidP="00423E45">
      <w:pPr>
        <w:pStyle w:val="BodyText"/>
        <w:rPr>
          <w:lang w:eastAsia="zh-CN"/>
        </w:rPr>
      </w:pPr>
      <w:r>
        <w:rPr>
          <w:lang w:eastAsia="zh-CN"/>
        </w:rPr>
        <w:t xml:space="preserve">Change </w:t>
      </w:r>
    </w:p>
    <w:p w14:paraId="0D24CA74" w14:textId="1981FF61" w:rsidR="00423E45" w:rsidRPr="00423E45" w:rsidRDefault="00423E45" w:rsidP="00423E45">
      <w:pPr>
        <w:pStyle w:val="BodyText"/>
        <w:ind w:left="408"/>
        <w:rPr>
          <w:lang w:eastAsia="zh-CN"/>
        </w:rPr>
      </w:pPr>
      <w:r w:rsidRPr="00423E45">
        <w:rPr>
          <w:lang w:eastAsia="zh-CN"/>
        </w:rPr>
        <w:t>A CRG is chartered from the end of the closing meeting of a session (either Interim or Plenary) to the beginning of the starting meeting of the subsequent session (either Interim or Plenary).</w:t>
      </w:r>
    </w:p>
    <w:p w14:paraId="1A57D851" w14:textId="731AD893" w:rsidR="0023063A" w:rsidRDefault="00423E45" w:rsidP="0023063A">
      <w:pPr>
        <w:pStyle w:val="BodyText"/>
        <w:rPr>
          <w:lang w:eastAsia="zh-CN"/>
        </w:rPr>
      </w:pPr>
      <w:r>
        <w:rPr>
          <w:lang w:eastAsia="zh-CN"/>
        </w:rPr>
        <w:t>To:</w:t>
      </w:r>
    </w:p>
    <w:p w14:paraId="18F68270" w14:textId="2AF11167" w:rsidR="00423E45" w:rsidRDefault="00423E45" w:rsidP="00423E45">
      <w:pPr>
        <w:pStyle w:val="BodyText"/>
        <w:ind w:left="408"/>
        <w:rPr>
          <w:lang w:eastAsia="zh-CN"/>
        </w:rPr>
      </w:pPr>
      <w:r w:rsidRPr="00423E45">
        <w:rPr>
          <w:lang w:eastAsia="zh-CN"/>
        </w:rPr>
        <w:t xml:space="preserve">A CRG is chartered </w:t>
      </w:r>
      <w:r>
        <w:rPr>
          <w:lang w:eastAsia="zh-CN"/>
        </w:rPr>
        <w:t xml:space="preserve">by the Working Group for the duration of the ballot series or until modified by the Working Group.  During plenary and interim sessions, the Task Group serves as the CRG with membership WG voting members present. </w:t>
      </w:r>
    </w:p>
    <w:p w14:paraId="04FB6B31" w14:textId="77777777" w:rsidR="00423E45" w:rsidRDefault="00423E45" w:rsidP="00423E45">
      <w:pPr>
        <w:pStyle w:val="BodyText"/>
        <w:rPr>
          <w:lang w:eastAsia="zh-CN"/>
        </w:rPr>
      </w:pPr>
    </w:p>
    <w:p w14:paraId="44C115FC" w14:textId="03FC1F9F" w:rsidR="00423E45" w:rsidRDefault="00423E45" w:rsidP="00423E45">
      <w:pPr>
        <w:pStyle w:val="BodyText"/>
        <w:rPr>
          <w:lang w:eastAsia="zh-CN"/>
        </w:rPr>
      </w:pPr>
      <w:r>
        <w:rPr>
          <w:lang w:eastAsia="zh-CN"/>
        </w:rPr>
        <w:t xml:space="preserve">Explanation/rationalization:  </w:t>
      </w:r>
    </w:p>
    <w:p w14:paraId="485ED648" w14:textId="03879EFE" w:rsidR="00423E45" w:rsidRDefault="00423E45" w:rsidP="00423E45">
      <w:pPr>
        <w:pStyle w:val="BodyText"/>
        <w:rPr>
          <w:lang w:eastAsia="zh-CN"/>
        </w:rPr>
      </w:pPr>
      <w:r>
        <w:rPr>
          <w:lang w:eastAsia="zh-CN"/>
        </w:rPr>
        <w:t xml:space="preserve">Reduce WG overhead.  The CRG continues automatically between sessions until modified by the Working </w:t>
      </w:r>
      <w:proofErr w:type="spellStart"/>
      <w:r>
        <w:rPr>
          <w:lang w:eastAsia="zh-CN"/>
        </w:rPr>
        <w:t>Goup</w:t>
      </w:r>
      <w:proofErr w:type="spellEnd"/>
      <w:r>
        <w:rPr>
          <w:lang w:eastAsia="zh-CN"/>
        </w:rPr>
        <w:t>.  A WG motion is still required to modify CRG membership and so on.   During a session the task group becomes the CRG with quorum met by definition (we already have this in the WG P&amp;P).   This mirrors what is in the 802.11 OM.</w:t>
      </w:r>
    </w:p>
    <w:p w14:paraId="49DEDCC1" w14:textId="77777777" w:rsidR="00423E45" w:rsidRDefault="00423E45" w:rsidP="00423E45">
      <w:pPr>
        <w:pStyle w:val="BodyText"/>
        <w:rPr>
          <w:lang w:eastAsia="zh-CN"/>
        </w:rPr>
      </w:pPr>
    </w:p>
    <w:p w14:paraId="1E087521" w14:textId="2067C4AF" w:rsidR="00995D90" w:rsidRDefault="0068471E" w:rsidP="0068471E">
      <w:pPr>
        <w:pStyle w:val="Heading"/>
      </w:pPr>
      <w:r>
        <w:t xml:space="preserve">OM Clause:  </w:t>
      </w:r>
      <w:r w:rsidRPr="00660F7F">
        <w:t>12.2</w:t>
      </w:r>
      <w:r>
        <w:t xml:space="preserve"> </w:t>
      </w:r>
      <w:r w:rsidRPr="0068471E">
        <w:t>Teleconferences (Telecons)</w:t>
      </w:r>
      <w:r w:rsidRPr="00660F7F">
        <w:t>Teleconferences (Telecons)</w:t>
      </w:r>
    </w:p>
    <w:p w14:paraId="0B531065" w14:textId="09BC17F4" w:rsidR="0068471E" w:rsidRPr="00004735" w:rsidRDefault="0068471E" w:rsidP="00DE4511">
      <w:pPr>
        <w:spacing w:before="120" w:after="120"/>
        <w:rPr>
          <w:b/>
          <w:bCs/>
        </w:rPr>
      </w:pPr>
      <w:r w:rsidRPr="00004735">
        <w:rPr>
          <w:b/>
          <w:bCs/>
        </w:rPr>
        <w:t>Proposed Change:</w:t>
      </w:r>
    </w:p>
    <w:p w14:paraId="381862E6" w14:textId="77777777" w:rsidR="0068471E" w:rsidRDefault="0068471E" w:rsidP="0068471E">
      <w:r>
        <w:t xml:space="preserve">Change </w:t>
      </w:r>
    </w:p>
    <w:p w14:paraId="4BF07CF2" w14:textId="02775C31" w:rsidR="0068471E" w:rsidRDefault="0068471E" w:rsidP="0068471E">
      <w:pPr>
        <w:ind w:left="408"/>
      </w:pPr>
      <w:r w:rsidRPr="00660F7F">
        <w:t xml:space="preserve">TG (and subgroup) telecons </w:t>
      </w:r>
      <w:r w:rsidRPr="00660F7F">
        <w:rPr>
          <w:u w:val="single"/>
        </w:rPr>
        <w:t>are not permitted to make formal motions</w:t>
      </w:r>
      <w:r w:rsidRPr="00660F7F">
        <w:t>, with the exception of CRGs as per 5.5.</w:t>
      </w:r>
    </w:p>
    <w:p w14:paraId="2742335D" w14:textId="21EEF67D" w:rsidR="0068471E" w:rsidRDefault="0068471E" w:rsidP="0068471E">
      <w:pPr>
        <w:ind w:left="408"/>
      </w:pPr>
      <w:r>
        <w:t>To</w:t>
      </w:r>
    </w:p>
    <w:p w14:paraId="3A09D833" w14:textId="77777777" w:rsidR="0068471E" w:rsidRDefault="0068471E" w:rsidP="0068471E">
      <w:r>
        <w:t>WG, TG, SG and SC motions may be held during teleconference meetings with the following conditions:</w:t>
      </w:r>
    </w:p>
    <w:p w14:paraId="26B7DDDE" w14:textId="77777777" w:rsidR="0068471E" w:rsidRDefault="0068471E" w:rsidP="0068471E">
      <w:pPr>
        <w:pStyle w:val="ListParagraph"/>
        <w:widowControl/>
        <w:numPr>
          <w:ilvl w:val="0"/>
          <w:numId w:val="4"/>
        </w:numPr>
        <w:suppressAutoHyphens w:val="0"/>
        <w:spacing w:before="0" w:after="160" w:line="259" w:lineRule="auto"/>
      </w:pPr>
      <w:r>
        <w:t>The meeting that will consider motions shall be approved by the WG Chair.</w:t>
      </w:r>
    </w:p>
    <w:p w14:paraId="76C75B92" w14:textId="19DFC0EC" w:rsidR="0068471E" w:rsidRDefault="0068471E" w:rsidP="0068471E">
      <w:pPr>
        <w:pStyle w:val="ListParagraph"/>
        <w:widowControl/>
        <w:numPr>
          <w:ilvl w:val="0"/>
          <w:numId w:val="4"/>
        </w:numPr>
        <w:suppressAutoHyphens w:val="0"/>
        <w:spacing w:before="0" w:after="160" w:line="259" w:lineRule="auto"/>
      </w:pPr>
      <w:r>
        <w:t xml:space="preserve">The meeting shall be announced with at least 10 </w:t>
      </w:r>
      <w:proofErr w:type="spellStart"/>
      <w:r>
        <w:t>days notice</w:t>
      </w:r>
      <w:proofErr w:type="spellEnd"/>
      <w:r>
        <w:t xml:space="preserve"> as a meeting where motions will be considered.</w:t>
      </w:r>
    </w:p>
    <w:p w14:paraId="34FA1E20" w14:textId="77777777" w:rsidR="00004735" w:rsidRDefault="00004735" w:rsidP="0068471E">
      <w:pPr>
        <w:pStyle w:val="ListParagraph"/>
        <w:widowControl/>
        <w:numPr>
          <w:ilvl w:val="0"/>
          <w:numId w:val="4"/>
        </w:numPr>
        <w:suppressAutoHyphens w:val="0"/>
        <w:spacing w:before="0" w:after="160" w:line="259" w:lineRule="auto"/>
      </w:pPr>
    </w:p>
    <w:p w14:paraId="443D8CF0" w14:textId="39170A2E" w:rsidR="0068471E" w:rsidRPr="00004735" w:rsidRDefault="0068471E" w:rsidP="00DE4511">
      <w:pPr>
        <w:spacing w:before="120" w:after="120"/>
        <w:rPr>
          <w:b/>
          <w:bCs/>
        </w:rPr>
      </w:pPr>
      <w:r w:rsidRPr="00004735">
        <w:rPr>
          <w:b/>
          <w:bCs/>
        </w:rPr>
        <w:t>Explanation/rationalization:</w:t>
      </w:r>
    </w:p>
    <w:p w14:paraId="0F8C9F3F" w14:textId="31D32C05" w:rsidR="0068471E" w:rsidRDefault="00004735" w:rsidP="0068471E">
      <w:r>
        <w:t>Reality</w:t>
      </w:r>
      <w:r w:rsidR="0068471E">
        <w:t xml:space="preserve"> is that we routinely do formal motions in TGs and telecons within the scope of the TG.  For </w:t>
      </w:r>
      <w:r>
        <w:t>example,</w:t>
      </w:r>
      <w:r w:rsidR="0068471E">
        <w:t xml:space="preserve"> motions to approve the agenda, minutes, motions to adjourn, and recommendations to the working group.  </w:t>
      </w:r>
      <w:r>
        <w:t>I think the intent may have been that TGs</w:t>
      </w:r>
      <w:r w:rsidR="0068471E">
        <w:t xml:space="preserve"> doesn’t do things that require working group approval (working group motions) except as specifically authorized by the WG, </w:t>
      </w:r>
      <w:r>
        <w:lastRenderedPageBreak/>
        <w:t xml:space="preserve">e.g. </w:t>
      </w:r>
      <w:r w:rsidR="0068471E">
        <w:t>via CRGs</w:t>
      </w:r>
      <w:r>
        <w:t xml:space="preserve">.  </w:t>
      </w:r>
    </w:p>
    <w:p w14:paraId="156F6685" w14:textId="690FC0A6" w:rsidR="0068471E" w:rsidRDefault="0068471E" w:rsidP="00DE4511">
      <w:pPr>
        <w:spacing w:before="120" w:after="120"/>
      </w:pPr>
      <w:r>
        <w:t xml:space="preserve">The recommended text follows the 802.11 OM with deletion of requirement that all motions are roll call votes and all meetings in which motions are considered commence at 09:00 Eastern Time (New Jersey).  </w:t>
      </w:r>
      <w:r w:rsidR="00004735">
        <w:t>T</w:t>
      </w:r>
      <w:r>
        <w:t xml:space="preserve">he roll-call </w:t>
      </w:r>
      <w:r w:rsidR="00004735">
        <w:t>mandate</w:t>
      </w:r>
      <w:r>
        <w:t xml:space="preserve"> is not needed</w:t>
      </w:r>
      <w:r w:rsidR="00004735">
        <w:t>, roll-call votes</w:t>
      </w:r>
      <w:r>
        <w:t xml:space="preserve"> may be employed at the discretion of the chair (always)</w:t>
      </w:r>
      <w:r w:rsidR="00004735">
        <w:t xml:space="preserve">. Regarding meeting time, </w:t>
      </w:r>
      <w:r>
        <w:t>the earth is not flat, nor centered in New Jersey</w:t>
      </w:r>
      <w:r w:rsidR="00004735">
        <w:t xml:space="preserve">; </w:t>
      </w:r>
      <w:r>
        <w:t xml:space="preserve">the rational given in the 802.11 OM </w:t>
      </w:r>
      <w:r w:rsidR="00004735">
        <w:t>states this requirement is to prevent the chair from scheduling motions at an inconvenient time. This rationale i</w:t>
      </w:r>
      <w:r>
        <w:t xml:space="preserve">s only valid if </w:t>
      </w:r>
      <w:proofErr w:type="spellStart"/>
      <w:r w:rsidR="00004735">
        <w:t>the</w:t>
      </w:r>
      <w:proofErr w:type="spellEnd"/>
      <w:r w:rsidR="00004735">
        <w:t xml:space="preserve"> earth were flat with exactly one time</w:t>
      </w:r>
      <w:r>
        <w:t xml:space="preserve"> zone and it is ET</w:t>
      </w:r>
      <w:r w:rsidR="00004735">
        <w:t>.</w:t>
      </w:r>
      <w:r>
        <w:t xml:space="preserve">   On a spherical earth, it is always in </w:t>
      </w:r>
      <w:r w:rsidR="00004735">
        <w:t>an inconvenient</w:t>
      </w:r>
      <w:r>
        <w:t xml:space="preserve"> time </w:t>
      </w:r>
      <w:r w:rsidR="00004735">
        <w:t xml:space="preserve">somewhere </w:t>
      </w:r>
      <w:r>
        <w:t xml:space="preserve">(e.g. 11pm somewhere on earth).  </w:t>
      </w:r>
    </w:p>
    <w:p w14:paraId="71A19F30" w14:textId="308787CE" w:rsidR="0068471E" w:rsidRDefault="0068471E" w:rsidP="00DE4511">
      <w:pPr>
        <w:spacing w:before="120" w:after="120"/>
      </w:pPr>
      <w:r>
        <w:t>For things that require working group votes such as starting recirculation ballots, we have CRGs already.</w:t>
      </w:r>
    </w:p>
    <w:p w14:paraId="572ACF83" w14:textId="77777777" w:rsidR="0068471E" w:rsidRDefault="0068471E" w:rsidP="00DE4511">
      <w:pPr>
        <w:spacing w:before="120" w:after="120"/>
      </w:pPr>
    </w:p>
    <w:p w14:paraId="28996E50" w14:textId="77777777" w:rsidR="0068471E" w:rsidRDefault="0068471E" w:rsidP="00DE4511">
      <w:pPr>
        <w:spacing w:before="120" w:after="120"/>
      </w:pPr>
    </w:p>
    <w:p w14:paraId="5A47DB5E" w14:textId="77777777" w:rsidR="0068471E" w:rsidRDefault="0068471E" w:rsidP="00DE4511">
      <w:pPr>
        <w:spacing w:before="120" w:after="120"/>
      </w:pPr>
    </w:p>
    <w:sectPr w:rsidR="0068471E">
      <w:headerReference w:type="default" r:id="rId9"/>
      <w:footerReference w:type="default" r:id="rId10"/>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1152B" w14:textId="77777777" w:rsidR="00403CC6" w:rsidRDefault="00403CC6">
      <w:pPr>
        <w:spacing w:before="0"/>
      </w:pPr>
      <w:r>
        <w:separator/>
      </w:r>
    </w:p>
  </w:endnote>
  <w:endnote w:type="continuationSeparator" w:id="0">
    <w:p w14:paraId="099A5795" w14:textId="77777777" w:rsidR="00403CC6" w:rsidRDefault="00403C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Palatino">
    <w:altName w:val="Palatino Linotype"/>
    <w:charset w:val="00"/>
    <w:family w:val="roman"/>
    <w:pitch w:val="variable"/>
  </w:font>
  <w:font w:name="New Century Schlbk;Century Scho">
    <w:altName w:val="Cambria"/>
    <w:panose1 w:val="00000000000000000000"/>
    <w:charset w:val="00"/>
    <w:family w:val="roman"/>
    <w:notTrueType/>
    <w:pitch w:val="default"/>
  </w:font>
  <w:font w:name="Courier 10 Pitch">
    <w:altName w:val="Courier New"/>
    <w:charset w:val="00"/>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C" w14:textId="29B8643E" w:rsidR="00365C6C" w:rsidRPr="00F852D5" w:rsidRDefault="00000000">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t>2</w:t>
    </w:r>
    <w:r>
      <w:fldChar w:fldCharType="end"/>
    </w:r>
    <w:r>
      <w:tab/>
    </w:r>
    <w:r w:rsidR="0068471E">
      <w:t>Benjamin Rolfe (BCA)</w:t>
    </w:r>
    <w:r w:rsidRPr="00F852D5">
      <w:fldChar w:fldCharType="begin"/>
    </w:r>
    <w:r w:rsidRPr="00F852D5">
      <w:instrText>DOCPROPERTY "Company"</w:instrText>
    </w:r>
    <w:r w:rsidRPr="00F852D5">
      <w:fldChar w:fldCharType="separate"/>
    </w:r>
    <w:r w:rsidRPr="00F852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E" w14:textId="03778664" w:rsidR="00365C6C" w:rsidRDefault="00000000">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t>2</w:t>
    </w:r>
    <w:r>
      <w:fldChar w:fldCharType="end"/>
    </w:r>
    <w:r>
      <w:tab/>
    </w:r>
    <w:r w:rsidR="003D7EA3" w:rsidRPr="003D7EA3">
      <w:t>Phil Beecher (Wi-SUN Alliance)</w:t>
    </w:r>
    <w:r w:rsidRPr="003D7EA3">
      <w:t xml:space="preserve"> </w:t>
    </w:r>
    <w:r>
      <w:fldChar w:fldCharType="begin"/>
    </w:r>
    <w:r>
      <w:instrText>DOCPROPERTY "Company"</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3FA72" w14:textId="77777777" w:rsidR="00403CC6" w:rsidRDefault="00403CC6">
      <w:pPr>
        <w:spacing w:before="0"/>
      </w:pPr>
      <w:r>
        <w:separator/>
      </w:r>
    </w:p>
  </w:footnote>
  <w:footnote w:type="continuationSeparator" w:id="0">
    <w:p w14:paraId="1B8963B2" w14:textId="77777777" w:rsidR="00403CC6" w:rsidRDefault="00403C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B" w14:textId="355D8D51" w:rsidR="00365C6C" w:rsidRDefault="00000000">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523534">
      <w:rPr>
        <w:b/>
        <w:noProof/>
        <w:sz w:val="28"/>
      </w:rPr>
      <w:t>May 2025</w:t>
    </w:r>
    <w:r>
      <w:rPr>
        <w:b/>
        <w:sz w:val="28"/>
      </w:rPr>
      <w:fldChar w:fldCharType="end"/>
    </w:r>
    <w:r>
      <w:rPr>
        <w:b/>
        <w:sz w:val="28"/>
      </w:rPr>
      <w:tab/>
      <w:t xml:space="preserve"> doc: IEEE 802.15-2</w:t>
    </w:r>
    <w:r w:rsidR="001022CC">
      <w:rPr>
        <w:b/>
        <w:sz w:val="28"/>
      </w:rPr>
      <w:t>5-0</w:t>
    </w:r>
    <w:r w:rsidR="0068471E">
      <w:rPr>
        <w:b/>
        <w:sz w:val="28"/>
      </w:rPr>
      <w:t>241</w:t>
    </w:r>
    <w:r w:rsidR="001022CC">
      <w:rPr>
        <w:b/>
        <w:sz w:val="28"/>
      </w:rPr>
      <w:t>-0</w:t>
    </w:r>
    <w:r w:rsidR="0068471E">
      <w:rPr>
        <w:b/>
        <w:sz w:val="2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D" w14:textId="58E093DC" w:rsidR="00365C6C" w:rsidRPr="00F852D5" w:rsidRDefault="00000000">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523534">
      <w:rPr>
        <w:b/>
        <w:noProof/>
        <w:sz w:val="28"/>
      </w:rPr>
      <w:t>May 2025</w:t>
    </w:r>
    <w:r>
      <w:rPr>
        <w:b/>
        <w:sz w:val="28"/>
      </w:rPr>
      <w:fldChar w:fldCharType="end"/>
    </w:r>
    <w:r>
      <w:rPr>
        <w:b/>
        <w:sz w:val="28"/>
      </w:rPr>
      <w:tab/>
      <w:t xml:space="preserve"> doc: IEEE 802.</w:t>
    </w:r>
    <w:r w:rsidRPr="00F852D5">
      <w:rPr>
        <w:b/>
        <w:sz w:val="28"/>
      </w:rPr>
      <w:t>15-2</w:t>
    </w:r>
    <w:r w:rsidR="00F852D5" w:rsidRPr="00F852D5">
      <w:rPr>
        <w:b/>
        <w:sz w:val="28"/>
      </w:rPr>
      <w:t>5</w:t>
    </w:r>
    <w:r w:rsidRPr="00F852D5">
      <w:rPr>
        <w:b/>
        <w:sz w:val="28"/>
      </w:rPr>
      <w:t>-</w:t>
    </w:r>
    <w:r w:rsidRPr="00F852D5">
      <w:rPr>
        <w:b/>
        <w:color w:val="000000"/>
        <w:sz w:val="28"/>
      </w:rPr>
      <w:t>0</w:t>
    </w:r>
    <w:r w:rsidR="00F852D5" w:rsidRPr="00F852D5">
      <w:rPr>
        <w:b/>
        <w:color w:val="000000"/>
        <w:sz w:val="28"/>
      </w:rPr>
      <w:t>156</w:t>
    </w:r>
    <w:r w:rsidRPr="00F852D5">
      <w:rPr>
        <w:b/>
        <w:sz w:val="28"/>
      </w:rPr>
      <w:t>-</w:t>
    </w:r>
    <w:r w:rsidRPr="00F852D5">
      <w:rPr>
        <w:b/>
        <w:color w:val="000000"/>
        <w:sz w:val="28"/>
      </w:rPr>
      <w:t>0</w:t>
    </w:r>
    <w:r w:rsidR="00872CD5">
      <w:rPr>
        <w:b/>
        <w:color w:val="000000"/>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2476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E6ED7"/>
    <w:multiLevelType w:val="multilevel"/>
    <w:tmpl w:val="D5107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1E50FD"/>
    <w:multiLevelType w:val="hybridMultilevel"/>
    <w:tmpl w:val="719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467DD"/>
    <w:multiLevelType w:val="multilevel"/>
    <w:tmpl w:val="8C32E9F2"/>
    <w:lvl w:ilvl="0">
      <w:start w:val="1"/>
      <w:numFmt w:val="decimal"/>
      <w:pStyle w:val="IEEEheading"/>
      <w:suff w:val="space"/>
      <w:lvlText w:val=" %1 "/>
      <w:lvlJc w:val="left"/>
      <w:pPr>
        <w:tabs>
          <w:tab w:val="num" w:pos="0"/>
        </w:tabs>
        <w:ind w:left="360" w:hanging="720"/>
      </w:pPr>
    </w:lvl>
    <w:lvl w:ilvl="1">
      <w:start w:val="1"/>
      <w:numFmt w:val="decimal"/>
      <w:suff w:val="space"/>
      <w:lvlText w:val=" %1.%2 "/>
      <w:lvlJc w:val="left"/>
      <w:pPr>
        <w:tabs>
          <w:tab w:val="num" w:pos="0"/>
        </w:tabs>
        <w:ind w:left="720" w:hanging="1080"/>
      </w:pPr>
    </w:lvl>
    <w:lvl w:ilvl="2">
      <w:start w:val="1"/>
      <w:numFmt w:val="decimal"/>
      <w:suff w:val="space"/>
      <w:lvlText w:val=" %1.%2.%3 "/>
      <w:lvlJc w:val="left"/>
      <w:pPr>
        <w:tabs>
          <w:tab w:val="num" w:pos="0"/>
        </w:tabs>
        <w:ind w:left="1080" w:hanging="1440"/>
      </w:pPr>
    </w:lvl>
    <w:lvl w:ilvl="3">
      <w:start w:val="1"/>
      <w:numFmt w:val="decimal"/>
      <w:suff w:val="space"/>
      <w:lvlText w:val=" %1.%2.%3.%4 "/>
      <w:lvlJc w:val="left"/>
      <w:pPr>
        <w:tabs>
          <w:tab w:val="num" w:pos="0"/>
        </w:tabs>
        <w:ind w:left="1440" w:hanging="1800"/>
      </w:pPr>
    </w:lvl>
    <w:lvl w:ilvl="4">
      <w:start w:val="1"/>
      <w:numFmt w:val="decimal"/>
      <w:suff w:val="space"/>
      <w:lvlText w:val=" %1.%2.%3.%4.%5 "/>
      <w:lvlJc w:val="left"/>
      <w:pPr>
        <w:tabs>
          <w:tab w:val="num" w:pos="0"/>
        </w:tabs>
        <w:ind w:left="1800" w:hanging="2160"/>
      </w:pPr>
    </w:lvl>
    <w:lvl w:ilvl="5">
      <w:start w:val="1"/>
      <w:numFmt w:val="decimal"/>
      <w:suff w:val="space"/>
      <w:lvlText w:val=" %2.%3.%4.%5.%6 "/>
      <w:lvlJc w:val="left"/>
      <w:pPr>
        <w:tabs>
          <w:tab w:val="num" w:pos="0"/>
        </w:tabs>
        <w:ind w:left="2160" w:hanging="2520"/>
      </w:pPr>
    </w:lvl>
    <w:lvl w:ilvl="6">
      <w:start w:val="1"/>
      <w:numFmt w:val="decimal"/>
      <w:suff w:val="space"/>
      <w:lvlText w:val=" %3.%4.%5.%6.%7 "/>
      <w:lvlJc w:val="left"/>
      <w:pPr>
        <w:tabs>
          <w:tab w:val="num" w:pos="0"/>
        </w:tabs>
        <w:ind w:left="2520" w:hanging="2880"/>
      </w:pPr>
    </w:lvl>
    <w:lvl w:ilvl="7">
      <w:start w:val="1"/>
      <w:numFmt w:val="decimal"/>
      <w:suff w:val="space"/>
      <w:lvlText w:val=" %4.%5.%6.%7.%8 "/>
      <w:lvlJc w:val="left"/>
      <w:pPr>
        <w:tabs>
          <w:tab w:val="num" w:pos="0"/>
        </w:tabs>
        <w:ind w:left="2880" w:hanging="3240"/>
      </w:pPr>
    </w:lvl>
    <w:lvl w:ilvl="8">
      <w:start w:val="1"/>
      <w:numFmt w:val="decimal"/>
      <w:suff w:val="space"/>
      <w:lvlText w:val=" %5.%6.%7.%8.%9 "/>
      <w:lvlJc w:val="left"/>
      <w:pPr>
        <w:tabs>
          <w:tab w:val="num" w:pos="0"/>
        </w:tabs>
        <w:ind w:left="3240" w:hanging="3600"/>
      </w:pPr>
    </w:lvl>
  </w:abstractNum>
  <w:num w:numId="1" w16cid:durableId="2038315123">
    <w:abstractNumId w:val="3"/>
  </w:num>
  <w:num w:numId="2" w16cid:durableId="1474059208">
    <w:abstractNumId w:val="1"/>
  </w:num>
  <w:num w:numId="3" w16cid:durableId="1233152363">
    <w:abstractNumId w:val="0"/>
  </w:num>
  <w:num w:numId="4" w16cid:durableId="735324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08"/>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6C"/>
    <w:rsid w:val="00004735"/>
    <w:rsid w:val="0001621E"/>
    <w:rsid w:val="000709F2"/>
    <w:rsid w:val="001022CC"/>
    <w:rsid w:val="002020F7"/>
    <w:rsid w:val="0023063A"/>
    <w:rsid w:val="00307398"/>
    <w:rsid w:val="00350827"/>
    <w:rsid w:val="00365C6C"/>
    <w:rsid w:val="00372414"/>
    <w:rsid w:val="003D01BE"/>
    <w:rsid w:val="003D7EA3"/>
    <w:rsid w:val="00403CC6"/>
    <w:rsid w:val="004137C5"/>
    <w:rsid w:val="00417529"/>
    <w:rsid w:val="0042268A"/>
    <w:rsid w:val="00423E45"/>
    <w:rsid w:val="00424889"/>
    <w:rsid w:val="004B36AC"/>
    <w:rsid w:val="004C6EAC"/>
    <w:rsid w:val="0050513B"/>
    <w:rsid w:val="00523534"/>
    <w:rsid w:val="005C38D9"/>
    <w:rsid w:val="0068471E"/>
    <w:rsid w:val="006A0AE7"/>
    <w:rsid w:val="006A144C"/>
    <w:rsid w:val="007257E6"/>
    <w:rsid w:val="007525EE"/>
    <w:rsid w:val="00771CC9"/>
    <w:rsid w:val="00783365"/>
    <w:rsid w:val="007C4FCF"/>
    <w:rsid w:val="007E6D0B"/>
    <w:rsid w:val="00812970"/>
    <w:rsid w:val="0084773D"/>
    <w:rsid w:val="00872CD5"/>
    <w:rsid w:val="008D3FF2"/>
    <w:rsid w:val="00946A95"/>
    <w:rsid w:val="009546AE"/>
    <w:rsid w:val="00984FAD"/>
    <w:rsid w:val="00995D90"/>
    <w:rsid w:val="009A1051"/>
    <w:rsid w:val="00A221FC"/>
    <w:rsid w:val="00A62C7E"/>
    <w:rsid w:val="00AB2F9F"/>
    <w:rsid w:val="00AE77E7"/>
    <w:rsid w:val="00BF3323"/>
    <w:rsid w:val="00C07CC1"/>
    <w:rsid w:val="00C26BAF"/>
    <w:rsid w:val="00C81F42"/>
    <w:rsid w:val="00C965F5"/>
    <w:rsid w:val="00CA69F4"/>
    <w:rsid w:val="00CC57A9"/>
    <w:rsid w:val="00D3225F"/>
    <w:rsid w:val="00DC7BF3"/>
    <w:rsid w:val="00DE4511"/>
    <w:rsid w:val="00E031A4"/>
    <w:rsid w:val="00E350E7"/>
    <w:rsid w:val="00F81D2F"/>
    <w:rsid w:val="00F852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28A1"/>
  <w15:docId w15:val="{7A4A653E-FA06-4B16-BB66-126D597B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3B"/>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uiPriority w:val="9"/>
    <w:qFormat/>
    <w:pPr>
      <w:keepNext/>
      <w:spacing w:before="288" w:after="288"/>
      <w:outlineLvl w:val="0"/>
    </w:pPr>
    <w:rPr>
      <w:rFonts w:ascii="Arial" w:hAnsi="Arial" w:cs="Arial"/>
      <w:b/>
      <w:kern w:val="2"/>
      <w:sz w:val="28"/>
    </w:rPr>
  </w:style>
  <w:style w:type="paragraph" w:styleId="Heading2">
    <w:name w:val="heading 2"/>
    <w:basedOn w:val="Normal"/>
    <w:next w:val="Normal"/>
    <w:uiPriority w:val="9"/>
    <w:semiHidden/>
    <w:unhideWhenUsed/>
    <w:qFormat/>
    <w:pPr>
      <w:keepNext/>
      <w:spacing w:before="288" w:after="288"/>
      <w:outlineLvl w:val="1"/>
    </w:pPr>
    <w:rPr>
      <w:rFonts w:ascii="Arial" w:hAnsi="Arial" w:cs="Arial"/>
      <w:b/>
      <w:sz w:val="28"/>
    </w:rPr>
  </w:style>
  <w:style w:type="paragraph" w:styleId="Heading3">
    <w:name w:val="heading 3"/>
    <w:basedOn w:val="Normal"/>
    <w:next w:val="Normal"/>
    <w:uiPriority w:val="9"/>
    <w:semiHidden/>
    <w:unhideWhenUsed/>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uiPriority w:val="9"/>
    <w:semiHidden/>
    <w:unhideWhenUsed/>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uiPriority w:val="9"/>
    <w:semiHidden/>
    <w:unhideWhenUsed/>
    <w:qFormat/>
    <w:pPr>
      <w:spacing w:before="240" w:after="60"/>
      <w:outlineLvl w:val="4"/>
    </w:pPr>
    <w:rPr>
      <w:sz w:val="22"/>
      <w:u w:val="single"/>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qFormat/>
    <w:rPr>
      <w:rFonts w:ascii="Tahoma" w:eastAsia="Times New Roman" w:hAnsi="Tahoma" w:cs="Mangal"/>
      <w:sz w:val="16"/>
      <w:szCs w:val="14"/>
    </w:rPr>
  </w:style>
  <w:style w:type="character" w:styleId="Hyperlink">
    <w:name w:val="Hyperlink"/>
    <w:basedOn w:val="DefaultParagraphFont"/>
    <w:rPr>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uiPriority w:val="10"/>
    <w:qFormat/>
  </w:style>
  <w:style w:type="paragraph" w:styleId="Subtitle">
    <w:name w:val="Subtitle"/>
    <w:basedOn w:val="Heading"/>
    <w:uiPriority w:val="11"/>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qFormat/>
    <w:pPr>
      <w:spacing w:before="0"/>
    </w:pPr>
    <w:rPr>
      <w:rFonts w:ascii="Tahoma" w:hAnsi="Tahoma" w:cs="Mangal"/>
      <w:sz w:val="16"/>
      <w:szCs w:val="14"/>
    </w:rPr>
  </w:style>
  <w:style w:type="paragraph" w:styleId="ListParagraph">
    <w:name w:val="List Paragraph"/>
    <w:basedOn w:val="Normal"/>
    <w:uiPriority w:val="34"/>
    <w:qFormat/>
    <w:pPr>
      <w:ind w:left="720"/>
      <w:contextualSpacing/>
    </w:pPr>
    <w:rPr>
      <w:rFonts w:cs="Mangal"/>
    </w:rPr>
  </w:style>
  <w:style w:type="paragraph" w:styleId="EnvelopeAddress">
    <w:name w:val="envelope address"/>
    <w:basedOn w:val="Normal"/>
    <w:pPr>
      <w:suppressLineNumbers/>
      <w:spacing w:before="0" w:after="60"/>
    </w:pPr>
  </w:style>
  <w:style w:type="paragraph" w:customStyle="1" w:styleId="IEEEheading">
    <w:name w:val="IEEE heading"/>
    <w:basedOn w:val="Heading1"/>
    <w:next w:val="Text"/>
    <w:qFormat/>
    <w:pPr>
      <w:numPr>
        <w:numId w:val="1"/>
      </w:numPr>
    </w:pPr>
  </w:style>
  <w:style w:type="paragraph" w:customStyle="1" w:styleId="IEEEHeading1">
    <w:name w:val="IEEE Heading 1"/>
    <w:basedOn w:val="IEEEheading"/>
    <w:qFormat/>
    <w:rPr>
      <w:sz w:val="36"/>
    </w:rPr>
  </w:style>
  <w:style w:type="paragraph" w:customStyle="1" w:styleId="IEEEHeading2">
    <w:name w:val="IEEE Heading 2"/>
    <w:basedOn w:val="IEEEHeading1"/>
    <w:qFormat/>
    <w:pPr>
      <w:outlineLvl w:val="1"/>
    </w:pPr>
    <w:rPr>
      <w:sz w:val="32"/>
    </w:rPr>
  </w:style>
  <w:style w:type="paragraph" w:customStyle="1" w:styleId="IEEEHeading3">
    <w:name w:val="IEEE Heading 3"/>
    <w:basedOn w:val="IEEEHeading2"/>
    <w:qFormat/>
    <w:pPr>
      <w:outlineLvl w:val="2"/>
    </w:pPr>
  </w:style>
  <w:style w:type="paragraph" w:customStyle="1" w:styleId="IEEEHeading4">
    <w:name w:val="IEEE Heading 4"/>
    <w:basedOn w:val="IEEEHeading3"/>
    <w:qFormat/>
    <w:pPr>
      <w:outlineLvl w:val="3"/>
    </w:pPr>
  </w:style>
  <w:style w:type="paragraph" w:customStyle="1" w:styleId="IEEEHeading5">
    <w:name w:val="IEEE Heading 5"/>
    <w:basedOn w:val="IEEEHeading4"/>
    <w:qFormat/>
    <w:pPr>
      <w:outlineLvl w:val="4"/>
    </w:pPr>
  </w:style>
  <w:style w:type="paragraph" w:customStyle="1" w:styleId="IEEEText">
    <w:name w:val="IEEE Text"/>
    <w:basedOn w:val="BodyText"/>
    <w:qFormat/>
    <w:pPr>
      <w:spacing w:before="173"/>
    </w:pPr>
  </w:style>
  <w:style w:type="paragraph" w:customStyle="1" w:styleId="Default">
    <w:name w:val="Default"/>
    <w:qFormat/>
    <w:pPr>
      <w:widowControl w:val="0"/>
    </w:pPr>
    <w:rPr>
      <w:rFonts w:ascii="Times New Roman" w:eastAsiaTheme="minorEastAsia" w:hAnsi="Times New Roman" w:cs="Times New Roman"/>
      <w:color w:val="000000"/>
      <w:sz w:val="24"/>
      <w:lang w:eastAsia="en-US" w:bidi="ar-SA"/>
    </w:rPr>
  </w:style>
  <w:style w:type="numbering" w:customStyle="1" w:styleId="Numbering123">
    <w:name w:val="Numbering 123"/>
    <w:qFormat/>
  </w:style>
  <w:style w:type="numbering" w:customStyle="1" w:styleId="WW8Num1">
    <w:name w:val="WW8Num1"/>
    <w:qFormat/>
  </w:style>
  <w:style w:type="numbering" w:customStyle="1" w:styleId="IEEEHeadings">
    <w:name w:val="IEEE Headings"/>
    <w:qFormat/>
  </w:style>
  <w:style w:type="character" w:styleId="UnresolvedMention">
    <w:name w:val="Unresolved Mention"/>
    <w:basedOn w:val="DefaultParagraphFont"/>
    <w:uiPriority w:val="99"/>
    <w:semiHidden/>
    <w:unhideWhenUsed/>
    <w:rsid w:val="0007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613">
      <w:bodyDiv w:val="1"/>
      <w:marLeft w:val="0"/>
      <w:marRight w:val="0"/>
      <w:marTop w:val="0"/>
      <w:marBottom w:val="0"/>
      <w:divBdr>
        <w:top w:val="none" w:sz="0" w:space="0" w:color="auto"/>
        <w:left w:val="none" w:sz="0" w:space="0" w:color="auto"/>
        <w:bottom w:val="none" w:sz="0" w:space="0" w:color="auto"/>
        <w:right w:val="none" w:sz="0" w:space="0" w:color="auto"/>
      </w:divBdr>
    </w:div>
    <w:div w:id="177283284">
      <w:bodyDiv w:val="1"/>
      <w:marLeft w:val="0"/>
      <w:marRight w:val="0"/>
      <w:marTop w:val="0"/>
      <w:marBottom w:val="0"/>
      <w:divBdr>
        <w:top w:val="none" w:sz="0" w:space="0" w:color="auto"/>
        <w:left w:val="none" w:sz="0" w:space="0" w:color="auto"/>
        <w:bottom w:val="none" w:sz="0" w:space="0" w:color="auto"/>
        <w:right w:val="none" w:sz="0" w:space="0" w:color="auto"/>
      </w:divBdr>
    </w:div>
    <w:div w:id="34363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Benjamin Rolfe</cp:lastModifiedBy>
  <cp:revision>4</cp:revision>
  <dcterms:created xsi:type="dcterms:W3CDTF">2025-05-13T08:02:00Z</dcterms:created>
  <dcterms:modified xsi:type="dcterms:W3CDTF">2025-05-13T08:48:00Z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