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BABA" w14:textId="760D20F6" w:rsidR="00FB0AC0" w:rsidRPr="00FB0AC0" w:rsidRDefault="002F66E2" w:rsidP="00FB0AC0">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008A64B6">
        <w:rPr>
          <w:rFonts w:ascii="Times New Roman" w:eastAsia="Times New Roman" w:hAnsi="Times New Roman" w:cs="Times New Roman"/>
          <w:b/>
          <w:sz w:val="28"/>
          <w:szCs w:val="20"/>
        </w:rPr>
        <w:t xml:space="preserve"> </w:t>
      </w:r>
      <w:r w:rsidR="00FB0AC0" w:rsidRPr="00FB0AC0">
        <w:rPr>
          <w:rFonts w:ascii="Times New Roman" w:eastAsia="Times New Roman" w:hAnsi="Times New Roman" w:cs="Times New Roman"/>
          <w:b/>
          <w:sz w:val="28"/>
          <w:szCs w:val="20"/>
        </w:rPr>
        <w:t>IEEE P802.15</w:t>
      </w:r>
    </w:p>
    <w:p w14:paraId="45220207" w14:textId="2983314B" w:rsidR="00FB0AC0" w:rsidRDefault="00287220" w:rsidP="00FB0AC0">
      <w:pPr>
        <w:jc w:val="center"/>
        <w:rPr>
          <w:b/>
          <w:sz w:val="28"/>
        </w:rPr>
      </w:pPr>
      <w:r w:rsidRPr="00287220">
        <w:rPr>
          <w:rFonts w:ascii="Times New Roman" w:eastAsia="Times New Roman" w:hAnsi="Times New Roman" w:cs="Times New Roman"/>
          <w:b/>
          <w:sz w:val="28"/>
          <w:szCs w:val="20"/>
        </w:rPr>
        <w:t>Wireless Specialty Networks</w:t>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04D1052">
        <w:tc>
          <w:tcPr>
            <w:tcW w:w="1260" w:type="dxa"/>
            <w:tcBorders>
              <w:top w:val="single" w:sz="6" w:space="0" w:color="auto"/>
            </w:tcBorders>
          </w:tcPr>
          <w:p w14:paraId="44B4A75A" w14:textId="77777777" w:rsidR="00FB0AC0" w:rsidRDefault="00FB0AC0" w:rsidP="004D1052">
            <w:pPr>
              <w:pStyle w:val="covertext"/>
            </w:pPr>
            <w:r>
              <w:t>Project</w:t>
            </w:r>
          </w:p>
        </w:tc>
        <w:tc>
          <w:tcPr>
            <w:tcW w:w="8190" w:type="dxa"/>
            <w:gridSpan w:val="2"/>
            <w:tcBorders>
              <w:top w:val="single" w:sz="6" w:space="0" w:color="auto"/>
            </w:tcBorders>
          </w:tcPr>
          <w:p w14:paraId="6184F53F" w14:textId="04332ED3" w:rsidR="00FB0AC0" w:rsidRDefault="00FB0AC0" w:rsidP="004D1052">
            <w:pPr>
              <w:pStyle w:val="covertext"/>
            </w:pPr>
            <w:r>
              <w:t xml:space="preserve">IEEE P802.15 Working Group for </w:t>
            </w:r>
            <w:bookmarkStart w:id="0" w:name="_Hlk194584585"/>
            <w:r>
              <w:t xml:space="preserve">Wireless </w:t>
            </w:r>
            <w:r w:rsidR="001851C0">
              <w:t>Specialty</w:t>
            </w:r>
            <w:r>
              <w:t xml:space="preserve"> Networks </w:t>
            </w:r>
            <w:bookmarkEnd w:id="0"/>
            <w:r>
              <w:t>(W</w:t>
            </w:r>
            <w:r w:rsidR="001851C0">
              <w:t>S</w:t>
            </w:r>
            <w:r>
              <w:t>Ns)</w:t>
            </w:r>
          </w:p>
        </w:tc>
      </w:tr>
      <w:tr w:rsidR="00FB0AC0" w14:paraId="501EB608" w14:textId="77777777" w:rsidTr="004D1052">
        <w:tc>
          <w:tcPr>
            <w:tcW w:w="1260" w:type="dxa"/>
            <w:tcBorders>
              <w:top w:val="single" w:sz="6" w:space="0" w:color="auto"/>
            </w:tcBorders>
          </w:tcPr>
          <w:p w14:paraId="4680105F" w14:textId="77777777" w:rsidR="00FB0AC0" w:rsidRDefault="00FB0AC0" w:rsidP="004D1052">
            <w:pPr>
              <w:pStyle w:val="covertext"/>
            </w:pPr>
            <w:r>
              <w:t>Title</w:t>
            </w:r>
          </w:p>
        </w:tc>
        <w:tc>
          <w:tcPr>
            <w:tcW w:w="8190" w:type="dxa"/>
            <w:gridSpan w:val="2"/>
            <w:tcBorders>
              <w:top w:val="single" w:sz="6" w:space="0" w:color="auto"/>
            </w:tcBorders>
          </w:tcPr>
          <w:p w14:paraId="3A00EA06" w14:textId="2A0077F5" w:rsidR="00FB0AC0" w:rsidRDefault="00B622C2" w:rsidP="004D1052">
            <w:pPr>
              <w:pStyle w:val="covertext"/>
            </w:pPr>
            <w:r w:rsidRPr="00B622C2">
              <w:t>LB213 CI</w:t>
            </w:r>
            <w:r w:rsidR="006C7A99">
              <w:t xml:space="preserve"> </w:t>
            </w:r>
            <w:r w:rsidRPr="00B622C2">
              <w:t xml:space="preserve">15, 147, </w:t>
            </w:r>
            <w:r w:rsidR="006C7A99">
              <w:t xml:space="preserve">65, </w:t>
            </w:r>
            <w:r w:rsidRPr="00B622C2">
              <w:t xml:space="preserve">150, </w:t>
            </w:r>
            <w:r w:rsidR="006C7A99">
              <w:t>32</w:t>
            </w:r>
            <w:r w:rsidRPr="00B622C2">
              <w:t>9 Proposed Resolutions</w:t>
            </w:r>
          </w:p>
        </w:tc>
      </w:tr>
      <w:tr w:rsidR="00FB0AC0" w14:paraId="04C7CD42" w14:textId="77777777" w:rsidTr="004D1052">
        <w:tc>
          <w:tcPr>
            <w:tcW w:w="1260" w:type="dxa"/>
            <w:tcBorders>
              <w:top w:val="single" w:sz="6" w:space="0" w:color="auto"/>
            </w:tcBorders>
          </w:tcPr>
          <w:p w14:paraId="453A202E" w14:textId="77777777" w:rsidR="00FB0AC0" w:rsidRDefault="00FB0AC0" w:rsidP="004D1052">
            <w:pPr>
              <w:pStyle w:val="covertext"/>
            </w:pPr>
            <w:r>
              <w:t>Date Submitted</w:t>
            </w:r>
          </w:p>
        </w:tc>
        <w:tc>
          <w:tcPr>
            <w:tcW w:w="8190" w:type="dxa"/>
            <w:gridSpan w:val="2"/>
            <w:tcBorders>
              <w:top w:val="single" w:sz="6" w:space="0" w:color="auto"/>
            </w:tcBorders>
          </w:tcPr>
          <w:p w14:paraId="61F1654B" w14:textId="001C97DD" w:rsidR="00FB0AC0" w:rsidRDefault="00B622C2" w:rsidP="004D1052">
            <w:pPr>
              <w:pStyle w:val="covertext"/>
            </w:pPr>
            <w:r>
              <w:t>30</w:t>
            </w:r>
            <w:r w:rsidR="00FB0AC0">
              <w:t>-</w:t>
            </w:r>
            <w:r w:rsidR="00287220">
              <w:t>April-2025</w:t>
            </w:r>
          </w:p>
        </w:tc>
      </w:tr>
      <w:tr w:rsidR="00FB0AC0" w14:paraId="2228A321" w14:textId="77777777" w:rsidTr="004D1052">
        <w:tc>
          <w:tcPr>
            <w:tcW w:w="1260" w:type="dxa"/>
            <w:tcBorders>
              <w:top w:val="single" w:sz="4" w:space="0" w:color="auto"/>
              <w:bottom w:val="single" w:sz="4" w:space="0" w:color="auto"/>
            </w:tcBorders>
          </w:tcPr>
          <w:p w14:paraId="001A1CBF" w14:textId="77777777" w:rsidR="00FB0AC0" w:rsidRDefault="00FB0AC0" w:rsidP="004D1052">
            <w:pPr>
              <w:pStyle w:val="covertext"/>
            </w:pPr>
            <w:r>
              <w:t>Source</w:t>
            </w:r>
          </w:p>
        </w:tc>
        <w:tc>
          <w:tcPr>
            <w:tcW w:w="4050" w:type="dxa"/>
            <w:tcBorders>
              <w:top w:val="single" w:sz="4" w:space="0" w:color="auto"/>
              <w:bottom w:val="single" w:sz="4" w:space="0" w:color="auto"/>
            </w:tcBorders>
          </w:tcPr>
          <w:p w14:paraId="04CD6E9B" w14:textId="6D545170" w:rsidR="00FB0AC0" w:rsidRDefault="00FB0AC0" w:rsidP="004D1052">
            <w:pPr>
              <w:pStyle w:val="covertext"/>
              <w:spacing w:before="0" w:after="0"/>
            </w:pPr>
            <w:r>
              <w:t>[</w:t>
            </w:r>
            <w:r w:rsidR="00287220">
              <w:t>Benjamin A. Rolfe</w:t>
            </w:r>
            <w:r>
              <w:t>]</w:t>
            </w:r>
            <w:r>
              <w:br/>
              <w:t>[Blind Creek Associates</w:t>
            </w:r>
            <w:r>
              <w:fldChar w:fldCharType="begin"/>
            </w:r>
            <w:r>
              <w:instrText xml:space="preserve"> DOCPROPERTY "Company"  \* MERGEFORMAT </w:instrText>
            </w:r>
            <w:r>
              <w:fldChar w:fldCharType="end"/>
            </w:r>
            <w:r>
              <w:t>]</w:t>
            </w:r>
          </w:p>
          <w:p w14:paraId="50099D7E" w14:textId="56C52CE6" w:rsidR="00FB0AC0" w:rsidRDefault="00FB0AC0" w:rsidP="004D1052">
            <w:pPr>
              <w:pStyle w:val="covertext"/>
              <w:spacing w:before="0" w:after="0"/>
            </w:pPr>
          </w:p>
        </w:tc>
        <w:tc>
          <w:tcPr>
            <w:tcW w:w="4140" w:type="dxa"/>
            <w:tcBorders>
              <w:top w:val="single" w:sz="4" w:space="0" w:color="auto"/>
              <w:bottom w:val="single" w:sz="4" w:space="0" w:color="auto"/>
            </w:tcBorders>
          </w:tcPr>
          <w:p w14:paraId="1BEBBF25" w14:textId="77777777" w:rsidR="00FB0AC0" w:rsidRDefault="00FB0AC0" w:rsidP="004D1052">
            <w:pPr>
              <w:pStyle w:val="covertext"/>
              <w:tabs>
                <w:tab w:val="left" w:pos="1152"/>
              </w:tabs>
              <w:spacing w:before="0" w:after="0"/>
            </w:pPr>
            <w:r>
              <w:t>E-mail: [ben.rolfe @ ieee.org ]</w:t>
            </w:r>
          </w:p>
          <w:p w14:paraId="3E10B626" w14:textId="77777777" w:rsidR="00FB0AC0" w:rsidRPr="0061562F" w:rsidRDefault="00FB0AC0" w:rsidP="004D1052">
            <w:pPr>
              <w:pStyle w:val="covertext"/>
              <w:tabs>
                <w:tab w:val="left" w:pos="1152"/>
              </w:tabs>
              <w:spacing w:before="0" w:after="0"/>
            </w:pPr>
            <w:r>
              <w:t xml:space="preserve">             </w:t>
            </w:r>
          </w:p>
        </w:tc>
      </w:tr>
      <w:tr w:rsidR="00FB0AC0" w14:paraId="3591322F" w14:textId="77777777" w:rsidTr="004D1052">
        <w:tc>
          <w:tcPr>
            <w:tcW w:w="1260" w:type="dxa"/>
            <w:tcBorders>
              <w:top w:val="single" w:sz="6" w:space="0" w:color="auto"/>
            </w:tcBorders>
          </w:tcPr>
          <w:p w14:paraId="0C06DBDE" w14:textId="77777777" w:rsidR="00FB0AC0" w:rsidRDefault="00FB0AC0" w:rsidP="004D1052">
            <w:pPr>
              <w:pStyle w:val="covertext"/>
            </w:pPr>
            <w:r>
              <w:t>Re:</w:t>
            </w:r>
          </w:p>
        </w:tc>
        <w:tc>
          <w:tcPr>
            <w:tcW w:w="8190" w:type="dxa"/>
            <w:gridSpan w:val="2"/>
            <w:tcBorders>
              <w:top w:val="single" w:sz="6" w:space="0" w:color="auto"/>
            </w:tcBorders>
          </w:tcPr>
          <w:p w14:paraId="7E2D93EF" w14:textId="191D640B" w:rsidR="00FB0AC0" w:rsidRDefault="00412257" w:rsidP="00412257">
            <w:r>
              <w:t xml:space="preserve">Comments:  </w:t>
            </w:r>
            <w:r w:rsidR="00693090">
              <w:t xml:space="preserve">7, </w:t>
            </w:r>
            <w:r w:rsidR="00941D2C">
              <w:t xml:space="preserve"> </w:t>
            </w:r>
          </w:p>
        </w:tc>
      </w:tr>
      <w:tr w:rsidR="00FB0AC0" w14:paraId="4493C5D0" w14:textId="77777777" w:rsidTr="004D1052">
        <w:tc>
          <w:tcPr>
            <w:tcW w:w="1260" w:type="dxa"/>
            <w:tcBorders>
              <w:top w:val="single" w:sz="6" w:space="0" w:color="auto"/>
            </w:tcBorders>
          </w:tcPr>
          <w:p w14:paraId="1E3F0061" w14:textId="77777777" w:rsidR="00FB0AC0" w:rsidRDefault="00FB0AC0" w:rsidP="004D1052">
            <w:pPr>
              <w:pStyle w:val="covertext"/>
            </w:pPr>
            <w:r>
              <w:t>Abstract</w:t>
            </w:r>
          </w:p>
        </w:tc>
        <w:tc>
          <w:tcPr>
            <w:tcW w:w="8190" w:type="dxa"/>
            <w:gridSpan w:val="2"/>
            <w:tcBorders>
              <w:top w:val="single" w:sz="6" w:space="0" w:color="auto"/>
            </w:tcBorders>
          </w:tcPr>
          <w:p w14:paraId="71FE51C4" w14:textId="5D089928" w:rsidR="00FB0AC0" w:rsidRDefault="00B622C2" w:rsidP="004D1052">
            <w:pPr>
              <w:pStyle w:val="covertext"/>
            </w:pPr>
            <w:r>
              <w:t>Some more almost easy ones</w:t>
            </w:r>
          </w:p>
        </w:tc>
      </w:tr>
      <w:tr w:rsidR="00FB0AC0" w14:paraId="4A8451D4" w14:textId="77777777" w:rsidTr="004D1052">
        <w:tc>
          <w:tcPr>
            <w:tcW w:w="1260" w:type="dxa"/>
            <w:tcBorders>
              <w:top w:val="single" w:sz="6" w:space="0" w:color="auto"/>
            </w:tcBorders>
          </w:tcPr>
          <w:p w14:paraId="74188EE8" w14:textId="77777777" w:rsidR="00FB0AC0" w:rsidRDefault="00FB0AC0" w:rsidP="004D1052">
            <w:pPr>
              <w:pStyle w:val="covertext"/>
            </w:pPr>
            <w:r>
              <w:t>Purpose</w:t>
            </w:r>
          </w:p>
        </w:tc>
        <w:tc>
          <w:tcPr>
            <w:tcW w:w="8190" w:type="dxa"/>
            <w:gridSpan w:val="2"/>
            <w:tcBorders>
              <w:top w:val="single" w:sz="6" w:space="0" w:color="auto"/>
            </w:tcBorders>
          </w:tcPr>
          <w:p w14:paraId="6D2F4C05" w14:textId="5F49C529" w:rsidR="00FB0AC0" w:rsidRDefault="00287220" w:rsidP="004D1052">
            <w:pPr>
              <w:pStyle w:val="covertext"/>
            </w:pPr>
            <w:r>
              <w:t>Resolve comments</w:t>
            </w:r>
            <w:r w:rsidR="007C03C6">
              <w:t xml:space="preserve"> </w:t>
            </w:r>
            <w:r w:rsidR="007C03C6" w:rsidRPr="007C03C6">
              <w:t>15, 147, 150, 329</w:t>
            </w:r>
          </w:p>
        </w:tc>
      </w:tr>
      <w:tr w:rsidR="00FB0AC0" w14:paraId="7481BE02" w14:textId="77777777" w:rsidTr="004D1052">
        <w:tc>
          <w:tcPr>
            <w:tcW w:w="1260" w:type="dxa"/>
            <w:tcBorders>
              <w:top w:val="single" w:sz="6" w:space="0" w:color="auto"/>
              <w:bottom w:val="single" w:sz="6" w:space="0" w:color="auto"/>
            </w:tcBorders>
          </w:tcPr>
          <w:p w14:paraId="51440F27" w14:textId="77777777" w:rsidR="00FB0AC0" w:rsidRDefault="00FB0AC0" w:rsidP="004D1052">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4D105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4D1052">
        <w:tc>
          <w:tcPr>
            <w:tcW w:w="1260" w:type="dxa"/>
            <w:tcBorders>
              <w:top w:val="single" w:sz="6" w:space="0" w:color="auto"/>
              <w:bottom w:val="single" w:sz="6" w:space="0" w:color="auto"/>
            </w:tcBorders>
          </w:tcPr>
          <w:p w14:paraId="306357CD" w14:textId="77777777" w:rsidR="00FB0AC0" w:rsidRDefault="00FB0AC0" w:rsidP="004D1052">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4D1052">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0F688AC0" w14:textId="1AB94043" w:rsidR="004B6A22" w:rsidRDefault="00B622C2" w:rsidP="00BC319E">
      <w:pPr>
        <w:pStyle w:val="Title"/>
      </w:pPr>
      <w:r>
        <w:lastRenderedPageBreak/>
        <w:t>Recommended Resolutions</w:t>
      </w:r>
    </w:p>
    <w:p w14:paraId="0A50969E" w14:textId="3B77A55C" w:rsidR="00087A83" w:rsidRDefault="00087A83" w:rsidP="0020752B">
      <w:pPr>
        <w:pStyle w:val="Heading1"/>
      </w:pPr>
      <w:r>
        <w:t>Proposed resolution Accepted</w:t>
      </w:r>
    </w:p>
    <w:p w14:paraId="6AA63ACA" w14:textId="77777777" w:rsidR="00B622C2" w:rsidRPr="00B622C2" w:rsidRDefault="00B622C2" w:rsidP="00B622C2"/>
    <w:tbl>
      <w:tblPr>
        <w:tblStyle w:val="TableGrid"/>
        <w:tblW w:w="0" w:type="auto"/>
        <w:tblLook w:val="04A0" w:firstRow="1" w:lastRow="0" w:firstColumn="1" w:lastColumn="0" w:noHBand="0" w:noVBand="1"/>
      </w:tblPr>
      <w:tblGrid>
        <w:gridCol w:w="991"/>
        <w:gridCol w:w="695"/>
        <w:gridCol w:w="1369"/>
        <w:gridCol w:w="990"/>
        <w:gridCol w:w="3633"/>
        <w:gridCol w:w="3112"/>
      </w:tblGrid>
      <w:tr w:rsidR="004B6A22" w14:paraId="064910FA" w14:textId="77777777" w:rsidTr="00B622C2">
        <w:tc>
          <w:tcPr>
            <w:tcW w:w="991" w:type="dxa"/>
          </w:tcPr>
          <w:p w14:paraId="1DD67AB1" w14:textId="77777777" w:rsidR="004B6A22" w:rsidRPr="001C53FD" w:rsidRDefault="004B6A22" w:rsidP="00622F80">
            <w:pPr>
              <w:rPr>
                <w:rFonts w:ascii="Arial" w:hAnsi="Arial" w:cs="Arial"/>
                <w:sz w:val="20"/>
                <w:szCs w:val="20"/>
              </w:rPr>
            </w:pPr>
            <w:r>
              <w:rPr>
                <w:rFonts w:ascii="Arial" w:hAnsi="Arial" w:cs="Arial"/>
                <w:b/>
                <w:bCs/>
                <w:sz w:val="20"/>
                <w:szCs w:val="20"/>
              </w:rPr>
              <w:t>Index</w:t>
            </w:r>
          </w:p>
        </w:tc>
        <w:tc>
          <w:tcPr>
            <w:tcW w:w="695" w:type="dxa"/>
          </w:tcPr>
          <w:p w14:paraId="482DA002" w14:textId="77777777" w:rsidR="004B6A22" w:rsidRDefault="004B6A22" w:rsidP="00622F80">
            <w:pPr>
              <w:rPr>
                <w:rFonts w:ascii="Arial" w:hAnsi="Arial" w:cs="Arial"/>
                <w:sz w:val="20"/>
                <w:szCs w:val="20"/>
              </w:rPr>
            </w:pPr>
            <w:r>
              <w:rPr>
                <w:rFonts w:ascii="Arial" w:hAnsi="Arial" w:cs="Arial"/>
                <w:b/>
                <w:bCs/>
                <w:sz w:val="20"/>
                <w:szCs w:val="20"/>
              </w:rPr>
              <w:t>Page</w:t>
            </w:r>
          </w:p>
        </w:tc>
        <w:tc>
          <w:tcPr>
            <w:tcW w:w="1369" w:type="dxa"/>
          </w:tcPr>
          <w:p w14:paraId="1960400D" w14:textId="77777777" w:rsidR="004B6A22" w:rsidRDefault="004B6A22" w:rsidP="00622F80">
            <w:pPr>
              <w:rPr>
                <w:rFonts w:ascii="Arial" w:hAnsi="Arial" w:cs="Arial"/>
                <w:sz w:val="20"/>
                <w:szCs w:val="20"/>
              </w:rPr>
            </w:pPr>
            <w:r>
              <w:rPr>
                <w:rFonts w:ascii="Arial" w:hAnsi="Arial" w:cs="Arial"/>
                <w:b/>
                <w:bCs/>
                <w:sz w:val="20"/>
                <w:szCs w:val="20"/>
              </w:rPr>
              <w:t>Sub-clause</w:t>
            </w:r>
          </w:p>
        </w:tc>
        <w:tc>
          <w:tcPr>
            <w:tcW w:w="990" w:type="dxa"/>
          </w:tcPr>
          <w:p w14:paraId="1C85E59A" w14:textId="77777777" w:rsidR="004B6A22" w:rsidRDefault="004B6A22" w:rsidP="00622F80">
            <w:pPr>
              <w:rPr>
                <w:rFonts w:ascii="Arial" w:hAnsi="Arial" w:cs="Arial"/>
                <w:sz w:val="20"/>
                <w:szCs w:val="20"/>
              </w:rPr>
            </w:pPr>
            <w:r>
              <w:rPr>
                <w:rFonts w:ascii="Arial" w:hAnsi="Arial" w:cs="Arial"/>
                <w:b/>
                <w:bCs/>
                <w:sz w:val="20"/>
                <w:szCs w:val="20"/>
              </w:rPr>
              <w:t>Line #</w:t>
            </w:r>
          </w:p>
        </w:tc>
        <w:tc>
          <w:tcPr>
            <w:tcW w:w="3633" w:type="dxa"/>
          </w:tcPr>
          <w:p w14:paraId="57C6053C" w14:textId="77777777" w:rsidR="004B6A22" w:rsidRDefault="004B6A22" w:rsidP="00622F80">
            <w:pPr>
              <w:rPr>
                <w:rFonts w:ascii="Arial" w:hAnsi="Arial" w:cs="Arial"/>
                <w:sz w:val="20"/>
                <w:szCs w:val="20"/>
              </w:rPr>
            </w:pPr>
            <w:r>
              <w:rPr>
                <w:rFonts w:ascii="Arial" w:hAnsi="Arial" w:cs="Arial"/>
                <w:b/>
                <w:bCs/>
                <w:sz w:val="20"/>
                <w:szCs w:val="20"/>
              </w:rPr>
              <w:t>Comment</w:t>
            </w:r>
          </w:p>
        </w:tc>
        <w:tc>
          <w:tcPr>
            <w:tcW w:w="3112" w:type="dxa"/>
          </w:tcPr>
          <w:p w14:paraId="62C3A2CA" w14:textId="77777777" w:rsidR="004B6A22" w:rsidRDefault="004B6A22" w:rsidP="00622F80">
            <w:pPr>
              <w:rPr>
                <w:rFonts w:ascii="Arial" w:hAnsi="Arial" w:cs="Arial"/>
                <w:sz w:val="20"/>
                <w:szCs w:val="20"/>
              </w:rPr>
            </w:pPr>
            <w:r>
              <w:rPr>
                <w:rFonts w:ascii="Arial" w:hAnsi="Arial" w:cs="Arial"/>
                <w:b/>
                <w:bCs/>
                <w:sz w:val="20"/>
                <w:szCs w:val="20"/>
              </w:rPr>
              <w:t>Proposed Change</w:t>
            </w:r>
          </w:p>
        </w:tc>
      </w:tr>
      <w:tr w:rsidR="00B622C2" w14:paraId="07F194FC" w14:textId="77777777" w:rsidTr="00B622C2">
        <w:tc>
          <w:tcPr>
            <w:tcW w:w="991" w:type="dxa"/>
          </w:tcPr>
          <w:p w14:paraId="4387E6AE" w14:textId="3497AB62" w:rsidR="00B622C2" w:rsidRDefault="00B622C2" w:rsidP="00B622C2">
            <w:pPr>
              <w:rPr>
                <w:rFonts w:ascii="Arial" w:hAnsi="Arial" w:cs="Arial"/>
                <w:sz w:val="20"/>
                <w:szCs w:val="20"/>
              </w:rPr>
            </w:pPr>
            <w:r>
              <w:rPr>
                <w:rFonts w:ascii="Arial" w:hAnsi="Arial" w:cs="Arial"/>
                <w:sz w:val="20"/>
                <w:szCs w:val="20"/>
              </w:rPr>
              <w:t>147</w:t>
            </w:r>
          </w:p>
        </w:tc>
        <w:tc>
          <w:tcPr>
            <w:tcW w:w="695" w:type="dxa"/>
          </w:tcPr>
          <w:p w14:paraId="4FA97162" w14:textId="3556FF26" w:rsidR="00B622C2" w:rsidRDefault="00B622C2" w:rsidP="00B622C2">
            <w:pPr>
              <w:rPr>
                <w:rFonts w:ascii="Arial" w:hAnsi="Arial" w:cs="Arial"/>
                <w:sz w:val="20"/>
                <w:szCs w:val="20"/>
              </w:rPr>
            </w:pPr>
            <w:r>
              <w:rPr>
                <w:rFonts w:ascii="Arial" w:hAnsi="Arial" w:cs="Arial"/>
                <w:sz w:val="20"/>
                <w:szCs w:val="20"/>
              </w:rPr>
              <w:t>21</w:t>
            </w:r>
          </w:p>
        </w:tc>
        <w:tc>
          <w:tcPr>
            <w:tcW w:w="1369" w:type="dxa"/>
          </w:tcPr>
          <w:p w14:paraId="326FA414" w14:textId="658725F3" w:rsidR="00B622C2" w:rsidRDefault="00B622C2" w:rsidP="00B622C2">
            <w:pPr>
              <w:rPr>
                <w:rFonts w:ascii="Arial" w:hAnsi="Arial" w:cs="Arial"/>
                <w:sz w:val="20"/>
                <w:szCs w:val="20"/>
              </w:rPr>
            </w:pPr>
            <w:r>
              <w:rPr>
                <w:rFonts w:ascii="Arial" w:hAnsi="Arial" w:cs="Arial"/>
                <w:sz w:val="20"/>
                <w:szCs w:val="20"/>
              </w:rPr>
              <w:t>8.3.2.3</w:t>
            </w:r>
          </w:p>
        </w:tc>
        <w:tc>
          <w:tcPr>
            <w:tcW w:w="990" w:type="dxa"/>
          </w:tcPr>
          <w:p w14:paraId="7FF6672F" w14:textId="0CC7D09E" w:rsidR="00B622C2" w:rsidRDefault="00B622C2" w:rsidP="00B622C2">
            <w:pPr>
              <w:rPr>
                <w:rFonts w:ascii="Arial" w:hAnsi="Arial" w:cs="Arial"/>
                <w:sz w:val="20"/>
                <w:szCs w:val="20"/>
              </w:rPr>
            </w:pPr>
            <w:r>
              <w:rPr>
                <w:rFonts w:ascii="Arial" w:hAnsi="Arial" w:cs="Arial"/>
                <w:sz w:val="20"/>
                <w:szCs w:val="20"/>
              </w:rPr>
              <w:t>9</w:t>
            </w:r>
          </w:p>
        </w:tc>
        <w:tc>
          <w:tcPr>
            <w:tcW w:w="3633" w:type="dxa"/>
          </w:tcPr>
          <w:p w14:paraId="2AE160B3" w14:textId="689B021B" w:rsidR="00B622C2" w:rsidRDefault="00B622C2" w:rsidP="00B622C2">
            <w:pPr>
              <w:rPr>
                <w:rFonts w:ascii="Arial" w:hAnsi="Arial" w:cs="Arial"/>
                <w:sz w:val="20"/>
                <w:szCs w:val="20"/>
              </w:rPr>
            </w:pPr>
            <w:r>
              <w:rPr>
                <w:rFonts w:ascii="Arial" w:hAnsi="Arial" w:cs="Arial"/>
                <w:sz w:val="20"/>
                <w:szCs w:val="20"/>
              </w:rPr>
              <w:t>simplify the table of RangingReportDescriptor with 4 tables of size 8</w:t>
            </w:r>
          </w:p>
        </w:tc>
        <w:tc>
          <w:tcPr>
            <w:tcW w:w="3112" w:type="dxa"/>
          </w:tcPr>
          <w:p w14:paraId="234778CA" w14:textId="1DACB54E" w:rsidR="00B622C2" w:rsidRDefault="00B622C2" w:rsidP="00B622C2">
            <w:pPr>
              <w:rPr>
                <w:rFonts w:ascii="Arial" w:hAnsi="Arial" w:cs="Arial"/>
                <w:sz w:val="20"/>
                <w:szCs w:val="20"/>
              </w:rPr>
            </w:pPr>
            <w:r>
              <w:rPr>
                <w:rFonts w:ascii="Arial" w:hAnsi="Arial" w:cs="Arial"/>
                <w:sz w:val="20"/>
                <w:szCs w:val="20"/>
              </w:rPr>
              <w:t>merge  RxRif1-8MarkerStart into  RxRifMarkerStart[8], RxRif1-8MarkerEnd into RxRifMarkerEnd[8], TxRif1-8MarkerStart into  TxRifMarkerStart[8], TxRif1-8MarkerEnd into TxRifMarkerEnd[8]</w:t>
            </w:r>
          </w:p>
        </w:tc>
      </w:tr>
    </w:tbl>
    <w:p w14:paraId="2557DCD3" w14:textId="43CAD636" w:rsidR="00693090" w:rsidRDefault="00B622C2" w:rsidP="004B6A22">
      <w:r>
        <w:t xml:space="preserve">Discussion:  This can be considered an editorial change as the proposed change does not change technical content of the conceptual SAP and will simplify and clarify the draft standard. </w:t>
      </w:r>
    </w:p>
    <w:p w14:paraId="4BEC39D8" w14:textId="65F61E71" w:rsidR="0045298C" w:rsidRDefault="00087A83" w:rsidP="0020752B">
      <w:pPr>
        <w:pStyle w:val="Heading1"/>
      </w:pPr>
      <w:r>
        <w:t>Proposed resolution Revised</w:t>
      </w:r>
    </w:p>
    <w:p w14:paraId="05F1888C" w14:textId="77777777" w:rsidR="00087A83" w:rsidRDefault="00087A83" w:rsidP="0045298C"/>
    <w:tbl>
      <w:tblPr>
        <w:tblStyle w:val="TableGrid"/>
        <w:tblW w:w="0" w:type="auto"/>
        <w:tblLook w:val="04A0" w:firstRow="1" w:lastRow="0" w:firstColumn="1" w:lastColumn="0" w:noHBand="0" w:noVBand="1"/>
      </w:tblPr>
      <w:tblGrid>
        <w:gridCol w:w="991"/>
        <w:gridCol w:w="695"/>
        <w:gridCol w:w="1369"/>
        <w:gridCol w:w="990"/>
        <w:gridCol w:w="3633"/>
        <w:gridCol w:w="3112"/>
      </w:tblGrid>
      <w:tr w:rsidR="00B622C2" w14:paraId="7F7D8652" w14:textId="77777777" w:rsidTr="00CB2453">
        <w:tc>
          <w:tcPr>
            <w:tcW w:w="991" w:type="dxa"/>
          </w:tcPr>
          <w:p w14:paraId="6DC7BE23" w14:textId="77777777" w:rsidR="00B622C2" w:rsidRPr="001C53FD" w:rsidRDefault="00B622C2" w:rsidP="00CB2453">
            <w:pPr>
              <w:rPr>
                <w:rFonts w:ascii="Arial" w:hAnsi="Arial" w:cs="Arial"/>
                <w:sz w:val="20"/>
                <w:szCs w:val="20"/>
              </w:rPr>
            </w:pPr>
            <w:r>
              <w:rPr>
                <w:rFonts w:ascii="Arial" w:hAnsi="Arial" w:cs="Arial"/>
                <w:b/>
                <w:bCs/>
                <w:sz w:val="20"/>
                <w:szCs w:val="20"/>
              </w:rPr>
              <w:t>Index</w:t>
            </w:r>
          </w:p>
        </w:tc>
        <w:tc>
          <w:tcPr>
            <w:tcW w:w="695" w:type="dxa"/>
          </w:tcPr>
          <w:p w14:paraId="22D6297F" w14:textId="77777777" w:rsidR="00B622C2" w:rsidRDefault="00B622C2" w:rsidP="00CB2453">
            <w:pPr>
              <w:rPr>
                <w:rFonts w:ascii="Arial" w:hAnsi="Arial" w:cs="Arial"/>
                <w:sz w:val="20"/>
                <w:szCs w:val="20"/>
              </w:rPr>
            </w:pPr>
            <w:r>
              <w:rPr>
                <w:rFonts w:ascii="Arial" w:hAnsi="Arial" w:cs="Arial"/>
                <w:b/>
                <w:bCs/>
                <w:sz w:val="20"/>
                <w:szCs w:val="20"/>
              </w:rPr>
              <w:t>Page</w:t>
            </w:r>
          </w:p>
        </w:tc>
        <w:tc>
          <w:tcPr>
            <w:tcW w:w="1369" w:type="dxa"/>
          </w:tcPr>
          <w:p w14:paraId="0D02AC74" w14:textId="77777777" w:rsidR="00B622C2" w:rsidRDefault="00B622C2" w:rsidP="00CB2453">
            <w:pPr>
              <w:rPr>
                <w:rFonts w:ascii="Arial" w:hAnsi="Arial" w:cs="Arial"/>
                <w:sz w:val="20"/>
                <w:szCs w:val="20"/>
              </w:rPr>
            </w:pPr>
            <w:r>
              <w:rPr>
                <w:rFonts w:ascii="Arial" w:hAnsi="Arial" w:cs="Arial"/>
                <w:b/>
                <w:bCs/>
                <w:sz w:val="20"/>
                <w:szCs w:val="20"/>
              </w:rPr>
              <w:t>Sub-clause</w:t>
            </w:r>
          </w:p>
        </w:tc>
        <w:tc>
          <w:tcPr>
            <w:tcW w:w="990" w:type="dxa"/>
          </w:tcPr>
          <w:p w14:paraId="3A9EA446" w14:textId="77777777" w:rsidR="00B622C2" w:rsidRDefault="00B622C2" w:rsidP="00CB2453">
            <w:pPr>
              <w:rPr>
                <w:rFonts w:ascii="Arial" w:hAnsi="Arial" w:cs="Arial"/>
                <w:sz w:val="20"/>
                <w:szCs w:val="20"/>
              </w:rPr>
            </w:pPr>
            <w:r>
              <w:rPr>
                <w:rFonts w:ascii="Arial" w:hAnsi="Arial" w:cs="Arial"/>
                <w:b/>
                <w:bCs/>
                <w:sz w:val="20"/>
                <w:szCs w:val="20"/>
              </w:rPr>
              <w:t>Line #</w:t>
            </w:r>
          </w:p>
        </w:tc>
        <w:tc>
          <w:tcPr>
            <w:tcW w:w="3633" w:type="dxa"/>
          </w:tcPr>
          <w:p w14:paraId="7310EBDE" w14:textId="77777777" w:rsidR="00B622C2" w:rsidRDefault="00B622C2" w:rsidP="00CB2453">
            <w:pPr>
              <w:rPr>
                <w:rFonts w:ascii="Arial" w:hAnsi="Arial" w:cs="Arial"/>
                <w:sz w:val="20"/>
                <w:szCs w:val="20"/>
              </w:rPr>
            </w:pPr>
            <w:r>
              <w:rPr>
                <w:rFonts w:ascii="Arial" w:hAnsi="Arial" w:cs="Arial"/>
                <w:b/>
                <w:bCs/>
                <w:sz w:val="20"/>
                <w:szCs w:val="20"/>
              </w:rPr>
              <w:t>Comment</w:t>
            </w:r>
          </w:p>
        </w:tc>
        <w:tc>
          <w:tcPr>
            <w:tcW w:w="3112" w:type="dxa"/>
          </w:tcPr>
          <w:p w14:paraId="6B3586B4" w14:textId="77777777" w:rsidR="00B622C2" w:rsidRDefault="00B622C2" w:rsidP="00CB2453">
            <w:pPr>
              <w:rPr>
                <w:rFonts w:ascii="Arial" w:hAnsi="Arial" w:cs="Arial"/>
                <w:sz w:val="20"/>
                <w:szCs w:val="20"/>
              </w:rPr>
            </w:pPr>
            <w:r>
              <w:rPr>
                <w:rFonts w:ascii="Arial" w:hAnsi="Arial" w:cs="Arial"/>
                <w:b/>
                <w:bCs/>
                <w:sz w:val="20"/>
                <w:szCs w:val="20"/>
              </w:rPr>
              <w:t>Proposed Change</w:t>
            </w:r>
          </w:p>
        </w:tc>
      </w:tr>
      <w:tr w:rsidR="00B622C2" w14:paraId="0E3CA590" w14:textId="77777777" w:rsidTr="00CB2453">
        <w:tc>
          <w:tcPr>
            <w:tcW w:w="991" w:type="dxa"/>
          </w:tcPr>
          <w:p w14:paraId="62E548CC" w14:textId="77777777" w:rsidR="00B622C2" w:rsidRDefault="00B622C2" w:rsidP="00CB2453">
            <w:pPr>
              <w:rPr>
                <w:rFonts w:ascii="Arial" w:hAnsi="Arial" w:cs="Arial"/>
                <w:sz w:val="20"/>
                <w:szCs w:val="20"/>
              </w:rPr>
            </w:pPr>
            <w:r>
              <w:rPr>
                <w:rFonts w:ascii="Arial" w:hAnsi="Arial" w:cs="Arial"/>
                <w:sz w:val="20"/>
                <w:szCs w:val="20"/>
              </w:rPr>
              <w:t>15</w:t>
            </w:r>
          </w:p>
        </w:tc>
        <w:tc>
          <w:tcPr>
            <w:tcW w:w="695" w:type="dxa"/>
          </w:tcPr>
          <w:p w14:paraId="1126B6B8" w14:textId="77777777" w:rsidR="00B622C2" w:rsidRDefault="00B622C2" w:rsidP="00CB2453">
            <w:pPr>
              <w:rPr>
                <w:rFonts w:ascii="Arial" w:hAnsi="Arial" w:cs="Arial"/>
                <w:sz w:val="20"/>
                <w:szCs w:val="20"/>
              </w:rPr>
            </w:pPr>
            <w:r>
              <w:rPr>
                <w:rFonts w:ascii="Arial" w:hAnsi="Arial" w:cs="Arial"/>
                <w:sz w:val="20"/>
                <w:szCs w:val="20"/>
              </w:rPr>
              <w:t>84</w:t>
            </w:r>
          </w:p>
        </w:tc>
        <w:tc>
          <w:tcPr>
            <w:tcW w:w="1369" w:type="dxa"/>
          </w:tcPr>
          <w:p w14:paraId="153C66F2" w14:textId="77777777" w:rsidR="00B622C2" w:rsidRDefault="00B622C2" w:rsidP="00CB2453">
            <w:pPr>
              <w:rPr>
                <w:rFonts w:ascii="Arial" w:hAnsi="Arial" w:cs="Arial"/>
                <w:color w:val="000000"/>
                <w:sz w:val="20"/>
                <w:szCs w:val="20"/>
              </w:rPr>
            </w:pPr>
            <w:r>
              <w:rPr>
                <w:rFonts w:ascii="Arial" w:hAnsi="Arial" w:cs="Arial"/>
                <w:sz w:val="20"/>
                <w:szCs w:val="20"/>
              </w:rPr>
              <w:t>10.39.8.4.2</w:t>
            </w:r>
          </w:p>
        </w:tc>
        <w:tc>
          <w:tcPr>
            <w:tcW w:w="990" w:type="dxa"/>
          </w:tcPr>
          <w:p w14:paraId="49460AEF" w14:textId="77777777" w:rsidR="00B622C2" w:rsidRDefault="00B622C2" w:rsidP="00CB2453">
            <w:pPr>
              <w:rPr>
                <w:rFonts w:ascii="Arial" w:hAnsi="Arial" w:cs="Arial"/>
                <w:color w:val="000000"/>
                <w:sz w:val="20"/>
                <w:szCs w:val="20"/>
              </w:rPr>
            </w:pPr>
            <w:r>
              <w:rPr>
                <w:rFonts w:ascii="Arial" w:hAnsi="Arial" w:cs="Arial"/>
                <w:sz w:val="20"/>
                <w:szCs w:val="20"/>
              </w:rPr>
              <w:t>22</w:t>
            </w:r>
          </w:p>
        </w:tc>
        <w:tc>
          <w:tcPr>
            <w:tcW w:w="3633" w:type="dxa"/>
          </w:tcPr>
          <w:p w14:paraId="1F1E556F" w14:textId="77777777" w:rsidR="00B622C2" w:rsidRDefault="00B622C2" w:rsidP="00CB2453">
            <w:pPr>
              <w:rPr>
                <w:rFonts w:ascii="Arial" w:hAnsi="Arial" w:cs="Arial"/>
                <w:color w:val="000000"/>
                <w:sz w:val="20"/>
                <w:szCs w:val="20"/>
              </w:rPr>
            </w:pPr>
            <w:r>
              <w:rPr>
                <w:rFonts w:ascii="Arial" w:hAnsi="Arial" w:cs="Arial"/>
                <w:sz w:val="20"/>
                <w:szCs w:val="20"/>
              </w:rPr>
              <w:t>if all NB channels are occupied, we should migrates towards UWB driven MMS</w:t>
            </w:r>
          </w:p>
        </w:tc>
        <w:tc>
          <w:tcPr>
            <w:tcW w:w="3112" w:type="dxa"/>
          </w:tcPr>
          <w:p w14:paraId="69C0384C" w14:textId="77777777" w:rsidR="00B622C2" w:rsidRDefault="00B622C2" w:rsidP="00CB2453">
            <w:pPr>
              <w:rPr>
                <w:rFonts w:ascii="Arial" w:hAnsi="Arial" w:cs="Arial"/>
                <w:color w:val="000000"/>
                <w:sz w:val="20"/>
                <w:szCs w:val="20"/>
              </w:rPr>
            </w:pPr>
            <w:r>
              <w:rPr>
                <w:rFonts w:ascii="Arial" w:hAnsi="Arial" w:cs="Arial"/>
                <w:sz w:val="20"/>
                <w:szCs w:val="20"/>
              </w:rPr>
              <w:t>Change the "may" to a "shall"</w:t>
            </w:r>
          </w:p>
        </w:tc>
      </w:tr>
      <w:tr w:rsidR="00BC319E" w14:paraId="510867F1" w14:textId="77777777" w:rsidTr="00CB2453">
        <w:tc>
          <w:tcPr>
            <w:tcW w:w="991" w:type="dxa"/>
          </w:tcPr>
          <w:p w14:paraId="65DDC4DD" w14:textId="7F9C4888" w:rsidR="00BC319E" w:rsidRDefault="00BC319E" w:rsidP="00BC319E">
            <w:pPr>
              <w:rPr>
                <w:rFonts w:ascii="Arial" w:hAnsi="Arial" w:cs="Arial"/>
                <w:sz w:val="20"/>
                <w:szCs w:val="20"/>
              </w:rPr>
            </w:pPr>
            <w:r>
              <w:rPr>
                <w:rFonts w:ascii="Arial" w:hAnsi="Arial" w:cs="Arial"/>
                <w:sz w:val="20"/>
                <w:szCs w:val="20"/>
              </w:rPr>
              <w:t>65</w:t>
            </w:r>
          </w:p>
        </w:tc>
        <w:tc>
          <w:tcPr>
            <w:tcW w:w="695" w:type="dxa"/>
          </w:tcPr>
          <w:p w14:paraId="07D641EF" w14:textId="73A0C976" w:rsidR="00BC319E" w:rsidRDefault="00BC319E" w:rsidP="00BC319E">
            <w:pPr>
              <w:rPr>
                <w:rFonts w:ascii="Arial" w:hAnsi="Arial" w:cs="Arial"/>
                <w:sz w:val="20"/>
                <w:szCs w:val="20"/>
              </w:rPr>
            </w:pPr>
            <w:r>
              <w:rPr>
                <w:rFonts w:ascii="Arial" w:hAnsi="Arial" w:cs="Arial"/>
                <w:sz w:val="20"/>
                <w:szCs w:val="20"/>
              </w:rPr>
              <w:t>28</w:t>
            </w:r>
          </w:p>
        </w:tc>
        <w:tc>
          <w:tcPr>
            <w:tcW w:w="1369" w:type="dxa"/>
          </w:tcPr>
          <w:p w14:paraId="41AC13AA" w14:textId="7A5DB14B" w:rsidR="00BC319E" w:rsidRDefault="00BC319E" w:rsidP="00BC319E">
            <w:pPr>
              <w:rPr>
                <w:rFonts w:ascii="Arial" w:hAnsi="Arial" w:cs="Arial"/>
                <w:sz w:val="20"/>
                <w:szCs w:val="20"/>
              </w:rPr>
            </w:pPr>
            <w:r>
              <w:rPr>
                <w:rFonts w:ascii="Arial" w:hAnsi="Arial" w:cs="Arial"/>
                <w:sz w:val="20"/>
                <w:szCs w:val="20"/>
              </w:rPr>
              <w:t>8.3.4</w:t>
            </w:r>
          </w:p>
        </w:tc>
        <w:tc>
          <w:tcPr>
            <w:tcW w:w="990" w:type="dxa"/>
          </w:tcPr>
          <w:p w14:paraId="017B3030" w14:textId="77678D25" w:rsidR="00BC319E" w:rsidRDefault="00BC319E" w:rsidP="00BC319E">
            <w:pPr>
              <w:rPr>
                <w:rFonts w:ascii="Arial" w:hAnsi="Arial" w:cs="Arial"/>
                <w:sz w:val="20"/>
                <w:szCs w:val="20"/>
              </w:rPr>
            </w:pPr>
            <w:r>
              <w:rPr>
                <w:rFonts w:ascii="Arial" w:hAnsi="Arial" w:cs="Arial"/>
                <w:sz w:val="20"/>
                <w:szCs w:val="20"/>
              </w:rPr>
              <w:t>1</w:t>
            </w:r>
          </w:p>
        </w:tc>
        <w:tc>
          <w:tcPr>
            <w:tcW w:w="3633" w:type="dxa"/>
          </w:tcPr>
          <w:p w14:paraId="6DF4433A" w14:textId="5A9EAADE" w:rsidR="00BC319E" w:rsidRDefault="00BC319E" w:rsidP="00BC319E">
            <w:pPr>
              <w:rPr>
                <w:rFonts w:ascii="Arial" w:hAnsi="Arial" w:cs="Arial"/>
                <w:sz w:val="20"/>
                <w:szCs w:val="20"/>
              </w:rPr>
            </w:pPr>
            <w:r>
              <w:rPr>
                <w:rFonts w:ascii="Arial" w:hAnsi="Arial" w:cs="Arial"/>
                <w:sz w:val="20"/>
                <w:szCs w:val="20"/>
              </w:rPr>
              <w:t xml:space="preserve">The KeySource seems to be described incorrectly. KeySource is normally not the originator of the received frame or to be used transmitting the frame. It is used to find the associated key from the security tables, and it is included in the auxiliary security header, but does not necessarely match the originator of the frame. </w:t>
            </w:r>
          </w:p>
        </w:tc>
        <w:tc>
          <w:tcPr>
            <w:tcW w:w="3112" w:type="dxa"/>
          </w:tcPr>
          <w:p w14:paraId="4EC40533" w14:textId="140DEC2E" w:rsidR="00BC319E" w:rsidRDefault="00BC319E" w:rsidP="00BC319E">
            <w:pPr>
              <w:rPr>
                <w:rFonts w:ascii="Arial" w:hAnsi="Arial" w:cs="Arial"/>
                <w:sz w:val="20"/>
                <w:szCs w:val="20"/>
              </w:rPr>
            </w:pPr>
            <w:r>
              <w:rPr>
                <w:rFonts w:ascii="Arial" w:hAnsi="Arial" w:cs="Arial"/>
                <w:sz w:val="20"/>
                <w:szCs w:val="20"/>
              </w:rPr>
              <w:t>If this is trying to be the originator of the frame then use some different name than KeySource. Remove the whole table 2, and CompactSecurityParams, and use standard SecurityParams, which already have SecurityLevel, KeyIndex, and KeySource fields.</w:t>
            </w:r>
          </w:p>
        </w:tc>
      </w:tr>
      <w:tr w:rsidR="00BC319E" w14:paraId="7BB9FFB5" w14:textId="77777777" w:rsidTr="00CB2453">
        <w:tc>
          <w:tcPr>
            <w:tcW w:w="991" w:type="dxa"/>
          </w:tcPr>
          <w:p w14:paraId="6778AAC9" w14:textId="74425C12" w:rsidR="00BC319E" w:rsidRDefault="00BC319E" w:rsidP="00BC319E">
            <w:pPr>
              <w:rPr>
                <w:rFonts w:ascii="Arial" w:hAnsi="Arial" w:cs="Arial"/>
                <w:sz w:val="20"/>
                <w:szCs w:val="20"/>
              </w:rPr>
            </w:pPr>
            <w:r>
              <w:rPr>
                <w:rFonts w:ascii="Arial" w:hAnsi="Arial" w:cs="Arial"/>
                <w:sz w:val="20"/>
                <w:szCs w:val="20"/>
              </w:rPr>
              <w:t>150</w:t>
            </w:r>
          </w:p>
        </w:tc>
        <w:tc>
          <w:tcPr>
            <w:tcW w:w="695" w:type="dxa"/>
          </w:tcPr>
          <w:p w14:paraId="1B3CBC6F" w14:textId="752A58E7" w:rsidR="00BC319E" w:rsidRDefault="00BC319E" w:rsidP="00BC319E">
            <w:pPr>
              <w:rPr>
                <w:rFonts w:ascii="Arial" w:hAnsi="Arial" w:cs="Arial"/>
                <w:sz w:val="20"/>
                <w:szCs w:val="20"/>
              </w:rPr>
            </w:pPr>
            <w:r>
              <w:rPr>
                <w:rFonts w:ascii="Arial" w:hAnsi="Arial" w:cs="Arial"/>
                <w:sz w:val="20"/>
                <w:szCs w:val="20"/>
              </w:rPr>
              <w:t>28</w:t>
            </w:r>
          </w:p>
        </w:tc>
        <w:tc>
          <w:tcPr>
            <w:tcW w:w="1369" w:type="dxa"/>
          </w:tcPr>
          <w:p w14:paraId="0415B8E2" w14:textId="74A19EF5" w:rsidR="00BC319E" w:rsidRDefault="00BC319E" w:rsidP="00BC319E">
            <w:pPr>
              <w:rPr>
                <w:rFonts w:ascii="Arial" w:hAnsi="Arial" w:cs="Arial"/>
                <w:sz w:val="20"/>
                <w:szCs w:val="20"/>
              </w:rPr>
            </w:pPr>
            <w:r>
              <w:rPr>
                <w:rFonts w:ascii="Arial" w:hAnsi="Arial" w:cs="Arial"/>
                <w:sz w:val="20"/>
                <w:szCs w:val="20"/>
              </w:rPr>
              <w:t>8.3.4</w:t>
            </w:r>
          </w:p>
        </w:tc>
        <w:tc>
          <w:tcPr>
            <w:tcW w:w="990" w:type="dxa"/>
          </w:tcPr>
          <w:p w14:paraId="50625F50" w14:textId="775C25BF" w:rsidR="00BC319E" w:rsidRDefault="00BC319E" w:rsidP="00BC319E">
            <w:pPr>
              <w:rPr>
                <w:rFonts w:ascii="Arial" w:hAnsi="Arial" w:cs="Arial"/>
                <w:sz w:val="20"/>
                <w:szCs w:val="20"/>
              </w:rPr>
            </w:pPr>
            <w:r>
              <w:rPr>
                <w:rFonts w:ascii="Arial" w:hAnsi="Arial" w:cs="Arial"/>
                <w:sz w:val="20"/>
                <w:szCs w:val="20"/>
              </w:rPr>
              <w:t>1</w:t>
            </w:r>
          </w:p>
        </w:tc>
        <w:tc>
          <w:tcPr>
            <w:tcW w:w="3633" w:type="dxa"/>
          </w:tcPr>
          <w:p w14:paraId="68EF5627" w14:textId="2520FD42" w:rsidR="00BC319E" w:rsidRDefault="00BC319E" w:rsidP="00BC319E">
            <w:pPr>
              <w:rPr>
                <w:rFonts w:ascii="Arial" w:hAnsi="Arial" w:cs="Arial"/>
                <w:sz w:val="20"/>
                <w:szCs w:val="20"/>
              </w:rPr>
            </w:pPr>
            <w:r>
              <w:rPr>
                <w:rFonts w:ascii="Arial" w:hAnsi="Arial" w:cs="Arial"/>
                <w:sz w:val="20"/>
                <w:szCs w:val="20"/>
              </w:rPr>
              <w:t>SecurityLevel 0x00 with no security is missing</w:t>
            </w:r>
          </w:p>
        </w:tc>
        <w:tc>
          <w:tcPr>
            <w:tcW w:w="3112" w:type="dxa"/>
          </w:tcPr>
          <w:p w14:paraId="40C90B0E" w14:textId="7DA0A3F7" w:rsidR="00BC319E" w:rsidRDefault="00BC319E" w:rsidP="00BC319E">
            <w:pPr>
              <w:rPr>
                <w:rFonts w:ascii="Arial" w:hAnsi="Arial" w:cs="Arial"/>
                <w:sz w:val="20"/>
                <w:szCs w:val="20"/>
              </w:rPr>
            </w:pPr>
            <w:r>
              <w:rPr>
                <w:rFonts w:ascii="Arial" w:hAnsi="Arial" w:cs="Arial"/>
                <w:sz w:val="20"/>
                <w:szCs w:val="20"/>
              </w:rPr>
              <w:t>change valid range of SecurityLevel to 0x00-0x07</w:t>
            </w:r>
          </w:p>
        </w:tc>
      </w:tr>
      <w:tr w:rsidR="00BC319E" w14:paraId="6BCE4107" w14:textId="77777777" w:rsidTr="00CB2453">
        <w:tc>
          <w:tcPr>
            <w:tcW w:w="991" w:type="dxa"/>
          </w:tcPr>
          <w:p w14:paraId="5169F883" w14:textId="2CB2E98D" w:rsidR="00BC319E" w:rsidRDefault="00BC319E" w:rsidP="00BC319E">
            <w:pPr>
              <w:rPr>
                <w:rFonts w:ascii="Arial" w:hAnsi="Arial" w:cs="Arial"/>
                <w:sz w:val="20"/>
                <w:szCs w:val="20"/>
              </w:rPr>
            </w:pPr>
            <w:r>
              <w:rPr>
                <w:rFonts w:ascii="Arial" w:hAnsi="Arial" w:cs="Arial"/>
                <w:sz w:val="20"/>
                <w:szCs w:val="20"/>
              </w:rPr>
              <w:t>329</w:t>
            </w:r>
          </w:p>
        </w:tc>
        <w:tc>
          <w:tcPr>
            <w:tcW w:w="695" w:type="dxa"/>
          </w:tcPr>
          <w:p w14:paraId="696F8D95" w14:textId="16BF3684" w:rsidR="00BC319E" w:rsidRDefault="00BC319E" w:rsidP="00BC319E">
            <w:pPr>
              <w:rPr>
                <w:rFonts w:ascii="Arial" w:hAnsi="Arial" w:cs="Arial"/>
                <w:sz w:val="20"/>
                <w:szCs w:val="20"/>
              </w:rPr>
            </w:pPr>
            <w:r>
              <w:rPr>
                <w:rFonts w:ascii="Arial" w:hAnsi="Arial" w:cs="Arial"/>
                <w:sz w:val="20"/>
                <w:szCs w:val="20"/>
              </w:rPr>
              <w:t>28</w:t>
            </w:r>
          </w:p>
        </w:tc>
        <w:tc>
          <w:tcPr>
            <w:tcW w:w="1369" w:type="dxa"/>
          </w:tcPr>
          <w:p w14:paraId="77977EB8" w14:textId="409B1C20" w:rsidR="00BC319E" w:rsidRDefault="00BC319E" w:rsidP="00BC319E">
            <w:pPr>
              <w:rPr>
                <w:rFonts w:ascii="Arial" w:hAnsi="Arial" w:cs="Arial"/>
                <w:sz w:val="20"/>
                <w:szCs w:val="20"/>
              </w:rPr>
            </w:pPr>
            <w:r>
              <w:rPr>
                <w:rFonts w:ascii="Arial" w:hAnsi="Arial" w:cs="Arial"/>
                <w:sz w:val="20"/>
                <w:szCs w:val="20"/>
              </w:rPr>
              <w:t>8.3.4</w:t>
            </w:r>
          </w:p>
        </w:tc>
        <w:tc>
          <w:tcPr>
            <w:tcW w:w="990" w:type="dxa"/>
          </w:tcPr>
          <w:p w14:paraId="09E540C6" w14:textId="1992DDFB" w:rsidR="00BC319E" w:rsidRDefault="00BC319E" w:rsidP="00BC319E">
            <w:pPr>
              <w:rPr>
                <w:rFonts w:ascii="Arial" w:hAnsi="Arial" w:cs="Arial"/>
                <w:sz w:val="20"/>
                <w:szCs w:val="20"/>
              </w:rPr>
            </w:pPr>
            <w:r>
              <w:rPr>
                <w:rFonts w:ascii="Arial" w:hAnsi="Arial" w:cs="Arial"/>
                <w:sz w:val="20"/>
                <w:szCs w:val="20"/>
              </w:rPr>
              <w:t>1</w:t>
            </w:r>
          </w:p>
        </w:tc>
        <w:tc>
          <w:tcPr>
            <w:tcW w:w="3633" w:type="dxa"/>
          </w:tcPr>
          <w:p w14:paraId="3AF29D02" w14:textId="325A9E4E" w:rsidR="00BC319E" w:rsidRDefault="00BC319E" w:rsidP="00BC319E">
            <w:pPr>
              <w:rPr>
                <w:rFonts w:ascii="Arial" w:hAnsi="Arial" w:cs="Arial"/>
                <w:sz w:val="20"/>
                <w:szCs w:val="20"/>
              </w:rPr>
            </w:pPr>
            <w:r>
              <w:rPr>
                <w:rFonts w:ascii="Arial" w:hAnsi="Arial" w:cs="Arial"/>
                <w:sz w:val="20"/>
                <w:szCs w:val="20"/>
              </w:rPr>
              <w:t>Given that SecurityLevel, KeyIndex, KeySource are already present in SecurityParams structure in base standard.  It would be more unified approach to reused these for compact frame security.</w:t>
            </w:r>
          </w:p>
        </w:tc>
        <w:tc>
          <w:tcPr>
            <w:tcW w:w="3112" w:type="dxa"/>
          </w:tcPr>
          <w:p w14:paraId="087E2E98" w14:textId="5977F20C" w:rsidR="00BC319E" w:rsidRDefault="00BC319E" w:rsidP="00BC319E">
            <w:pPr>
              <w:rPr>
                <w:rFonts w:ascii="Arial" w:hAnsi="Arial" w:cs="Arial"/>
                <w:sz w:val="20"/>
                <w:szCs w:val="20"/>
              </w:rPr>
            </w:pPr>
            <w:r>
              <w:rPr>
                <w:rFonts w:ascii="Arial" w:hAnsi="Arial" w:cs="Arial"/>
                <w:sz w:val="20"/>
                <w:szCs w:val="20"/>
              </w:rPr>
              <w:t>Integrate the descriptions for compact frame security into the base standard SecurityParams and delete the separate CompactSecurityParams parameter.</w:t>
            </w:r>
          </w:p>
        </w:tc>
      </w:tr>
    </w:tbl>
    <w:p w14:paraId="558516C7" w14:textId="77777777" w:rsidR="00B622C2" w:rsidRDefault="00B622C2" w:rsidP="0045298C"/>
    <w:p w14:paraId="52339103" w14:textId="4FC8A55D" w:rsidR="00B622C2" w:rsidRDefault="00B622C2" w:rsidP="00B622C2">
      <w:pPr>
        <w:pStyle w:val="Heading2"/>
      </w:pPr>
      <w:r>
        <w:t>CI: 15</w:t>
      </w:r>
    </w:p>
    <w:p w14:paraId="5955AC7F" w14:textId="71393978" w:rsidR="00B622C2" w:rsidRDefault="00B622C2" w:rsidP="00B622C2">
      <w:r>
        <w:t>Propose REVISED</w:t>
      </w:r>
    </w:p>
    <w:p w14:paraId="4AFF0A9C" w14:textId="7B49ED78" w:rsidR="00B622C2" w:rsidRDefault="00B622C2" w:rsidP="00B622C2">
      <w:r>
        <w:t xml:space="preserve">Resolution Detail:  </w:t>
      </w:r>
      <w:r>
        <w:t>change the sentence to ""When all 250 O-QPSK channels are marked as blocked, devices cannot engage in an NBA MMS UWB session, but use of UWB driven MMS UWB" is still possible."</w:t>
      </w:r>
    </w:p>
    <w:p w14:paraId="1F4F07B8" w14:textId="693F8A6E" w:rsidR="00B622C2" w:rsidRDefault="00B622C2" w:rsidP="00B622C2">
      <w:r>
        <w:lastRenderedPageBreak/>
        <w:t xml:space="preserve">Discussion: </w:t>
      </w:r>
      <w:r>
        <w:t xml:space="preserve"> "shall", "may" and "should" are all incorrect in this sentence.  This is not a valid (complete) statement of a requirement.  It is a statement of fact or possibility (the "for examp</w:t>
      </w:r>
      <w:r>
        <w:t>le” is the clue</w:t>
      </w:r>
      <w:r>
        <w:t xml:space="preserve">). </w:t>
      </w:r>
      <w:r>
        <w:t xml:space="preserve">Elsewhere in the draft it is specified how </w:t>
      </w:r>
      <w:r w:rsidRPr="00BC319E">
        <w:rPr>
          <w:i/>
          <w:iCs/>
        </w:rPr>
        <w:t>macMmsNbChannelAllowList</w:t>
      </w:r>
      <w:r>
        <w:t xml:space="preserve"> is used to constrain the narrow band channel usage, both when channel switching is enabled and when channel switching is disabled. </w:t>
      </w:r>
      <w:r>
        <w:t xml:space="preserve"> If no NB channels are given it is still possible to use UWB only MMS UWB, but it is not mandatory (e.g. MMS is not mandatory to use).     </w:t>
      </w:r>
    </w:p>
    <w:p w14:paraId="2BFDB28F" w14:textId="77777777" w:rsidR="00B622C2" w:rsidRDefault="00B622C2" w:rsidP="00B622C2"/>
    <w:p w14:paraId="07460E07" w14:textId="54AB49FB" w:rsidR="0045298C" w:rsidRDefault="00F85E8C" w:rsidP="0020752B">
      <w:pPr>
        <w:pStyle w:val="Heading2"/>
      </w:pPr>
      <w:r>
        <w:t>CI:</w:t>
      </w:r>
      <w:r w:rsidR="0020752B">
        <w:t xml:space="preserve"> </w:t>
      </w:r>
      <w:r w:rsidR="00B622C2">
        <w:t>150, 169</w:t>
      </w:r>
    </w:p>
    <w:p w14:paraId="05194565" w14:textId="3FF8B50C" w:rsidR="00087A83" w:rsidRDefault="00B622C2" w:rsidP="0045298C">
      <w:r>
        <w:t>Propose REVISED</w:t>
      </w:r>
    </w:p>
    <w:p w14:paraId="010E48E4" w14:textId="08B67B46" w:rsidR="00B622C2" w:rsidRDefault="00B622C2" w:rsidP="0045298C">
      <w:r>
        <w:t>Resolution detail: proposed change given for CI 169.</w:t>
      </w:r>
    </w:p>
    <w:p w14:paraId="7CB72048" w14:textId="32CF89DD" w:rsidR="00B622C2" w:rsidRDefault="00B622C2" w:rsidP="00B622C2">
      <w:r>
        <w:t>Discussion: P</w:t>
      </w:r>
      <w:r>
        <w:t xml:space="preserve">ropose we accept the proposed change in CI# 169 with the editor's concurrence the detail is sufficient for him to complete the change. </w:t>
      </w:r>
      <w:r>
        <w:t>This resolves</w:t>
      </w:r>
      <w:r>
        <w:t xml:space="preserve"> CI #150 in the process</w:t>
      </w:r>
      <w:r>
        <w:t xml:space="preserve"> as the range for SecurityLevel in the base standard is from 0 to 7</w:t>
      </w:r>
      <w:r>
        <w:t xml:space="preserve">. </w:t>
      </w:r>
    </w:p>
    <w:p w14:paraId="772EF3AB" w14:textId="693789A4" w:rsidR="00B622C2" w:rsidRDefault="00B622C2" w:rsidP="00B622C2">
      <w:r>
        <w:t xml:space="preserve">Comparing </w:t>
      </w:r>
      <w:r>
        <w:t xml:space="preserve">D02 to the base standard, </w:t>
      </w:r>
      <w:r>
        <w:t>there are two differences in the description of the security parameters:</w:t>
      </w:r>
    </w:p>
    <w:p w14:paraId="3D591602" w14:textId="55DD8E1C" w:rsidR="00B622C2" w:rsidRDefault="00B622C2" w:rsidP="00B622C2">
      <w:r>
        <w:t xml:space="preserve">1. </w:t>
      </w:r>
      <w:r w:rsidR="007C03C6" w:rsidRPr="007C03C6">
        <w:t xml:space="preserve">In D02 SecurityLevel, as noted in CI#150 value 0 is excluded, and also value 4 is explicitly excluded.  Since in the base standard the SecurityLevel  value 4 is Reserved this last exclusion is unnecessary.  Excluding level 0 is also unnecessary.  I see no valid technical reason not to use the existing definition for SecurityLevel.  In reading the functional text, security level 0 (not secured) is allowed for compact frames.  In the base standard text for MCPS-DATA we state that when security level is 0 the other parameters are ignored.  </w:t>
      </w:r>
    </w:p>
    <w:p w14:paraId="3A8759D3" w14:textId="77777777" w:rsidR="00B622C2" w:rsidRDefault="00B622C2" w:rsidP="00B622C2">
      <w:r>
        <w:t xml:space="preserve">2. In the base standard the KeySource parameter may be an extended address, or a shorter address comprised of a Pan ID and Short Address (as defined in 9.4.4.2 Key Source field).   We state in D02 that this is an extended address and refer to 10.39.11.1.2.3 which only addresses using extended addresses. </w:t>
      </w:r>
    </w:p>
    <w:p w14:paraId="5F2C5256" w14:textId="52D8766F" w:rsidR="00B622C2" w:rsidRDefault="00B622C2" w:rsidP="00B622C2">
      <w:r>
        <w:t xml:space="preserve">As a side note not in the comments but which is resolved by this proposed resolution: </w:t>
      </w:r>
      <w:r>
        <w:t xml:space="preserve">"IEEE address" and "An extended IEEE address" are incorrect (neither are actual defined things).  The correct term is "extended address" which is defined in clause 7.1 to be an EUI-64.    </w:t>
      </w:r>
    </w:p>
    <w:sectPr w:rsidR="00B622C2" w:rsidSect="0028722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C2460" w14:textId="77777777" w:rsidR="001C1AB9" w:rsidRDefault="001C1AB9" w:rsidP="00FB0AC0">
      <w:pPr>
        <w:spacing w:after="0" w:line="240" w:lineRule="auto"/>
      </w:pPr>
      <w:r>
        <w:separator/>
      </w:r>
    </w:p>
  </w:endnote>
  <w:endnote w:type="continuationSeparator" w:id="0">
    <w:p w14:paraId="1EBDE15A" w14:textId="77777777" w:rsidR="001C1AB9" w:rsidRDefault="001C1AB9"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EDD2" w14:textId="7F449C44" w:rsidR="004D1052" w:rsidRPr="0068460F" w:rsidRDefault="004D1052"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fr-CA"/>
      </w:rPr>
    </w:pPr>
    <w:r w:rsidRPr="0068460F">
      <w:rPr>
        <w:rFonts w:ascii="Times New Roman" w:eastAsia="Times New Roman" w:hAnsi="Times New Roman" w:cs="Times New Roman"/>
        <w:sz w:val="24"/>
        <w:szCs w:val="20"/>
        <w:lang w:val="fr-CA"/>
      </w:rPr>
      <w:t>Submission</w:t>
    </w:r>
    <w:r w:rsidRPr="0068460F">
      <w:rPr>
        <w:rFonts w:ascii="Times New Roman" w:eastAsia="Times New Roman" w:hAnsi="Times New Roman" w:cs="Times New Roman"/>
        <w:sz w:val="24"/>
        <w:szCs w:val="20"/>
        <w:lang w:val="fr-CA"/>
      </w:rPr>
      <w:tab/>
      <w:t xml:space="preserve">Page </w:t>
    </w:r>
    <w:r w:rsidRPr="00FB0AC0">
      <w:rPr>
        <w:rFonts w:ascii="Times New Roman" w:eastAsia="Times New Roman" w:hAnsi="Times New Roman" w:cs="Times New Roman"/>
        <w:sz w:val="24"/>
        <w:szCs w:val="20"/>
      </w:rPr>
      <w:pgNum/>
    </w:r>
    <w:r w:rsidRPr="0068460F">
      <w:rPr>
        <w:rFonts w:ascii="Times New Roman" w:eastAsia="Times New Roman" w:hAnsi="Times New Roman" w:cs="Times New Roman"/>
        <w:sz w:val="24"/>
        <w:szCs w:val="20"/>
        <w:lang w:val="fr-CA"/>
      </w:rPr>
      <w:tab/>
      <w:t xml:space="preserve">Benjamin A. Rolfe (BCA, et al) </w:t>
    </w:r>
  </w:p>
  <w:p w14:paraId="1649B78C" w14:textId="0484EBB3" w:rsidR="004D1052" w:rsidRPr="0068460F" w:rsidRDefault="004D1052">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0CBCD" w14:textId="77777777" w:rsidR="001C1AB9" w:rsidRDefault="001C1AB9" w:rsidP="00FB0AC0">
      <w:pPr>
        <w:spacing w:after="0" w:line="240" w:lineRule="auto"/>
      </w:pPr>
      <w:r>
        <w:separator/>
      </w:r>
    </w:p>
  </w:footnote>
  <w:footnote w:type="continuationSeparator" w:id="0">
    <w:p w14:paraId="741D05E0" w14:textId="77777777" w:rsidR="001C1AB9" w:rsidRDefault="001C1AB9"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0993" w14:textId="3C6EAC3E" w:rsidR="004D1052" w:rsidRPr="00FB0AC0" w:rsidRDefault="00287220"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April 2025</w:t>
    </w:r>
    <w:r w:rsidR="004D1052" w:rsidRPr="00FB0AC0">
      <w:rPr>
        <w:rFonts w:ascii="Times New Roman" w:hAnsi="Times New Roman" w:cs="Times New Roman"/>
        <w:b/>
        <w:sz w:val="28"/>
      </w:rPr>
      <w:tab/>
      <w:t xml:space="preserve"> </w:t>
    </w:r>
    <w:r w:rsidR="004D1052" w:rsidRPr="00FB0AC0">
      <w:rPr>
        <w:rFonts w:ascii="Times New Roman" w:hAnsi="Times New Roman" w:cs="Times New Roman"/>
        <w:b/>
        <w:sz w:val="28"/>
      </w:rPr>
      <w:tab/>
      <w:t>Doc: IEEE 15-</w:t>
    </w:r>
    <w:r>
      <w:rPr>
        <w:rFonts w:ascii="Times New Roman" w:hAnsi="Times New Roman" w:cs="Times New Roman"/>
        <w:b/>
        <w:sz w:val="28"/>
      </w:rPr>
      <w:t>25-</w:t>
    </w:r>
    <w:r w:rsidR="00B622C2">
      <w:rPr>
        <w:rFonts w:ascii="Times New Roman" w:hAnsi="Times New Roman" w:cs="Times New Roman"/>
        <w:b/>
        <w:sz w:val="28"/>
      </w:rPr>
      <w:t>0200</w:t>
    </w:r>
    <w:r>
      <w:rPr>
        <w:rFonts w:ascii="Times New Roman" w:hAnsi="Times New Roman" w:cs="Times New Roman"/>
        <w:b/>
        <w:sz w:val="28"/>
      </w:rPr>
      <w:t>-0</w:t>
    </w:r>
    <w:r w:rsidR="00033BD8">
      <w:rPr>
        <w:rFonts w:ascii="Times New Roman" w:hAnsi="Times New Roman" w:cs="Times New Roman"/>
        <w:b/>
        <w:sz w:val="28"/>
      </w:rPr>
      <w:t>0</w:t>
    </w:r>
    <w:r w:rsidR="004D1052" w:rsidRPr="00FB0AC0">
      <w:rPr>
        <w:rFonts w:ascii="Times New Roman" w:hAnsi="Times New Roman" w:cs="Times New Roman"/>
        <w:b/>
        <w:sz w:val="28"/>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10D1B"/>
    <w:multiLevelType w:val="hybridMultilevel"/>
    <w:tmpl w:val="FEE08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2217"/>
    <w:multiLevelType w:val="hybridMultilevel"/>
    <w:tmpl w:val="1E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60C1"/>
    <w:multiLevelType w:val="hybridMultilevel"/>
    <w:tmpl w:val="8250D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4003B"/>
    <w:multiLevelType w:val="hybridMultilevel"/>
    <w:tmpl w:val="FFF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C1B4F"/>
    <w:multiLevelType w:val="hybridMultilevel"/>
    <w:tmpl w:val="B65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8593">
    <w:abstractNumId w:val="4"/>
  </w:num>
  <w:num w:numId="2" w16cid:durableId="2043703128">
    <w:abstractNumId w:val="10"/>
  </w:num>
  <w:num w:numId="3" w16cid:durableId="2007124278">
    <w:abstractNumId w:val="0"/>
  </w:num>
  <w:num w:numId="4" w16cid:durableId="1552572184">
    <w:abstractNumId w:val="6"/>
  </w:num>
  <w:num w:numId="5" w16cid:durableId="1885487052">
    <w:abstractNumId w:val="3"/>
  </w:num>
  <w:num w:numId="6" w16cid:durableId="2093547531">
    <w:abstractNumId w:val="5"/>
  </w:num>
  <w:num w:numId="7" w16cid:durableId="785927935">
    <w:abstractNumId w:val="8"/>
  </w:num>
  <w:num w:numId="8" w16cid:durableId="1746342203">
    <w:abstractNumId w:val="1"/>
  </w:num>
  <w:num w:numId="9" w16cid:durableId="1572692615">
    <w:abstractNumId w:val="9"/>
  </w:num>
  <w:num w:numId="10" w16cid:durableId="730688334">
    <w:abstractNumId w:val="11"/>
  </w:num>
  <w:num w:numId="11" w16cid:durableId="2131626712">
    <w:abstractNumId w:val="7"/>
  </w:num>
  <w:num w:numId="12" w16cid:durableId="1837064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3BD8"/>
    <w:rsid w:val="000358C9"/>
    <w:rsid w:val="00051DF1"/>
    <w:rsid w:val="00052A0F"/>
    <w:rsid w:val="00077C5F"/>
    <w:rsid w:val="00087A83"/>
    <w:rsid w:val="000C1650"/>
    <w:rsid w:val="000D2B85"/>
    <w:rsid w:val="000F697B"/>
    <w:rsid w:val="00111347"/>
    <w:rsid w:val="00122906"/>
    <w:rsid w:val="001327CA"/>
    <w:rsid w:val="001345B0"/>
    <w:rsid w:val="001675F5"/>
    <w:rsid w:val="00180977"/>
    <w:rsid w:val="001851C0"/>
    <w:rsid w:val="001A07EC"/>
    <w:rsid w:val="001A56DD"/>
    <w:rsid w:val="001B4576"/>
    <w:rsid w:val="001C1AB9"/>
    <w:rsid w:val="0020752B"/>
    <w:rsid w:val="00242FB4"/>
    <w:rsid w:val="00271D6A"/>
    <w:rsid w:val="00287220"/>
    <w:rsid w:val="002F66E2"/>
    <w:rsid w:val="0031207F"/>
    <w:rsid w:val="00364CE3"/>
    <w:rsid w:val="003864E2"/>
    <w:rsid w:val="003C6F9B"/>
    <w:rsid w:val="0040624B"/>
    <w:rsid w:val="00412257"/>
    <w:rsid w:val="00413B66"/>
    <w:rsid w:val="00414D9C"/>
    <w:rsid w:val="004176C7"/>
    <w:rsid w:val="00421F9E"/>
    <w:rsid w:val="00422F49"/>
    <w:rsid w:val="0045298C"/>
    <w:rsid w:val="00492C20"/>
    <w:rsid w:val="004A16D3"/>
    <w:rsid w:val="004A7609"/>
    <w:rsid w:val="004B6A22"/>
    <w:rsid w:val="004D1052"/>
    <w:rsid w:val="005A338F"/>
    <w:rsid w:val="005B0655"/>
    <w:rsid w:val="005B15FA"/>
    <w:rsid w:val="006061BC"/>
    <w:rsid w:val="0062205A"/>
    <w:rsid w:val="00627A43"/>
    <w:rsid w:val="006531CF"/>
    <w:rsid w:val="0066575A"/>
    <w:rsid w:val="006668D5"/>
    <w:rsid w:val="0068460F"/>
    <w:rsid w:val="00693090"/>
    <w:rsid w:val="006A2C1B"/>
    <w:rsid w:val="006A6E0A"/>
    <w:rsid w:val="006C7A99"/>
    <w:rsid w:val="006E3A21"/>
    <w:rsid w:val="00705F79"/>
    <w:rsid w:val="00774787"/>
    <w:rsid w:val="0077620A"/>
    <w:rsid w:val="007A52F4"/>
    <w:rsid w:val="007B3961"/>
    <w:rsid w:val="007B5DAE"/>
    <w:rsid w:val="007C03C6"/>
    <w:rsid w:val="007C087E"/>
    <w:rsid w:val="007E2076"/>
    <w:rsid w:val="007F4B72"/>
    <w:rsid w:val="00805879"/>
    <w:rsid w:val="00875882"/>
    <w:rsid w:val="00881B76"/>
    <w:rsid w:val="00894E14"/>
    <w:rsid w:val="008A64B6"/>
    <w:rsid w:val="008B3351"/>
    <w:rsid w:val="00941D2C"/>
    <w:rsid w:val="00963B65"/>
    <w:rsid w:val="009B2426"/>
    <w:rsid w:val="00A55A4A"/>
    <w:rsid w:val="00A70155"/>
    <w:rsid w:val="00A763A8"/>
    <w:rsid w:val="00A84154"/>
    <w:rsid w:val="00A960BC"/>
    <w:rsid w:val="00AC5616"/>
    <w:rsid w:val="00AD002D"/>
    <w:rsid w:val="00AD5381"/>
    <w:rsid w:val="00B303C0"/>
    <w:rsid w:val="00B622C2"/>
    <w:rsid w:val="00B83A1E"/>
    <w:rsid w:val="00B841D0"/>
    <w:rsid w:val="00B928A4"/>
    <w:rsid w:val="00BC319E"/>
    <w:rsid w:val="00BC689B"/>
    <w:rsid w:val="00C0713D"/>
    <w:rsid w:val="00C240F6"/>
    <w:rsid w:val="00C2543F"/>
    <w:rsid w:val="00C30060"/>
    <w:rsid w:val="00C37C57"/>
    <w:rsid w:val="00C42E6A"/>
    <w:rsid w:val="00C4531F"/>
    <w:rsid w:val="00C64248"/>
    <w:rsid w:val="00C7705E"/>
    <w:rsid w:val="00C86554"/>
    <w:rsid w:val="00CD7437"/>
    <w:rsid w:val="00CE65D1"/>
    <w:rsid w:val="00D07237"/>
    <w:rsid w:val="00D3263F"/>
    <w:rsid w:val="00D850D9"/>
    <w:rsid w:val="00DA51C4"/>
    <w:rsid w:val="00DC2880"/>
    <w:rsid w:val="00DF667D"/>
    <w:rsid w:val="00E44B76"/>
    <w:rsid w:val="00E53D9B"/>
    <w:rsid w:val="00E63366"/>
    <w:rsid w:val="00E64D77"/>
    <w:rsid w:val="00E655F8"/>
    <w:rsid w:val="00E86191"/>
    <w:rsid w:val="00EB4517"/>
    <w:rsid w:val="00EB79F2"/>
    <w:rsid w:val="00ED204A"/>
    <w:rsid w:val="00F05DB1"/>
    <w:rsid w:val="00F2183C"/>
    <w:rsid w:val="00F23E37"/>
    <w:rsid w:val="00F5410A"/>
    <w:rsid w:val="00F71FBF"/>
    <w:rsid w:val="00F85E8C"/>
    <w:rsid w:val="00FA0839"/>
    <w:rsid w:val="00FB0AC0"/>
    <w:rsid w:val="00FC2010"/>
    <w:rsid w:val="00FC32BB"/>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421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421F9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paragraph" w:styleId="BalloonText">
    <w:name w:val="Balloon Text"/>
    <w:basedOn w:val="Normal"/>
    <w:link w:val="BalloonTextChar"/>
    <w:uiPriority w:val="99"/>
    <w:semiHidden/>
    <w:unhideWhenUsed/>
    <w:rsid w:val="00A701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1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531F"/>
    <w:rPr>
      <w:sz w:val="16"/>
      <w:szCs w:val="16"/>
    </w:rPr>
  </w:style>
  <w:style w:type="paragraph" w:styleId="CommentText">
    <w:name w:val="annotation text"/>
    <w:basedOn w:val="Normal"/>
    <w:link w:val="CommentTextChar"/>
    <w:uiPriority w:val="99"/>
    <w:semiHidden/>
    <w:unhideWhenUsed/>
    <w:rsid w:val="00C4531F"/>
    <w:pPr>
      <w:spacing w:line="240" w:lineRule="auto"/>
    </w:pPr>
    <w:rPr>
      <w:sz w:val="20"/>
      <w:szCs w:val="20"/>
    </w:rPr>
  </w:style>
  <w:style w:type="character" w:customStyle="1" w:styleId="CommentTextChar">
    <w:name w:val="Comment Text Char"/>
    <w:basedOn w:val="DefaultParagraphFont"/>
    <w:link w:val="CommentText"/>
    <w:uiPriority w:val="99"/>
    <w:semiHidden/>
    <w:rsid w:val="00C4531F"/>
    <w:rPr>
      <w:sz w:val="20"/>
      <w:szCs w:val="20"/>
    </w:rPr>
  </w:style>
  <w:style w:type="paragraph" w:styleId="CommentSubject">
    <w:name w:val="annotation subject"/>
    <w:basedOn w:val="CommentText"/>
    <w:next w:val="CommentText"/>
    <w:link w:val="CommentSubjectChar"/>
    <w:uiPriority w:val="99"/>
    <w:semiHidden/>
    <w:unhideWhenUsed/>
    <w:rsid w:val="00C4531F"/>
    <w:rPr>
      <w:b/>
      <w:bCs/>
    </w:rPr>
  </w:style>
  <w:style w:type="character" w:customStyle="1" w:styleId="CommentSubjectChar">
    <w:name w:val="Comment Subject Char"/>
    <w:basedOn w:val="CommentTextChar"/>
    <w:link w:val="CommentSubject"/>
    <w:uiPriority w:val="99"/>
    <w:semiHidden/>
    <w:rsid w:val="00C4531F"/>
    <w:rPr>
      <w:b/>
      <w:bCs/>
      <w:sz w:val="20"/>
      <w:szCs w:val="20"/>
    </w:rPr>
  </w:style>
  <w:style w:type="paragraph" w:styleId="Revision">
    <w:name w:val="Revision"/>
    <w:hidden/>
    <w:uiPriority w:val="99"/>
    <w:semiHidden/>
    <w:rsid w:val="00E86191"/>
    <w:pPr>
      <w:spacing w:after="0" w:line="240" w:lineRule="auto"/>
    </w:pPr>
  </w:style>
  <w:style w:type="character" w:styleId="FollowedHyperlink">
    <w:name w:val="FollowedHyperlink"/>
    <w:basedOn w:val="DefaultParagraphFont"/>
    <w:uiPriority w:val="99"/>
    <w:semiHidden/>
    <w:unhideWhenUsed/>
    <w:rsid w:val="00AC5616"/>
    <w:rPr>
      <w:color w:val="954F72" w:themeColor="followedHyperlink"/>
      <w:u w:val="single"/>
    </w:rPr>
  </w:style>
  <w:style w:type="paragraph" w:styleId="NoSpacing">
    <w:name w:val="No Spacing"/>
    <w:uiPriority w:val="1"/>
    <w:qFormat/>
    <w:rsid w:val="005B1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80242">
      <w:bodyDiv w:val="1"/>
      <w:marLeft w:val="0"/>
      <w:marRight w:val="0"/>
      <w:marTop w:val="0"/>
      <w:marBottom w:val="0"/>
      <w:divBdr>
        <w:top w:val="none" w:sz="0" w:space="0" w:color="auto"/>
        <w:left w:val="none" w:sz="0" w:space="0" w:color="auto"/>
        <w:bottom w:val="none" w:sz="0" w:space="0" w:color="auto"/>
        <w:right w:val="none" w:sz="0" w:space="0" w:color="auto"/>
      </w:divBdr>
    </w:div>
    <w:div w:id="347949028">
      <w:bodyDiv w:val="1"/>
      <w:marLeft w:val="0"/>
      <w:marRight w:val="0"/>
      <w:marTop w:val="0"/>
      <w:marBottom w:val="0"/>
      <w:divBdr>
        <w:top w:val="none" w:sz="0" w:space="0" w:color="auto"/>
        <w:left w:val="none" w:sz="0" w:space="0" w:color="auto"/>
        <w:bottom w:val="none" w:sz="0" w:space="0" w:color="auto"/>
        <w:right w:val="none" w:sz="0" w:space="0" w:color="auto"/>
      </w:divBdr>
    </w:div>
    <w:div w:id="830800160">
      <w:bodyDiv w:val="1"/>
      <w:marLeft w:val="0"/>
      <w:marRight w:val="0"/>
      <w:marTop w:val="0"/>
      <w:marBottom w:val="0"/>
      <w:divBdr>
        <w:top w:val="none" w:sz="0" w:space="0" w:color="auto"/>
        <w:left w:val="none" w:sz="0" w:space="0" w:color="auto"/>
        <w:bottom w:val="none" w:sz="0" w:space="0" w:color="auto"/>
        <w:right w:val="none" w:sz="0" w:space="0" w:color="auto"/>
      </w:divBdr>
    </w:div>
    <w:div w:id="1055857607">
      <w:bodyDiv w:val="1"/>
      <w:marLeft w:val="0"/>
      <w:marRight w:val="0"/>
      <w:marTop w:val="0"/>
      <w:marBottom w:val="0"/>
      <w:divBdr>
        <w:top w:val="none" w:sz="0" w:space="0" w:color="auto"/>
        <w:left w:val="none" w:sz="0" w:space="0" w:color="auto"/>
        <w:bottom w:val="none" w:sz="0" w:space="0" w:color="auto"/>
        <w:right w:val="none" w:sz="0" w:space="0" w:color="auto"/>
      </w:divBdr>
    </w:div>
    <w:div w:id="1056855118">
      <w:bodyDiv w:val="1"/>
      <w:marLeft w:val="0"/>
      <w:marRight w:val="0"/>
      <w:marTop w:val="0"/>
      <w:marBottom w:val="0"/>
      <w:divBdr>
        <w:top w:val="none" w:sz="0" w:space="0" w:color="auto"/>
        <w:left w:val="none" w:sz="0" w:space="0" w:color="auto"/>
        <w:bottom w:val="none" w:sz="0" w:space="0" w:color="auto"/>
        <w:right w:val="none" w:sz="0" w:space="0" w:color="auto"/>
      </w:divBdr>
    </w:div>
    <w:div w:id="1109736814">
      <w:bodyDiv w:val="1"/>
      <w:marLeft w:val="0"/>
      <w:marRight w:val="0"/>
      <w:marTop w:val="0"/>
      <w:marBottom w:val="0"/>
      <w:divBdr>
        <w:top w:val="none" w:sz="0" w:space="0" w:color="auto"/>
        <w:left w:val="none" w:sz="0" w:space="0" w:color="auto"/>
        <w:bottom w:val="none" w:sz="0" w:space="0" w:color="auto"/>
        <w:right w:val="none" w:sz="0" w:space="0" w:color="auto"/>
      </w:divBdr>
    </w:div>
    <w:div w:id="1134909954">
      <w:bodyDiv w:val="1"/>
      <w:marLeft w:val="0"/>
      <w:marRight w:val="0"/>
      <w:marTop w:val="0"/>
      <w:marBottom w:val="0"/>
      <w:divBdr>
        <w:top w:val="none" w:sz="0" w:space="0" w:color="auto"/>
        <w:left w:val="none" w:sz="0" w:space="0" w:color="auto"/>
        <w:bottom w:val="none" w:sz="0" w:space="0" w:color="auto"/>
        <w:right w:val="none" w:sz="0" w:space="0" w:color="auto"/>
      </w:divBdr>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739017682">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 w:id="20792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FCFA-FED2-7842-9EA3-7C7FCE5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3</cp:revision>
  <dcterms:created xsi:type="dcterms:W3CDTF">2025-04-30T22:57:00Z</dcterms:created>
  <dcterms:modified xsi:type="dcterms:W3CDTF">2025-04-30T23:02:00Z</dcterms:modified>
</cp:coreProperties>
</file>