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4"/>
        <w:gridCol w:w="4055"/>
        <w:gridCol w:w="4141"/>
      </w:tblGrid>
      <w:tr>
        <w:trPr/>
        <w:tc>
          <w:tcPr>
            <w:tcW w:w="1254" w:type="dxa"/>
            <w:tcBorders>
              <w:top w:val="single" w:sz="6" w:space="0" w:color="000000"/>
            </w:tcBorders>
            <w:vAlign w:val="center"/>
          </w:tcPr>
          <w:p>
            <w:pPr>
              <w:pStyle w:val="Covertext"/>
              <w:widowControl w:val="false"/>
              <w:spacing w:before="120" w:after="120"/>
              <w:rPr>
                <w:sz w:val="22"/>
              </w:rPr>
            </w:pPr>
            <w:r>
              <w:rPr>
                <w:sz w:val="22"/>
              </w:rPr>
              <w:t>Project</w:t>
            </w:r>
          </w:p>
        </w:tc>
        <w:tc>
          <w:tcPr>
            <w:tcW w:w="8196"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4"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6"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Technical changes left for the corrigendum</w:t>
            </w:r>
          </w:p>
        </w:tc>
      </w:tr>
      <w:tr>
        <w:trPr/>
        <w:tc>
          <w:tcPr>
            <w:tcW w:w="1254"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6"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12</w:t>
            </w:r>
            <w:r>
              <w:rPr>
                <w:sz w:val="24"/>
                <w:szCs w:val="22"/>
                <w:vertAlign w:val="superscript"/>
              </w:rPr>
              <w:t>th</w:t>
            </w:r>
            <w:r>
              <w:rPr>
                <w:sz w:val="24"/>
                <w:szCs w:val="22"/>
              </w:rPr>
              <w:t xml:space="preserve"> </w:t>
            </w:r>
            <w:r>
              <w:rPr>
                <w:sz w:val="24"/>
                <w:szCs w:val="22"/>
              </w:rPr>
              <w:t xml:space="preserve">March </w:t>
            </w:r>
            <w:r>
              <w:rPr>
                <w:sz w:val="24"/>
                <w:szCs w:val="22"/>
              </w:rPr>
              <w:t>202</w:t>
            </w:r>
            <w:r>
              <w:rPr>
                <w:sz w:val="24"/>
                <w:szCs w:val="22"/>
              </w:rPr>
              <w:t>5</w:t>
            </w:r>
          </w:p>
        </w:tc>
      </w:tr>
      <w:tr>
        <w:trPr/>
        <w:tc>
          <w:tcPr>
            <w:tcW w:w="1254"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5"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4" w:type="dxa"/>
            <w:tcBorders>
              <w:top w:val="single" w:sz="6" w:space="0" w:color="000000"/>
            </w:tcBorders>
            <w:vAlign w:val="center"/>
          </w:tcPr>
          <w:p>
            <w:pPr>
              <w:pStyle w:val="Covertext"/>
              <w:widowControl w:val="false"/>
              <w:spacing w:before="120" w:after="120"/>
              <w:rPr>
                <w:sz w:val="22"/>
              </w:rPr>
            </w:pPr>
            <w:r>
              <w:rPr>
                <w:sz w:val="22"/>
              </w:rPr>
              <w:t>Abstract</w:t>
            </w:r>
          </w:p>
        </w:tc>
        <w:tc>
          <w:tcPr>
            <w:tcW w:w="8196" w:type="dxa"/>
            <w:gridSpan w:val="2"/>
            <w:tcBorders>
              <w:top w:val="single" w:sz="6" w:space="0" w:color="000000"/>
            </w:tcBorders>
            <w:vAlign w:val="center"/>
          </w:tcPr>
          <w:p>
            <w:pPr>
              <w:pStyle w:val="Covertext"/>
              <w:widowControl w:val="false"/>
              <w:spacing w:before="120" w:after="120"/>
              <w:rPr>
                <w:sz w:val="22"/>
              </w:rPr>
            </w:pPr>
            <w:r>
              <w:rPr>
                <w:sz w:val="22"/>
              </w:rPr>
              <w:t>Technical changes noticed by IEEE editor to he TG4me draft, that are left for the next corrigendum or revision</w:t>
            </w:r>
            <w:r>
              <w:rPr>
                <w:sz w:val="22"/>
              </w:rPr>
              <w:t>.</w:t>
            </w:r>
          </w:p>
        </w:tc>
      </w:tr>
      <w:tr>
        <w:trPr/>
        <w:tc>
          <w:tcPr>
            <w:tcW w:w="1254" w:type="dxa"/>
            <w:tcBorders>
              <w:top w:val="single" w:sz="6" w:space="0" w:color="000000"/>
            </w:tcBorders>
            <w:vAlign w:val="center"/>
          </w:tcPr>
          <w:p>
            <w:pPr>
              <w:pStyle w:val="Covertext"/>
              <w:widowControl w:val="false"/>
              <w:spacing w:before="120" w:after="120"/>
              <w:rPr>
                <w:sz w:val="22"/>
              </w:rPr>
            </w:pPr>
            <w:r>
              <w:rPr>
                <w:sz w:val="22"/>
              </w:rPr>
              <w:t>Purpose</w:t>
            </w:r>
          </w:p>
        </w:tc>
        <w:tc>
          <w:tcPr>
            <w:tcW w:w="8196" w:type="dxa"/>
            <w:gridSpan w:val="2"/>
            <w:tcBorders>
              <w:top w:val="single" w:sz="6" w:space="0" w:color="000000"/>
            </w:tcBorders>
            <w:vAlign w:val="center"/>
          </w:tcPr>
          <w:p>
            <w:pPr>
              <w:pStyle w:val="Covertext"/>
              <w:widowControl w:val="false"/>
              <w:spacing w:before="120" w:after="120"/>
              <w:rPr>
                <w:sz w:val="22"/>
                <w:szCs w:val="22"/>
              </w:rPr>
            </w:pPr>
            <w:r>
              <w:rPr>
                <w:sz w:val="22"/>
                <w:szCs w:val="22"/>
              </w:rPr>
              <w:t xml:space="preserve">Provide </w:t>
            </w:r>
            <w:r>
              <w:rPr>
                <w:sz w:val="22"/>
                <w:szCs w:val="22"/>
              </w:rPr>
              <w:t>list of technical changes for future reference</w:t>
            </w:r>
            <w:r>
              <w:rPr>
                <w:sz w:val="22"/>
                <w:szCs w:val="22"/>
              </w:rPr>
              <w:t>.</w:t>
            </w:r>
          </w:p>
        </w:tc>
      </w:tr>
      <w:tr>
        <w:trPr/>
        <w:tc>
          <w:tcPr>
            <w:tcW w:w="1254"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6"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6"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bookmarkStart w:id="0" w:name="20150917012124-47969-hx41z00j"/>
      <w:bookmarkStart w:id="1" w:name="20150917012124-47969-hx41z00j"/>
      <w:bookmarkEnd w:id="1"/>
      <w:r>
        <w:br w:type="page"/>
      </w:r>
    </w:p>
    <w:p>
      <w:pPr>
        <w:pStyle w:val="IEEEHeading3"/>
        <w:numPr>
          <w:ilvl w:val="1"/>
          <w:numId w:val="3"/>
        </w:numPr>
        <w:rPr>
          <w:sz w:val="36"/>
          <w:szCs w:val="22"/>
        </w:rPr>
      </w:pPr>
      <w:bookmarkStart w:id="2" w:name="__RefHeading___Toc8045_3531304375"/>
      <w:bookmarkEnd w:id="2"/>
      <w:r>
        <w:rPr/>
        <w:t>Technical changes</w:t>
      </w:r>
    </w:p>
    <w:p>
      <w:pPr>
        <w:pStyle w:val="IEEEHeading3"/>
        <w:numPr>
          <w:ilvl w:val="2"/>
          <w:numId w:val="3"/>
        </w:numPr>
        <w:rPr>
          <w:rFonts w:ascii="Times New Roman" w:hAnsi="Times New Roman"/>
          <w:sz w:val="22"/>
          <w:szCs w:val="22"/>
        </w:rPr>
      </w:pPr>
      <w:r>
        <w:rPr/>
        <w:t>Size of the matrix</w:t>
      </w:r>
    </w:p>
    <w:p>
      <w:pPr>
        <w:pStyle w:val="IEEEComments"/>
        <w:numPr>
          <w:ilvl w:val="0"/>
          <w:numId w:val="4"/>
        </w:numPr>
        <w:rPr/>
      </w:pPr>
      <w:r>
        <w:rPr/>
        <w:t>In section 15.1.2 Preamble field:</w:t>
      </w:r>
    </w:p>
    <w:p>
      <w:pPr>
        <w:pStyle w:val="IEEEComments"/>
        <w:numPr>
          <w:ilvl w:val="0"/>
          <w:numId w:val="4"/>
        </w:numPr>
        <w:rPr/>
      </w:pPr>
      <w:r>
        <w:rPr/>
        <w:t>The text here says:</w:t>
        <w:br/>
        <w:br/>
      </w:r>
      <w:r>
        <w:rPr/>
        <w:t>where ones(0:N) for integer number N is defined as a 1-by-N matrix of ones.</w:t>
        <w:br/>
      </w:r>
    </w:p>
    <w:p>
      <w:pPr>
        <w:pStyle w:val="IEEEComments"/>
        <w:numPr>
          <w:ilvl w:val="0"/>
          <w:numId w:val="4"/>
        </w:numPr>
        <w:rPr>
          <w:rFonts w:ascii="Times New Roman" w:hAnsi="Times New Roman"/>
          <w:sz w:val="22"/>
          <w:szCs w:val="22"/>
        </w:rPr>
      </w:pPr>
      <w:r>
        <w:rPr/>
        <w:t xml:space="preserve">This should </w:t>
      </w:r>
      <w:r>
        <w:rPr/>
        <w:t>be 1 by N+1 (i.e., ones(0,31) is a 1 by 32 matrix)?</w:t>
      </w:r>
    </w:p>
    <w:p>
      <w:pPr>
        <w:pStyle w:val="IEEEHeading3"/>
        <w:numPr>
          <w:ilvl w:val="2"/>
          <w:numId w:val="3"/>
        </w:numPr>
        <w:rPr>
          <w:rFonts w:ascii="Times New Roman" w:hAnsi="Times New Roman"/>
          <w:sz w:val="22"/>
          <w:szCs w:val="22"/>
        </w:rPr>
      </w:pPr>
      <w:r>
        <w:rPr/>
        <w:t>Error in the 4m N</w:t>
      </w:r>
      <w:r>
        <w:rPr>
          <w:vertAlign w:val="subscript"/>
        </w:rPr>
        <w:t>PAD</w:t>
      </w:r>
      <w:r>
        <w:rPr/>
        <w:t xml:space="preserve"> calculation</w:t>
      </w:r>
    </w:p>
    <w:p>
      <w:pPr>
        <w:pStyle w:val="IEEEComments"/>
        <w:numPr>
          <w:ilvl w:val="0"/>
          <w:numId w:val="4"/>
        </w:numPr>
        <w:ind w:left="720" w:right="0" w:hanging="360"/>
        <w:rPr>
          <w:rFonts w:ascii="Times New Roman" w:hAnsi="Times New Roman"/>
          <w:sz w:val="22"/>
          <w:szCs w:val="22"/>
        </w:rPr>
      </w:pPr>
      <w:r>
        <w:rPr/>
        <w:t xml:space="preserve">In Section </w:t>
      </w:r>
      <w:r>
        <w:rPr/>
        <w:t>27.3.6 Pad bit insertion:</w:t>
      </w:r>
    </w:p>
    <w:p>
      <w:pPr>
        <w:pStyle w:val="IEEEComments"/>
        <w:numPr>
          <w:ilvl w:val="0"/>
          <w:numId w:val="4"/>
        </w:numPr>
        <w:ind w:left="720" w:right="0" w:hanging="360"/>
        <w:rPr>
          <w:rFonts w:ascii="Times New Roman" w:hAnsi="Times New Roman"/>
          <w:sz w:val="22"/>
          <w:szCs w:val="22"/>
        </w:rPr>
      </w:pPr>
      <w:r>
        <w:rPr/>
        <w:t xml:space="preserve">During the original </w:t>
      </w:r>
      <w:r>
        <w:rPr/>
        <w:t xml:space="preserve">4m submission </w:t>
      </w:r>
      <w:r>
        <w:rPr/>
        <w:t xml:space="preserve">in the </w:t>
      </w:r>
      <w:r>
        <w:rPr/>
        <w:t xml:space="preserve">balloting processing the line got </w:t>
      </w:r>
      <w:r>
        <w:rPr/>
        <w:t xml:space="preserve">accidentally </w:t>
      </w:r>
      <w:r>
        <w:rPr/>
        <w:t>change from</w:t>
      </w:r>
    </w:p>
    <w:p>
      <w:pPr>
        <w:pStyle w:val="IEEEText"/>
        <w:rPr>
          <w:rFonts w:ascii="Times New Roman" w:hAnsi="Times New Roman"/>
          <w:sz w:val="22"/>
          <w:szCs w:val="22"/>
        </w:rPr>
      </w:pPr>
      <w:r>
        <w:rPr/>
        <w:tab/>
        <w:tab/>
        <w:tab/>
        <w:t>N</w:t>
      </w:r>
      <w:r>
        <w:rPr>
          <w:vertAlign w:val="subscript"/>
        </w:rPr>
        <w:t>PAD</w:t>
      </w:r>
      <w:r>
        <w:rPr/>
        <w:t xml:space="preserve"> = N</w:t>
      </w:r>
      <w:r>
        <w:rPr>
          <w:vertAlign w:val="subscript"/>
        </w:rPr>
        <w:t>DATA</w:t>
      </w:r>
      <w:r>
        <w:rPr/>
        <w:t xml:space="preserve"> - 8 * L</w:t>
      </w:r>
      <w:r>
        <w:rPr>
          <w:vertAlign w:val="subscript"/>
        </w:rPr>
        <w:t>RS</w:t>
      </w:r>
      <w:r>
        <w:rPr/>
        <w:t xml:space="preserve"> + 6</w:t>
      </w:r>
    </w:p>
    <w:p>
      <w:pPr>
        <w:pStyle w:val="IEEEResponse"/>
        <w:rPr>
          <w:color w:val="auto"/>
        </w:rPr>
      </w:pPr>
      <w:r>
        <w:rPr>
          <w:color w:val="auto"/>
        </w:rPr>
        <w:t>to</w:t>
      </w:r>
    </w:p>
    <w:p>
      <w:pPr>
        <w:pStyle w:val="IEEEText"/>
        <w:rPr>
          <w:rFonts w:ascii="Times New Roman" w:hAnsi="Times New Roman"/>
          <w:sz w:val="22"/>
          <w:szCs w:val="22"/>
        </w:rPr>
      </w:pPr>
      <w:r>
        <w:rPr/>
        <w:tab/>
        <w:tab/>
        <w:tab/>
        <w:t>N</w:t>
      </w:r>
      <w:r>
        <w:rPr>
          <w:vertAlign w:val="subscript"/>
        </w:rPr>
        <w:t>PAD</w:t>
      </w:r>
      <w:r>
        <w:rPr/>
        <w:t xml:space="preserve"> = N</w:t>
      </w:r>
      <w:r>
        <w:rPr>
          <w:vertAlign w:val="subscript"/>
        </w:rPr>
        <w:t>DATA</w:t>
      </w:r>
      <w:r>
        <w:rPr/>
        <w:t xml:space="preserve"> - (* L</w:t>
      </w:r>
      <w:r>
        <w:rPr>
          <w:vertAlign w:val="subscript"/>
        </w:rPr>
        <w:t>RS</w:t>
      </w:r>
      <w:r>
        <w:rPr/>
        <w:t xml:space="preserve"> + 6)</w:t>
      </w:r>
    </w:p>
    <w:p>
      <w:pPr>
        <w:pStyle w:val="IEEEResponse"/>
        <w:rPr>
          <w:color w:val="auto"/>
        </w:rPr>
      </w:pPr>
      <w:r>
        <w:rPr>
          <w:color w:val="auto"/>
        </w:rPr>
        <w:t>The correct formula for this is:</w:t>
      </w:r>
    </w:p>
    <w:p>
      <w:pPr>
        <w:pStyle w:val="IEEEText"/>
        <w:rPr>
          <w:rFonts w:ascii="Times New Roman" w:hAnsi="Times New Roman"/>
          <w:sz w:val="22"/>
          <w:szCs w:val="22"/>
        </w:rPr>
      </w:pPr>
      <w:r>
        <w:rPr/>
        <w:tab/>
        <w:tab/>
        <w:tab/>
        <w:t>N</w:t>
      </w:r>
      <w:r>
        <w:rPr>
          <w:vertAlign w:val="subscript"/>
        </w:rPr>
        <w:t>PAD</w:t>
      </w:r>
      <w:r>
        <w:rPr/>
        <w:t xml:space="preserve"> = N</w:t>
      </w:r>
      <w:r>
        <w:rPr>
          <w:vertAlign w:val="subscript"/>
        </w:rPr>
        <w:t>DATA</w:t>
      </w:r>
      <w:r>
        <w:rPr/>
        <w:t xml:space="preserve"> - (8 </w:t>
      </w:r>
      <w:r>
        <w:rPr>
          <w:rFonts w:ascii="DejaVu Sans" w:hAnsi="DejaVu Sans"/>
        </w:rPr>
        <w:t>×</w:t>
      </w:r>
      <w:r>
        <w:rPr/>
        <w:t xml:space="preserve"> L</w:t>
      </w:r>
      <w:r>
        <w:rPr>
          <w:vertAlign w:val="subscript"/>
        </w:rPr>
        <w:t>RS</w:t>
      </w:r>
      <w:r>
        <w:rPr/>
        <w:t xml:space="preserve"> + 6)</w:t>
      </w:r>
    </w:p>
    <w:p>
      <w:pPr>
        <w:pStyle w:val="IEEEHeading3"/>
        <w:numPr>
          <w:ilvl w:val="2"/>
          <w:numId w:val="3"/>
        </w:numPr>
        <w:rPr>
          <w:rFonts w:ascii="Times New Roman" w:hAnsi="Times New Roman"/>
          <w:sz w:val="22"/>
          <w:szCs w:val="22"/>
        </w:rPr>
      </w:pPr>
      <w:bookmarkStart w:id="3" w:name="__RefHeading___Toc8048_3531304375"/>
      <w:bookmarkEnd w:id="3"/>
      <w:r>
        <w:rPr/>
        <w:t>Duplicate figure and missing figure</w:t>
      </w:r>
    </w:p>
    <w:p>
      <w:pPr>
        <w:pStyle w:val="IEEEComments"/>
        <w:numPr>
          <w:ilvl w:val="0"/>
          <w:numId w:val="4"/>
        </w:numPr>
        <w:ind w:left="720" w:right="0" w:hanging="360"/>
        <w:rPr>
          <w:rFonts w:ascii="Times New Roman" w:hAnsi="Times New Roman"/>
          <w:sz w:val="22"/>
          <w:szCs w:val="22"/>
        </w:rPr>
      </w:pPr>
      <w:r>
        <w:rPr/>
        <w:t xml:space="preserve">In Section  </w:t>
      </w:r>
      <w:r>
        <w:rPr/>
        <w:t>10.26.3.4 Multi-PHY IE:</w:t>
      </w:r>
    </w:p>
    <w:p>
      <w:pPr>
        <w:pStyle w:val="IEEEComments"/>
        <w:numPr>
          <w:ilvl w:val="0"/>
          <w:numId w:val="4"/>
        </w:numPr>
        <w:ind w:left="720" w:right="0" w:hanging="360"/>
        <w:rPr>
          <w:rFonts w:ascii="Times New Roman" w:hAnsi="Times New Roman"/>
          <w:sz w:val="22"/>
          <w:szCs w:val="22"/>
        </w:rPr>
      </w:pPr>
      <w:r>
        <w:rPr/>
        <w:t>F</w:t>
      </w:r>
      <w:r>
        <w:rPr/>
        <w:t xml:space="preserve">igure </w:t>
      </w:r>
      <w:r>
        <w:rPr/>
        <w:t xml:space="preserve">10-176 </w:t>
      </w:r>
      <w:r>
        <w:rPr/>
        <w:t xml:space="preserve">is the same as Figure 10-174 "RS-GFSK Device Capabilities IE Content field format".  (This figure was the same as this in 802.15.4-2020.) </w:t>
      </w:r>
    </w:p>
    <w:p>
      <w:pPr>
        <w:pStyle w:val="IEEEComments"/>
        <w:numPr>
          <w:ilvl w:val="0"/>
          <w:numId w:val="4"/>
        </w:numPr>
        <w:ind w:left="720" w:right="0" w:hanging="360"/>
        <w:rPr>
          <w:rFonts w:ascii="Times New Roman" w:hAnsi="Times New Roman"/>
          <w:sz w:val="22"/>
          <w:szCs w:val="22"/>
        </w:rPr>
      </w:pPr>
      <w:r>
        <w:rPr/>
        <w:t xml:space="preserve">This should have </w:t>
      </w:r>
      <w:r>
        <w:rPr/>
        <w:t xml:space="preserve">content as in Figure 7-101d in 802.15.4t-2017, </w:t>
      </w:r>
      <w:r>
        <w:rPr/>
        <w:t>but mistake was made during IEEE Std 802.15.4-2020 revision process.</w:t>
      </w:r>
    </w:p>
    <w:p>
      <w:pPr>
        <w:pStyle w:val="IEEEHeading3"/>
        <w:numPr>
          <w:ilvl w:val="2"/>
          <w:numId w:val="3"/>
        </w:numPr>
        <w:rPr>
          <w:sz w:val="36"/>
          <w:szCs w:val="22"/>
        </w:rPr>
      </w:pPr>
      <w:r>
        <w:rPr/>
        <w:t>Repeated channels</w:t>
      </w:r>
    </w:p>
    <w:p>
      <w:pPr>
        <w:pStyle w:val="IEEEComments"/>
        <w:numPr>
          <w:ilvl w:val="0"/>
          <w:numId w:val="4"/>
        </w:numPr>
        <w:rPr/>
      </w:pPr>
      <w:r>
        <w:rPr/>
        <w:t>Section 11.1.3.3 Channel numbering for 868 MHz, 915 MHz, and 2450 MHz bands</w:t>
      </w:r>
    </w:p>
    <w:p>
      <w:pPr>
        <w:pStyle w:val="IEEEComments"/>
        <w:numPr>
          <w:ilvl w:val="0"/>
          <w:numId w:val="4"/>
        </w:numPr>
        <w:rPr/>
      </w:pPr>
      <w:r>
        <w:rPr/>
        <w:t>This section r</w:t>
      </w:r>
      <w:r>
        <w:rPr/>
        <w:t xml:space="preserve">epeat channels 0 to 10 </w:t>
      </w:r>
      <w:r>
        <w:rPr/>
        <w:t>twice</w:t>
      </w:r>
      <w:r>
        <w:rPr/>
        <w:t>.</w:t>
      </w:r>
    </w:p>
    <w:p>
      <w:pPr>
        <w:pStyle w:val="IEEEComments"/>
        <w:numPr>
          <w:ilvl w:val="0"/>
          <w:numId w:val="4"/>
        </w:numPr>
        <w:rPr>
          <w:rFonts w:ascii="Times New Roman" w:hAnsi="Times New Roman"/>
          <w:sz w:val="22"/>
          <w:szCs w:val="22"/>
        </w:rPr>
      </w:pPr>
      <w:r>
        <w:rPr/>
        <w:t>I</w:t>
      </w:r>
      <w:r>
        <w:rPr/>
        <w:t xml:space="preserve">n 802.15.4-2020, they were distinguished by "channel page", which does not appear in </w:t>
      </w:r>
      <w:r>
        <w:rPr/>
        <w:t>t</w:t>
      </w:r>
      <w:r>
        <w:rPr/>
        <w:t>his revision.</w:t>
      </w:r>
    </w:p>
    <w:p>
      <w:pPr>
        <w:pStyle w:val="IEEEHeading3"/>
        <w:numPr>
          <w:ilvl w:val="2"/>
          <w:numId w:val="3"/>
        </w:numPr>
        <w:rPr/>
      </w:pPr>
      <w:r>
        <w:rPr/>
        <w:t>Incorrect text in DSME Association Response command</w:t>
      </w:r>
    </w:p>
    <w:p>
      <w:pPr>
        <w:pStyle w:val="IEEEComments"/>
        <w:numPr>
          <w:ilvl w:val="0"/>
          <w:numId w:val="4"/>
        </w:numPr>
        <w:rPr/>
      </w:pPr>
      <w:r>
        <w:rPr/>
        <w:t>Section 10.4.12.2 DSME Association Response command</w:t>
      </w:r>
    </w:p>
    <w:p>
      <w:pPr>
        <w:pStyle w:val="IEEEComments"/>
        <w:numPr>
          <w:ilvl w:val="0"/>
          <w:numId w:val="4"/>
        </w:numPr>
        <w:rPr/>
      </w:pPr>
      <w:r>
        <w:rPr/>
        <w:t>Description of this command is not covering the Association Response command, it is describing the command from unassociated device to coordinator, not the coordinators response.</w:t>
      </w:r>
    </w:p>
    <w:p>
      <w:pPr>
        <w:pStyle w:val="IEEEComments"/>
        <w:numPr>
          <w:ilvl w:val="0"/>
          <w:numId w:val="4"/>
        </w:numPr>
        <w:rPr>
          <w:rFonts w:ascii="Times New Roman" w:hAnsi="Times New Roman"/>
          <w:sz w:val="22"/>
          <w:szCs w:val="22"/>
        </w:rPr>
      </w:pPr>
      <w:r>
        <w:rPr/>
        <w:t>It was already broken in IEEE Std 802.15.4e-2012.</w:t>
      </w:r>
    </w:p>
    <w:p>
      <w:pPr>
        <w:pStyle w:val="IEEEHeading3"/>
        <w:numPr>
          <w:ilvl w:val="2"/>
          <w:numId w:val="3"/>
        </w:numPr>
        <w:rPr>
          <w:rFonts w:ascii="Times New Roman" w:hAnsi="Times New Roman"/>
          <w:sz w:val="22"/>
          <w:szCs w:val="22"/>
        </w:rPr>
      </w:pPr>
      <w:bookmarkStart w:id="4" w:name="__RefHeading___Toc8050_3531304375"/>
      <w:bookmarkEnd w:id="4"/>
      <w:r>
        <w:rPr/>
        <w:t>GTS Device Address List</w:t>
      </w:r>
    </w:p>
    <w:p>
      <w:pPr>
        <w:pStyle w:val="IEEEComments"/>
        <w:numPr>
          <w:ilvl w:val="0"/>
          <w:numId w:val="4"/>
        </w:numPr>
        <w:ind w:left="720" w:right="0" w:hanging="360"/>
        <w:rPr>
          <w:rFonts w:ascii="Times New Roman" w:hAnsi="Times New Roman"/>
          <w:sz w:val="22"/>
          <w:szCs w:val="22"/>
        </w:rPr>
      </w:pPr>
      <w:r>
        <w:rPr/>
        <w:t>Section 10.25.8.1 Simplified GTS Specification IE</w:t>
      </w:r>
    </w:p>
    <w:p>
      <w:pPr>
        <w:pStyle w:val="IEEEComments"/>
        <w:numPr>
          <w:ilvl w:val="0"/>
          <w:numId w:val="4"/>
        </w:numPr>
        <w:ind w:left="720" w:right="0" w:hanging="360"/>
        <w:rPr>
          <w:rFonts w:ascii="Times New Roman" w:hAnsi="Times New Roman"/>
          <w:sz w:val="22"/>
          <w:szCs w:val="22"/>
        </w:rPr>
      </w:pPr>
      <w:r>
        <w:rPr/>
        <w:t xml:space="preserve">This references GTS Device Address List" in 7.3.1.5, but there </w:t>
      </w:r>
      <w:r>
        <w:rPr/>
        <w:t>no definition for "GTS Device Address List" in 7.3.1.5.</w:t>
      </w:r>
    </w:p>
    <w:p>
      <w:pPr>
        <w:pStyle w:val="IEEEComments"/>
        <w:numPr>
          <w:ilvl w:val="0"/>
          <w:numId w:val="4"/>
        </w:numPr>
        <w:ind w:left="720" w:right="0" w:hanging="360"/>
        <w:rPr>
          <w:rFonts w:ascii="Times New Roman" w:hAnsi="Times New Roman"/>
          <w:sz w:val="22"/>
          <w:szCs w:val="22"/>
        </w:rPr>
      </w:pPr>
      <w:r>
        <w:rPr/>
        <w:t>It most means GTS List described in 7.3.1.5, but as there is no GTS Specification field in the IE, and that contains the GTS Descriptor Count, simply changing to use GTS List does not work.</w:t>
      </w:r>
    </w:p>
    <w:p>
      <w:pPr>
        <w:pStyle w:val="IEEEText"/>
        <w:rPr>
          <w:rFonts w:ascii="Times New Roman" w:hAnsi="Times New Roman"/>
          <w:sz w:val="22"/>
          <w:szCs w:val="22"/>
        </w:rPr>
      </w:pPr>
      <w:r>
        <w:rPr>
          <w:sz w:val="22"/>
          <w:szCs w:val="22"/>
        </w:rPr>
      </w:r>
    </w:p>
    <w:p>
      <w:pPr>
        <w:pStyle w:val="IEEEText"/>
        <w:rPr>
          <w:rFonts w:ascii="Times New Roman" w:hAnsi="Times New Roman"/>
          <w:sz w:val="22"/>
          <w:szCs w:val="22"/>
        </w:rPr>
      </w:pPr>
      <w:r>
        <w:rPr>
          <w:sz w:val="22"/>
          <w:szCs w:val="22"/>
        </w:rPr>
      </w:r>
    </w:p>
    <w:p>
      <w:pPr>
        <w:pStyle w:val="IEEEText"/>
        <w:rPr>
          <w:rFonts w:ascii="Times New Roman" w:hAnsi="Times New Roman"/>
          <w:sz w:val="22"/>
          <w:szCs w:val="22"/>
        </w:rPr>
      </w:pPr>
      <w:r>
        <w:rPr>
          <w:sz w:val="22"/>
          <w:szCs w:val="22"/>
        </w:rPr>
      </w:r>
    </w:p>
    <w:p>
      <w:pPr>
        <w:pStyle w:val="IEEEText"/>
        <w:rPr>
          <w:rFonts w:ascii="Times New Roman" w:hAnsi="Times New Roman"/>
          <w:sz w:val="22"/>
          <w:szCs w:val="22"/>
        </w:rPr>
      </w:pPr>
      <w:r>
        <w:rPr>
          <w:sz w:val="22"/>
          <w:szCs w:val="22"/>
        </w:rPr>
      </w:r>
    </w:p>
    <w:p>
      <w:pPr>
        <w:pStyle w:val="IEEEText"/>
        <w:spacing w:before="170" w:after="170"/>
        <w:rPr>
          <w:rFonts w:ascii="Times New Roman" w:hAnsi="Times New Roman"/>
          <w:sz w:val="22"/>
          <w:szCs w:val="22"/>
        </w:rPr>
      </w:pPr>
      <w:r>
        <w:rPr/>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Liberation Sans">
    <w:altName w:val="Arial"/>
    <w:charset w:val="01"/>
    <w:family w:val="roman"/>
    <w:pitch w:val="variable"/>
  </w:font>
  <w:font w:name="OpenSymbol">
    <w:altName w:val="Arial Unicode MS"/>
    <w:charset w:val="01"/>
    <w:family w:val="roman"/>
    <w:pitch w:val="variable"/>
  </w:font>
  <w:font w:name="DejaVu Sans">
    <w:charset w:val="01"/>
    <w:family w:val="roman"/>
    <w:pitch w:val="variable"/>
  </w:font>
  <w:font w:name="OpenSymbol">
    <w:altName w:val="Arial Unicode MS"/>
    <w:charset w:val="01"/>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r>
    <w:r>
      <w:rPr/>
      <w:fldChar w:fldCharType="begin"/>
    </w:r>
    <w:r>
      <w:rPr/>
      <w:instrText xml:space="preserve"> PAGE </w:instrText>
    </w:r>
    <w:r>
      <w:rPr/>
      <w:fldChar w:fldCharType="separate"/>
    </w:r>
    <w:r>
      <w:rPr/>
      <w:t>3</w:t>
    </w:r>
    <w:r>
      <w:rPr/>
      <w:fldChar w:fldCharType="end"/>
    </w:r>
    <w:r>
      <w:rPr/>
      <w:tab/>
      <w:t>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March</w:t>
    </w:r>
    <w:r>
      <w:rPr>
        <w:b/>
        <w:sz w:val="28"/>
      </w:rPr>
      <w:t xml:space="preserve"> 202</w:t>
    </w:r>
    <w:r>
      <w:rPr>
        <w:b/>
        <w:sz w:val="28"/>
      </w:rPr>
      <w:t>5</w:t>
    </w:r>
    <w:r>
      <w:rPr>
        <w:b/>
        <w:sz w:val="28"/>
      </w:rPr>
      <w:tab/>
      <w:t xml:space="preserve"> IEEE P802.15-2</w:t>
    </w:r>
    <w:r>
      <w:rPr>
        <w:b/>
        <w:sz w:val="28"/>
      </w:rPr>
      <w:t>5</w:t>
    </w:r>
    <w:r>
      <w:rPr>
        <w:b/>
        <w:sz w:val="28"/>
      </w:rPr>
      <w:t>-</w:t>
    </w:r>
    <w:r>
      <w:rPr>
        <w:b/>
        <w:sz w:val="28"/>
      </w:rPr>
      <w:t>0147</w:t>
    </w:r>
    <w:r>
      <w:rPr>
        <w:b/>
        <w:sz w:val="28"/>
      </w:rPr>
      <w:t>-0</w:t>
    </w:r>
    <w:r>
      <w:rPr>
        <w:b/>
        <w:sz w:val="28"/>
      </w:rPr>
      <w:t>0</w:t>
    </w:r>
    <w:r>
      <w:rPr>
        <w:b/>
        <w:sz w:val="28"/>
      </w:rPr>
      <w:t>-</w:t>
    </w:r>
    <w:r>
      <w:rPr>
        <w:b/>
        <w:sz w:val="28"/>
      </w:rPr>
      <w:t>04me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680"/>
        </w:tabs>
        <w:ind w:left="680" w:hanging="680"/>
      </w:pPr>
      <w:rPr/>
    </w:lvl>
    <w:lvl w:ilvl="1">
      <w:start w:val="1"/>
      <w:numFmt w:val="decimal"/>
      <w:lvlText w:val="%1.%2."/>
      <w:lvlJc w:val="left"/>
      <w:pPr>
        <w:tabs>
          <w:tab w:val="num" w:pos="680"/>
        </w:tabs>
        <w:ind w:left="680" w:hanging="680"/>
      </w:pPr>
      <w:rPr/>
    </w:lvl>
    <w:lvl w:ilvl="2">
      <w:start w:val="1"/>
      <w:numFmt w:val="decimal"/>
      <w:lvlText w:val="%1.%2.%3."/>
      <w:lvlJc w:val="left"/>
      <w:pPr>
        <w:tabs>
          <w:tab w:val="num" w:pos="680"/>
        </w:tabs>
        <w:ind w:left="680" w:hanging="680"/>
      </w:pPr>
      <w:rPr/>
    </w:lvl>
    <w:lvl w:ilvl="3">
      <w:start w:val="1"/>
      <w:numFmt w:val="decimal"/>
      <w:lvlText w:val="%1.%2.%3.%4."/>
      <w:lvlJc w:val="left"/>
      <w:pPr>
        <w:tabs>
          <w:tab w:val="num" w:pos="680"/>
        </w:tabs>
        <w:ind w:left="680" w:hanging="680"/>
      </w:pPr>
      <w:rPr/>
    </w:lvl>
    <w:lvl w:ilvl="4">
      <w:start w:val="1"/>
      <w:numFmt w:val="decimal"/>
      <w:lvlText w:val="%1.%2.%3.%4.%5."/>
      <w:lvlJc w:val="left"/>
      <w:pPr>
        <w:tabs>
          <w:tab w:val="num" w:pos="680"/>
        </w:tabs>
        <w:ind w:left="680" w:hanging="680"/>
      </w:pPr>
      <w:rPr/>
    </w:lvl>
    <w:lvl w:ilvl="5">
      <w:start w:val="1"/>
      <w:numFmt w:val="decimal"/>
      <w:lvlText w:val="%1.%2.%3.%4.%5.%6."/>
      <w:lvlJc w:val="left"/>
      <w:pPr>
        <w:tabs>
          <w:tab w:val="num" w:pos="680"/>
        </w:tabs>
        <w:ind w:left="680" w:hanging="680"/>
      </w:pPr>
      <w:rPr/>
    </w:lvl>
    <w:lvl w:ilvl="6">
      <w:start w:val="1"/>
      <w:numFmt w:val="decimal"/>
      <w:lvlText w:val="%1.%2.%3.%4.%5.%6.%7."/>
      <w:lvlJc w:val="left"/>
      <w:pPr>
        <w:tabs>
          <w:tab w:val="num" w:pos="680"/>
        </w:tabs>
        <w:ind w:left="680" w:hanging="680"/>
      </w:pPr>
      <w:rPr/>
    </w:lvl>
    <w:lvl w:ilvl="7">
      <w:start w:val="1"/>
      <w:numFmt w:val="decimal"/>
      <w:lvlText w:val="%1.%2.%3.%4.%5.%6.%7.%8."/>
      <w:lvlJc w:val="left"/>
      <w:pPr>
        <w:tabs>
          <w:tab w:val="num" w:pos="680"/>
        </w:tabs>
        <w:ind w:left="680" w:hanging="680"/>
      </w:pPr>
      <w:rPr/>
    </w:lvl>
    <w:lvl w:ilvl="8">
      <w:start w:val="1"/>
      <w:numFmt w:val="decimal"/>
      <w:lvlText w:val="%1.%2.%3.%4.%5.%6.%7.%8.%9."/>
      <w:lvlJc w:val="left"/>
      <w:pPr>
        <w:tabs>
          <w:tab w:val="num" w:pos="680"/>
        </w:tabs>
        <w:ind w:left="680" w:hanging="680"/>
      </w:pPr>
      <w:rPr/>
    </w:lvl>
  </w:abstractNum>
  <w:abstractNum w:abstractNumId="3">
    <w:lvl w:ilvl="0">
      <w:start w:val="1"/>
      <w:numFmt w:val="decimal"/>
      <w:lvlText w:val=" %1."/>
      <w:lvlJc w:val="left"/>
      <w:pPr>
        <w:tabs>
          <w:tab w:val="num" w:pos="454"/>
        </w:tabs>
        <w:ind w:left="454" w:hanging="454"/>
      </w:pPr>
      <w:rPr>
        <w:sz w:val="32"/>
        <w:b/>
        <w:rFonts w:ascii="Liberation Sans" w:hAnsi="Liberation Sans"/>
      </w:rPr>
    </w:lvl>
    <w:lvl w:ilvl="1">
      <w:start w:val="1"/>
      <w:numFmt w:val="decimal"/>
      <w:lvlText w:val=" %1.%2 "/>
      <w:lvlJc w:val="left"/>
      <w:pPr>
        <w:tabs>
          <w:tab w:val="num" w:pos="567"/>
        </w:tabs>
        <w:ind w:left="567" w:hanging="567"/>
      </w:pPr>
      <w:rPr>
        <w:sz w:val="28"/>
      </w:rPr>
    </w:lvl>
    <w:lvl w:ilvl="2">
      <w:start w:val="1"/>
      <w:numFmt w:val="decimal"/>
      <w:lvlText w:val=" %1.%2.%3 "/>
      <w:lvlJc w:val="left"/>
      <w:pPr>
        <w:tabs>
          <w:tab w:val="num" w:pos="794"/>
        </w:tabs>
        <w:ind w:left="794" w:hanging="794"/>
      </w:pPr>
      <w:rPr>
        <w:sz w:val="28"/>
      </w:rPr>
    </w:lvl>
    <w:lvl w:ilvl="3">
      <w:start w:val="1"/>
      <w:numFmt w:val="decimal"/>
      <w:lvlText w:val=" %1.%2.%3.%4 "/>
      <w:lvlJc w:val="left"/>
      <w:pPr>
        <w:tabs>
          <w:tab w:val="num" w:pos="1021"/>
        </w:tabs>
        <w:ind w:left="1021" w:hanging="1021"/>
      </w:pPr>
      <w:rPr>
        <w:sz w:val="28"/>
      </w:rPr>
    </w:lvl>
    <w:lvl w:ilvl="4">
      <w:start w:val="1"/>
      <w:numFmt w:val="decimal"/>
      <w:lvlText w:val=" %1.%2.%3.%4.%5 "/>
      <w:lvlJc w:val="left"/>
      <w:pPr>
        <w:tabs>
          <w:tab w:val="num" w:pos="1247"/>
        </w:tabs>
        <w:ind w:left="1247" w:hanging="1247"/>
      </w:pPr>
      <w:rPr>
        <w:sz w:val="28"/>
      </w:rPr>
    </w:lvl>
    <w:lvl w:ilvl="5">
      <w:start w:val="1"/>
      <w:numFmt w:val="decimal"/>
      <w:lvlText w:val=" %1.%2.%3.%4.%5.%6 "/>
      <w:lvlJc w:val="left"/>
      <w:pPr>
        <w:tabs>
          <w:tab w:val="num" w:pos="1474"/>
        </w:tabs>
        <w:ind w:left="1474" w:hanging="1474"/>
      </w:pPr>
      <w:rPr>
        <w:sz w:val="28"/>
      </w:rPr>
    </w:lvl>
    <w:lvl w:ilvl="6">
      <w:start w:val="1"/>
      <w:numFmt w:val="decimal"/>
      <w:lvlText w:val=" %1.%2.%3.%4.%5.%6.%7 "/>
      <w:lvlJc w:val="left"/>
      <w:pPr>
        <w:tabs>
          <w:tab w:val="num" w:pos="1701"/>
        </w:tabs>
        <w:ind w:left="1701" w:hanging="1701"/>
      </w:pPr>
      <w:rPr>
        <w:sz w:val="28"/>
      </w:rPr>
    </w:lvl>
    <w:lvl w:ilvl="7">
      <w:start w:val="1"/>
      <w:numFmt w:val="decimal"/>
      <w:lvlText w:val=" %1.%2.%3.%4.%5.%6.%7.%8 "/>
      <w:lvlJc w:val="left"/>
      <w:pPr>
        <w:tabs>
          <w:tab w:val="num" w:pos="1928"/>
        </w:tabs>
        <w:ind w:left="1928" w:hanging="1928"/>
      </w:pPr>
      <w:rPr>
        <w:sz w:val="28"/>
      </w:rPr>
    </w:lvl>
    <w:lvl w:ilvl="8">
      <w:start w:val="1"/>
      <w:numFmt w:val="decimal"/>
      <w:lvlText w:val=" %1.%2.%3.%4.%5.%6.%7.%8.%9 "/>
      <w:lvlJc w:val="left"/>
      <w:pPr>
        <w:tabs>
          <w:tab w:val="num" w:pos="2154"/>
        </w:tabs>
        <w:ind w:left="2154" w:hanging="2154"/>
      </w:pPr>
      <w:rPr>
        <w:sz w:val="28"/>
      </w:rPr>
    </w:lvl>
  </w:abstractNum>
  <w:abstractNum w:abstractNumId="4">
    <w:lvl w:ilvl="0">
      <w:start w:val="1"/>
      <w:numFmt w:val="bullet"/>
      <w:lvlText w:val="—"/>
      <w:lvlJc w:val="left"/>
      <w:pPr>
        <w:tabs>
          <w:tab w:val="num" w:pos="720"/>
        </w:tabs>
        <w:ind w:left="720" w:hanging="360"/>
      </w:pPr>
      <w:rPr>
        <w:rFonts w:ascii="OpenSymbol" w:hAnsi="OpenSymbol" w:cs="Open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cb4625"/>
    <w:rPr>
      <w:color w:val="0000FF" w:themeColor="hyperlink"/>
      <w:u w:val="singl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character" w:styleId="NumberingSymbols">
    <w:name w:val="Numbering Symbols"/>
    <w:qFormat/>
    <w:rPr>
      <w:rFonts w:ascii="Liberation Sans" w:hAnsi="Liberation Sans"/>
      <w:color w:val="auto"/>
      <w:sz w:val="28"/>
    </w:rPr>
  </w:style>
  <w:style w:type="character" w:styleId="Bullets">
    <w:name w:val="Bullets"/>
    <w:qFormat/>
    <w:rPr>
      <w:rFonts w:ascii="OpenSymbol" w:hAnsi="OpenSymbol" w:eastAsia="OpenSymbol" w:cs="OpenSymbol"/>
    </w:rPr>
  </w:style>
  <w:style w:type="character" w:styleId="IEEEListC">
    <w:name w:val="IEEE List C"/>
    <w:qFormat/>
    <w:rPr/>
  </w:style>
  <w:style w:type="character" w:styleId="IEEEHeadingC2">
    <w:name w:val="IEEE Heading C2"/>
    <w:basedOn w:val="IEEEHeadingC1"/>
    <w:qFormat/>
    <w:rPr>
      <w:sz w:val="28"/>
    </w:rPr>
  </w:style>
  <w:style w:type="character" w:styleId="IEEEHeadingC1">
    <w:name w:val="IEEE Heading C1"/>
    <w:qFormat/>
    <w:rPr>
      <w:rFonts w:ascii="Liberation Sans" w:hAnsi="Liberation Sans"/>
      <w:b/>
      <w:sz w:val="32"/>
    </w:rPr>
  </w:style>
  <w:style w:type="character" w:styleId="IEEEHeadingC3">
    <w:name w:val="IEEE Heading C3"/>
    <w:basedOn w:val="IEEEHeadingC2"/>
    <w:qFormat/>
    <w:rPr>
      <w:sz w:val="24"/>
    </w:rPr>
  </w:style>
  <w:style w:type="character" w:styleId="IEEECommentC">
    <w:name w:val="IEEE Comment C"/>
    <w:basedOn w:val="IEEEListC"/>
    <w:qFormat/>
    <w:rPr>
      <w:sz w:val="18"/>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tabs>
        <w:tab w:val="clear" w:pos="720"/>
      </w:tabs>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Covertext" w:customStyle="1">
    <w:name w:val="cover text"/>
    <w:basedOn w:val="Normal"/>
    <w:qFormat/>
    <w:pPr>
      <w:spacing w:before="120" w:after="120"/>
    </w:pPr>
    <w:rPr/>
  </w:style>
  <w:style w:type="paragraph" w:styleId="TableContents">
    <w:name w:val="Table Contents"/>
    <w:basedOn w:val="Normal"/>
    <w:qFormat/>
    <w:pPr>
      <w:widowControl w:val="false"/>
      <w:suppressLineNumbers/>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numPr>
        <w:ilvl w:val="0"/>
        <w:numId w:val="2"/>
      </w:numPr>
      <w:tabs>
        <w:tab w:val="clear" w:pos="720"/>
      </w:tabs>
      <w:spacing w:before="340" w:after="227"/>
      <w:ind w:left="680" w:right="0" w:hanging="680"/>
      <w:jc w:val="left"/>
    </w:pPr>
    <w:rPr>
      <w:sz w:val="28"/>
      <w:szCs w:val="36"/>
    </w:rPr>
  </w:style>
  <w:style w:type="paragraph" w:styleId="IEEEText">
    <w:name w:val="IEEE Text"/>
    <w:qFormat/>
    <w:pPr>
      <w:widowControl/>
      <w:suppressAutoHyphens w:val="true"/>
      <w:bidi w:val="0"/>
      <w:spacing w:before="170" w:after="170"/>
      <w:ind w:left="113" w:right="0" w:hanging="0"/>
      <w:jc w:val="left"/>
    </w:pPr>
    <w:rPr>
      <w:rFonts w:ascii="Times New Roman" w:hAnsi="Times New Roman" w:eastAsia="ＭＳ 明朝" w:cs="Times New Roman" w:eastAsiaTheme="minorEastAsia"/>
      <w:color w:val="auto"/>
      <w:kern w:val="0"/>
      <w:sz w:val="20"/>
      <w:szCs w:val="20"/>
      <w:lang w:val="en-US" w:eastAsia="en-US" w:bidi="ar-SA"/>
    </w:rPr>
  </w:style>
  <w:style w:type="paragraph" w:styleId="IEEEHeading2">
    <w:name w:val="IEEE Heading 2"/>
    <w:basedOn w:val="IEEEHeading1"/>
    <w:next w:val="IEEEText"/>
    <w:qFormat/>
    <w:pPr>
      <w:keepNext w:val="true"/>
      <w:numPr>
        <w:ilvl w:val="1"/>
        <w:numId w:val="3"/>
      </w:numPr>
      <w:tabs>
        <w:tab w:val="clear" w:pos="720"/>
      </w:tabs>
      <w:outlineLvl w:val="1"/>
    </w:pPr>
    <w:rPr>
      <w:rFonts w:ascii="Liberation Sans" w:hAnsi="Liberation Sans"/>
      <w:b/>
      <w:sz w:val="28"/>
    </w:rPr>
  </w:style>
  <w:style w:type="paragraph" w:styleId="IEEEHeading1">
    <w:name w:val="IEEE Heading 1"/>
    <w:next w:val="IEEEText"/>
    <w:qFormat/>
    <w:pPr>
      <w:keepNext w:val="true"/>
      <w:widowControl/>
      <w:numPr>
        <w:ilvl w:val="0"/>
        <w:numId w:val="3"/>
      </w:numPr>
      <w:suppressAutoHyphens w:val="true"/>
      <w:bidi w:val="0"/>
      <w:spacing w:before="170" w:after="170"/>
      <w:jc w:val="left"/>
      <w:outlineLvl w:val="0"/>
    </w:pPr>
    <w:rPr>
      <w:rFonts w:ascii="Liberation Sans" w:hAnsi="Liberation Sans" w:eastAsia="ＭＳ 明朝" w:cs="Times New Roman" w:eastAsiaTheme="minorEastAsia"/>
      <w:b/>
      <w:color w:val="auto"/>
      <w:kern w:val="0"/>
      <w:sz w:val="32"/>
      <w:szCs w:val="20"/>
      <w:lang w:val="en-US" w:eastAsia="en-US" w:bidi="ar-SA"/>
    </w:rPr>
  </w:style>
  <w:style w:type="paragraph" w:styleId="IEEEHeading3">
    <w:name w:val="IEEE Heading 3"/>
    <w:basedOn w:val="IEEEHeading2"/>
    <w:next w:val="IEEEText"/>
    <w:qFormat/>
    <w:pPr>
      <w:outlineLvl w:val="2"/>
    </w:pPr>
    <w:rPr>
      <w:sz w:val="24"/>
    </w:rPr>
  </w:style>
  <w:style w:type="paragraph" w:styleId="IEEEComments">
    <w:name w:val="IEEE Comments"/>
    <w:basedOn w:val="IEEEText"/>
    <w:qFormat/>
    <w:pPr>
      <w:numPr>
        <w:ilvl w:val="0"/>
        <w:numId w:val="4"/>
      </w:numPr>
      <w:spacing w:before="0" w:after="57"/>
    </w:pPr>
    <w:rPr/>
  </w:style>
  <w:style w:type="paragraph" w:styleId="IEEEResponse">
    <w:name w:val="IEEE Response"/>
    <w:basedOn w:val="IEEEText"/>
    <w:qFormat/>
    <w:pPr>
      <w:ind w:left="1134" w:right="0" w:hanging="0"/>
    </w:pPr>
    <w:rPr>
      <w:i/>
      <w:color w:val="006600"/>
    </w:rPr>
  </w:style>
  <w:style w:type="paragraph" w:styleId="IEEEResponseRed">
    <w:name w:val="IEEE Response Red"/>
    <w:basedOn w:val="IEEEResponse"/>
    <w:qFormat/>
    <w:pPr/>
    <w:rPr>
      <w:color w:val="FF0000"/>
    </w:rPr>
  </w:style>
  <w:style w:type="numbering" w:styleId="NoList" w:default="1">
    <w:name w:val="No List"/>
    <w:uiPriority w:val="99"/>
    <w:semiHidden/>
    <w:unhideWhenUsed/>
    <w:qFormat/>
  </w:style>
  <w:style w:type="numbering" w:styleId="Numbering123">
    <w:name w:val="Numbering 123"/>
    <w:qFormat/>
  </w:style>
  <w:style w:type="numbering" w:styleId="NumberingABC">
    <w:name w:val="Numbering ABC"/>
    <w:qFormat/>
  </w:style>
  <w:style w:type="numbering" w:styleId="IEEEHeadingsL">
    <w:name w:val="IEEE Headings L"/>
    <w:qFormat/>
  </w:style>
  <w:style w:type="numbering" w:styleId="IEEEListL">
    <w:name w:val="IEEE List L"/>
    <w:qFormat/>
  </w:style>
  <w:style w:type="numbering" w:styleId="Bullet">
    <w:name w:val="Bullet –"/>
    <w:qFormat/>
  </w:style>
  <w:style w:type="numbering" w:styleId="IEEECommentL">
    <w:name w:val="IEEE Comment L"/>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Application>LibreOffice/7.4.7.2$Linux_X86_64 LibreOffice_project/40$Build-2</Application>
  <AppVersion>15.0000</AppVersion>
  <Pages>3</Pages>
  <Words>480</Words>
  <Characters>2445</Characters>
  <CharactersWithSpaces>2880</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2024-09-10T09:11:45Z</dcterms:created>
  <dc:creator>Tero Kivinen</dc:creator>
  <dc:description/>
  <dc:language>en-US</dc:language>
  <cp:lastModifiedBy>Tero Kivinen</cp:lastModifiedBy>
  <dcterms:modified xsi:type="dcterms:W3CDTF">2025-03-12T09:17:30Z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