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5001" w14:textId="77777777" w:rsidR="00D517E3" w:rsidRPr="00FB0AC0" w:rsidRDefault="00D517E3" w:rsidP="00D517E3">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Pr="00FB0AC0">
        <w:rPr>
          <w:rFonts w:ascii="Times New Roman" w:eastAsia="Times New Roman" w:hAnsi="Times New Roman" w:cs="Times New Roman"/>
          <w:b/>
          <w:sz w:val="28"/>
          <w:szCs w:val="20"/>
        </w:rPr>
        <w:t>IEEE P802.15</w:t>
      </w:r>
    </w:p>
    <w:p w14:paraId="742A2AE0" w14:textId="77777777" w:rsidR="00D517E3" w:rsidRDefault="00D517E3" w:rsidP="00D517E3">
      <w:pPr>
        <w:jc w:val="center"/>
        <w:rPr>
          <w:rFonts w:ascii="Times New Roman" w:eastAsia="Times New Roman" w:hAnsi="Times New Roman" w:cs="Times New Roman"/>
          <w:b/>
          <w:sz w:val="28"/>
          <w:szCs w:val="20"/>
        </w:rPr>
      </w:pPr>
      <w:r w:rsidRPr="00321F8D">
        <w:rPr>
          <w:rFonts w:ascii="Times New Roman" w:eastAsia="Times New Roman" w:hAnsi="Times New Roman" w:cs="Times New Roman"/>
          <w:b/>
          <w:sz w:val="28"/>
          <w:szCs w:val="20"/>
        </w:rPr>
        <w:t>Wireless Specialty Networks</w:t>
      </w:r>
    </w:p>
    <w:p w14:paraId="10BBBE9A" w14:textId="77777777" w:rsidR="00D517E3" w:rsidRDefault="00D517E3" w:rsidP="00D517E3">
      <w:pPr>
        <w:jc w:val="center"/>
        <w:rPr>
          <w:b/>
          <w:sz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D517E3" w14:paraId="0CEEAE9C" w14:textId="77777777">
        <w:tc>
          <w:tcPr>
            <w:tcW w:w="1260" w:type="dxa"/>
            <w:tcBorders>
              <w:top w:val="single" w:sz="6" w:space="0" w:color="auto"/>
            </w:tcBorders>
          </w:tcPr>
          <w:p w14:paraId="0D8BCABA" w14:textId="77777777" w:rsidR="00D517E3" w:rsidRDefault="00D517E3">
            <w:pPr>
              <w:pStyle w:val="covertext"/>
            </w:pPr>
            <w:r>
              <w:t>Project</w:t>
            </w:r>
          </w:p>
        </w:tc>
        <w:tc>
          <w:tcPr>
            <w:tcW w:w="8190" w:type="dxa"/>
            <w:gridSpan w:val="2"/>
            <w:tcBorders>
              <w:top w:val="single" w:sz="6" w:space="0" w:color="auto"/>
            </w:tcBorders>
          </w:tcPr>
          <w:p w14:paraId="46ECFE90" w14:textId="77777777" w:rsidR="00D517E3" w:rsidRDefault="00D517E3">
            <w:pPr>
              <w:pStyle w:val="covertext"/>
            </w:pPr>
            <w:r>
              <w:t>IEEE P802.15 Working Group for Wireless Specialty Networks (WSNs)</w:t>
            </w:r>
          </w:p>
        </w:tc>
      </w:tr>
      <w:tr w:rsidR="00D517E3" w:rsidRPr="00083979" w14:paraId="6FAB095B" w14:textId="77777777">
        <w:tc>
          <w:tcPr>
            <w:tcW w:w="1260" w:type="dxa"/>
            <w:tcBorders>
              <w:top w:val="single" w:sz="6" w:space="0" w:color="auto"/>
            </w:tcBorders>
          </w:tcPr>
          <w:p w14:paraId="3BAD5769" w14:textId="77777777" w:rsidR="00D517E3" w:rsidRDefault="00D517E3">
            <w:pPr>
              <w:pStyle w:val="covertext"/>
            </w:pPr>
            <w:r>
              <w:t>Title</w:t>
            </w:r>
          </w:p>
        </w:tc>
        <w:tc>
          <w:tcPr>
            <w:tcW w:w="8190" w:type="dxa"/>
            <w:gridSpan w:val="2"/>
            <w:tcBorders>
              <w:top w:val="single" w:sz="6" w:space="0" w:color="auto"/>
            </w:tcBorders>
          </w:tcPr>
          <w:p w14:paraId="03FF2E97" w14:textId="2DC87EFB" w:rsidR="00D517E3" w:rsidRPr="00083979" w:rsidRDefault="00083979">
            <w:pPr>
              <w:pStyle w:val="covertext"/>
            </w:pPr>
            <w:r w:rsidRPr="00083979">
              <w:t>CID 1401: SIFS and LIFS</w:t>
            </w:r>
            <w:r>
              <w:t xml:space="preserve"> for HRP-EMDEV</w:t>
            </w:r>
          </w:p>
        </w:tc>
      </w:tr>
      <w:tr w:rsidR="00D517E3" w14:paraId="79C8A47E" w14:textId="77777777">
        <w:tc>
          <w:tcPr>
            <w:tcW w:w="1260" w:type="dxa"/>
            <w:tcBorders>
              <w:top w:val="single" w:sz="6" w:space="0" w:color="auto"/>
            </w:tcBorders>
          </w:tcPr>
          <w:p w14:paraId="0F92D23C" w14:textId="77777777" w:rsidR="00D517E3" w:rsidRDefault="00D517E3">
            <w:pPr>
              <w:pStyle w:val="covertext"/>
            </w:pPr>
            <w:r>
              <w:t>Date Submitted</w:t>
            </w:r>
          </w:p>
        </w:tc>
        <w:tc>
          <w:tcPr>
            <w:tcW w:w="8190" w:type="dxa"/>
            <w:gridSpan w:val="2"/>
            <w:tcBorders>
              <w:top w:val="single" w:sz="6" w:space="0" w:color="auto"/>
            </w:tcBorders>
          </w:tcPr>
          <w:p w14:paraId="0E980A1D" w14:textId="57CA9DAE" w:rsidR="00D517E3" w:rsidRDefault="00083979">
            <w:pPr>
              <w:pStyle w:val="covertext"/>
            </w:pPr>
            <w:r>
              <w:t>11 February 2025</w:t>
            </w:r>
          </w:p>
        </w:tc>
      </w:tr>
      <w:tr w:rsidR="00D517E3" w14:paraId="3B822416" w14:textId="77777777">
        <w:tc>
          <w:tcPr>
            <w:tcW w:w="1260" w:type="dxa"/>
            <w:tcBorders>
              <w:top w:val="single" w:sz="4" w:space="0" w:color="auto"/>
              <w:bottom w:val="single" w:sz="4" w:space="0" w:color="auto"/>
            </w:tcBorders>
          </w:tcPr>
          <w:p w14:paraId="215B6B30" w14:textId="77777777" w:rsidR="00D517E3" w:rsidRDefault="00D517E3">
            <w:pPr>
              <w:pStyle w:val="covertext"/>
            </w:pPr>
            <w:r>
              <w:t>Source</w:t>
            </w:r>
          </w:p>
        </w:tc>
        <w:tc>
          <w:tcPr>
            <w:tcW w:w="4050" w:type="dxa"/>
            <w:tcBorders>
              <w:top w:val="single" w:sz="4" w:space="0" w:color="auto"/>
              <w:bottom w:val="single" w:sz="4" w:space="0" w:color="auto"/>
            </w:tcBorders>
          </w:tcPr>
          <w:p w14:paraId="4B2BDC31" w14:textId="77777777" w:rsidR="00D517E3" w:rsidRDefault="00D517E3">
            <w:pPr>
              <w:pStyle w:val="covertext"/>
              <w:spacing w:before="0" w:after="0"/>
            </w:pPr>
            <w:r>
              <w:t>[Benjamin Rolfe]</w:t>
            </w:r>
            <w:r>
              <w:br/>
              <w:t>[Blind Creek Associates</w:t>
            </w:r>
            <w:r>
              <w:fldChar w:fldCharType="begin"/>
            </w:r>
            <w:r>
              <w:instrText xml:space="preserve"> DOCPROPERTY "Company"  \* MERGEFORMAT </w:instrText>
            </w:r>
            <w:r>
              <w:fldChar w:fldCharType="end"/>
            </w:r>
            <w:r>
              <w:t>]</w:t>
            </w:r>
          </w:p>
          <w:p w14:paraId="6CAB0FC7" w14:textId="77777777" w:rsidR="00D517E3" w:rsidRDefault="00D517E3">
            <w:pPr>
              <w:pStyle w:val="covertext"/>
              <w:spacing w:before="0" w:after="0"/>
            </w:pPr>
            <w:r>
              <w:t>[Benjamin A. Rolfe]</w:t>
            </w:r>
          </w:p>
          <w:p w14:paraId="7989262C" w14:textId="77777777" w:rsidR="00D517E3" w:rsidRDefault="00D517E3">
            <w:pPr>
              <w:pStyle w:val="covertext"/>
              <w:spacing w:before="0" w:after="0"/>
            </w:pPr>
            <w:r>
              <w:t>[BCA]</w:t>
            </w:r>
          </w:p>
        </w:tc>
        <w:tc>
          <w:tcPr>
            <w:tcW w:w="4140" w:type="dxa"/>
            <w:tcBorders>
              <w:top w:val="single" w:sz="4" w:space="0" w:color="auto"/>
              <w:bottom w:val="single" w:sz="4" w:space="0" w:color="auto"/>
            </w:tcBorders>
          </w:tcPr>
          <w:p w14:paraId="1D8A60F2" w14:textId="77777777" w:rsidR="00D517E3" w:rsidRDefault="00D517E3">
            <w:pPr>
              <w:pStyle w:val="covertext"/>
              <w:tabs>
                <w:tab w:val="left" w:pos="1152"/>
              </w:tabs>
              <w:spacing w:before="0" w:after="0"/>
            </w:pPr>
            <w:r>
              <w:t>E-mail: [</w:t>
            </w:r>
            <w:proofErr w:type="spellStart"/>
            <w:proofErr w:type="gramStart"/>
            <w:r>
              <w:t>ben.rolfe</w:t>
            </w:r>
            <w:proofErr w:type="spellEnd"/>
            <w:proofErr w:type="gramEnd"/>
            <w:r>
              <w:t xml:space="preserve"> @ ieee.org ]</w:t>
            </w:r>
          </w:p>
          <w:p w14:paraId="60B5DA3C" w14:textId="77777777" w:rsidR="00D517E3" w:rsidRPr="0061562F" w:rsidRDefault="00D517E3">
            <w:pPr>
              <w:pStyle w:val="covertext"/>
              <w:tabs>
                <w:tab w:val="left" w:pos="1152"/>
              </w:tabs>
              <w:spacing w:before="0" w:after="0"/>
            </w:pPr>
            <w:r>
              <w:t xml:space="preserve">             </w:t>
            </w:r>
          </w:p>
        </w:tc>
      </w:tr>
      <w:tr w:rsidR="00D517E3" w14:paraId="38D25B5C" w14:textId="77777777">
        <w:tc>
          <w:tcPr>
            <w:tcW w:w="1260" w:type="dxa"/>
            <w:tcBorders>
              <w:top w:val="single" w:sz="6" w:space="0" w:color="auto"/>
            </w:tcBorders>
          </w:tcPr>
          <w:p w14:paraId="0AAF363D" w14:textId="77777777" w:rsidR="00D517E3" w:rsidRDefault="00D517E3">
            <w:pPr>
              <w:pStyle w:val="covertext"/>
            </w:pPr>
            <w:r>
              <w:t>Re:</w:t>
            </w:r>
          </w:p>
        </w:tc>
        <w:tc>
          <w:tcPr>
            <w:tcW w:w="8190" w:type="dxa"/>
            <w:gridSpan w:val="2"/>
            <w:tcBorders>
              <w:top w:val="single" w:sz="6" w:space="0" w:color="auto"/>
            </w:tcBorders>
          </w:tcPr>
          <w:p w14:paraId="7EC07841" w14:textId="495490D6" w:rsidR="00D517E3" w:rsidRDefault="00537D5A">
            <w:pPr>
              <w:pStyle w:val="covertext"/>
            </w:pPr>
            <w:r>
              <w:t>LB207</w:t>
            </w:r>
            <w:r w:rsidR="00083979">
              <w:t>, CID 1401 on P802.15.4ab-D01</w:t>
            </w:r>
          </w:p>
        </w:tc>
      </w:tr>
      <w:tr w:rsidR="00D517E3" w14:paraId="2EECC994" w14:textId="77777777">
        <w:tc>
          <w:tcPr>
            <w:tcW w:w="1260" w:type="dxa"/>
            <w:tcBorders>
              <w:top w:val="single" w:sz="6" w:space="0" w:color="auto"/>
            </w:tcBorders>
          </w:tcPr>
          <w:p w14:paraId="7907BB19" w14:textId="77777777" w:rsidR="00D517E3" w:rsidRDefault="00D517E3">
            <w:pPr>
              <w:pStyle w:val="covertext"/>
            </w:pPr>
            <w:r>
              <w:t>Abstract</w:t>
            </w:r>
          </w:p>
        </w:tc>
        <w:tc>
          <w:tcPr>
            <w:tcW w:w="8190" w:type="dxa"/>
            <w:gridSpan w:val="2"/>
            <w:tcBorders>
              <w:top w:val="single" w:sz="6" w:space="0" w:color="auto"/>
            </w:tcBorders>
          </w:tcPr>
          <w:p w14:paraId="38A1B6C1" w14:textId="12288654" w:rsidR="00D517E3" w:rsidRDefault="00537D5A" w:rsidP="00083979">
            <w:pPr>
              <w:pStyle w:val="covertext"/>
            </w:pPr>
            <w:r>
              <w:t>Proposed resolutions to CID</w:t>
            </w:r>
            <w:r w:rsidR="00083979">
              <w:t xml:space="preserve"> 1401</w:t>
            </w:r>
          </w:p>
        </w:tc>
      </w:tr>
      <w:tr w:rsidR="00D517E3" w14:paraId="1C1207FF" w14:textId="77777777">
        <w:tc>
          <w:tcPr>
            <w:tcW w:w="1260" w:type="dxa"/>
            <w:tcBorders>
              <w:top w:val="single" w:sz="6" w:space="0" w:color="auto"/>
            </w:tcBorders>
          </w:tcPr>
          <w:p w14:paraId="4CFE06D6" w14:textId="77777777" w:rsidR="00D517E3" w:rsidRDefault="00D517E3">
            <w:pPr>
              <w:pStyle w:val="covertext"/>
            </w:pPr>
            <w:r>
              <w:t>Purpose</w:t>
            </w:r>
          </w:p>
        </w:tc>
        <w:tc>
          <w:tcPr>
            <w:tcW w:w="8190" w:type="dxa"/>
            <w:gridSpan w:val="2"/>
            <w:tcBorders>
              <w:top w:val="single" w:sz="6" w:space="0" w:color="auto"/>
            </w:tcBorders>
          </w:tcPr>
          <w:p w14:paraId="485911F0" w14:textId="0B21F347" w:rsidR="00D517E3" w:rsidRDefault="00083979">
            <w:pPr>
              <w:pStyle w:val="covertext"/>
            </w:pPr>
            <w:r>
              <w:t>Resolve the specific initial WG ballot (LB207) comment ID 1401</w:t>
            </w:r>
          </w:p>
        </w:tc>
      </w:tr>
      <w:tr w:rsidR="00D517E3" w14:paraId="5B6754DA" w14:textId="77777777">
        <w:tc>
          <w:tcPr>
            <w:tcW w:w="1260" w:type="dxa"/>
            <w:tcBorders>
              <w:top w:val="single" w:sz="6" w:space="0" w:color="auto"/>
              <w:bottom w:val="single" w:sz="6" w:space="0" w:color="auto"/>
            </w:tcBorders>
          </w:tcPr>
          <w:p w14:paraId="7AC97303" w14:textId="77777777" w:rsidR="00D517E3" w:rsidRDefault="00D517E3">
            <w:pPr>
              <w:pStyle w:val="covertext"/>
            </w:pPr>
            <w:r>
              <w:t>Notice</w:t>
            </w:r>
          </w:p>
        </w:tc>
        <w:tc>
          <w:tcPr>
            <w:tcW w:w="8190" w:type="dxa"/>
            <w:gridSpan w:val="2"/>
            <w:tcBorders>
              <w:top w:val="single" w:sz="6" w:space="0" w:color="auto"/>
              <w:bottom w:val="single" w:sz="6" w:space="0" w:color="auto"/>
            </w:tcBorders>
          </w:tcPr>
          <w:p w14:paraId="1D4E2ED5" w14:textId="77777777" w:rsidR="00D517E3" w:rsidRDefault="00D517E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517E3" w14:paraId="0DFDFBE2" w14:textId="77777777">
        <w:tc>
          <w:tcPr>
            <w:tcW w:w="1260" w:type="dxa"/>
            <w:tcBorders>
              <w:top w:val="single" w:sz="6" w:space="0" w:color="auto"/>
              <w:bottom w:val="single" w:sz="6" w:space="0" w:color="auto"/>
            </w:tcBorders>
          </w:tcPr>
          <w:p w14:paraId="262F273B" w14:textId="77777777" w:rsidR="00D517E3" w:rsidRDefault="00D517E3">
            <w:pPr>
              <w:pStyle w:val="covertext"/>
            </w:pPr>
            <w:r>
              <w:t>Release</w:t>
            </w:r>
          </w:p>
        </w:tc>
        <w:tc>
          <w:tcPr>
            <w:tcW w:w="8190" w:type="dxa"/>
            <w:gridSpan w:val="2"/>
            <w:tcBorders>
              <w:top w:val="single" w:sz="6" w:space="0" w:color="auto"/>
              <w:bottom w:val="single" w:sz="6" w:space="0" w:color="auto"/>
            </w:tcBorders>
          </w:tcPr>
          <w:p w14:paraId="7A00DBD2" w14:textId="77777777" w:rsidR="00D517E3" w:rsidRDefault="00D517E3">
            <w:pPr>
              <w:pStyle w:val="covertext"/>
            </w:pPr>
            <w:r>
              <w:t>The contributor acknowledges and accepts that this contribution becomes the property of IEEE and may be made publicly available by P802.15.</w:t>
            </w:r>
          </w:p>
        </w:tc>
      </w:tr>
    </w:tbl>
    <w:p w14:paraId="79236576" w14:textId="70AAEB31" w:rsidR="00324308" w:rsidRPr="00626033" w:rsidRDefault="00D517E3">
      <w:pPr>
        <w:rPr>
          <w:rFonts w:asciiTheme="majorHAnsi" w:eastAsiaTheme="majorEastAsia" w:hAnsiTheme="majorHAnsi" w:cstheme="majorBidi"/>
          <w:color w:val="0F4761" w:themeColor="accent1" w:themeShade="BF"/>
          <w:sz w:val="40"/>
          <w:szCs w:val="40"/>
        </w:rPr>
      </w:pPr>
      <w:r>
        <w:br w:type="page"/>
      </w:r>
    </w:p>
    <w:p w14:paraId="28F1C08C" w14:textId="1F5774AA" w:rsidR="00324308" w:rsidRDefault="00324308" w:rsidP="00324308">
      <w:pPr>
        <w:pStyle w:val="Heading1"/>
      </w:pPr>
      <w:r>
        <w:lastRenderedPageBreak/>
        <w:t>Introduction</w:t>
      </w:r>
    </w:p>
    <w:p w14:paraId="444F6540" w14:textId="2F2441B9" w:rsidR="00324308" w:rsidRPr="00324308" w:rsidRDefault="00324308" w:rsidP="00324308">
      <w:r>
        <w:t xml:space="preserve">This document addresses the following comment:  </w:t>
      </w:r>
    </w:p>
    <w:p w14:paraId="38A8293D" w14:textId="55E40DC9" w:rsidR="00F64CE0" w:rsidRDefault="00F64CE0">
      <w:r>
        <w:t>Comments:</w:t>
      </w:r>
    </w:p>
    <w:tbl>
      <w:tblPr>
        <w:tblStyle w:val="TableGrid"/>
        <w:tblW w:w="0" w:type="auto"/>
        <w:tblLook w:val="04A0" w:firstRow="1" w:lastRow="0" w:firstColumn="1" w:lastColumn="0" w:noHBand="0" w:noVBand="1"/>
      </w:tblPr>
      <w:tblGrid>
        <w:gridCol w:w="729"/>
        <w:gridCol w:w="755"/>
        <w:gridCol w:w="1314"/>
        <w:gridCol w:w="797"/>
        <w:gridCol w:w="2882"/>
        <w:gridCol w:w="2873"/>
      </w:tblGrid>
      <w:tr w:rsidR="006F52C9" w14:paraId="195FFA22" w14:textId="77777777" w:rsidTr="00083979">
        <w:tc>
          <w:tcPr>
            <w:tcW w:w="729" w:type="dxa"/>
          </w:tcPr>
          <w:p w14:paraId="12292C1E" w14:textId="3BE055AA" w:rsidR="006F52C9" w:rsidRDefault="006F52C9" w:rsidP="006F52C9">
            <w:pPr>
              <w:rPr>
                <w:rFonts w:ascii="Arial" w:hAnsi="Arial" w:cs="Arial"/>
                <w:b/>
                <w:bCs/>
                <w:sz w:val="20"/>
                <w:szCs w:val="20"/>
              </w:rPr>
            </w:pPr>
            <w:r>
              <w:rPr>
                <w:rFonts w:ascii="Arial" w:hAnsi="Arial" w:cs="Arial"/>
                <w:b/>
                <w:bCs/>
                <w:sz w:val="20"/>
                <w:szCs w:val="20"/>
              </w:rPr>
              <w:t>CID</w:t>
            </w:r>
          </w:p>
        </w:tc>
        <w:tc>
          <w:tcPr>
            <w:tcW w:w="755" w:type="dxa"/>
          </w:tcPr>
          <w:p w14:paraId="47018C8B" w14:textId="365F5695" w:rsidR="006F52C9" w:rsidRDefault="006F52C9" w:rsidP="006F52C9">
            <w:r>
              <w:rPr>
                <w:rFonts w:ascii="Arial" w:hAnsi="Arial" w:cs="Arial"/>
                <w:b/>
                <w:bCs/>
                <w:sz w:val="20"/>
                <w:szCs w:val="20"/>
              </w:rPr>
              <w:t>Page</w:t>
            </w:r>
          </w:p>
        </w:tc>
        <w:tc>
          <w:tcPr>
            <w:tcW w:w="1314" w:type="dxa"/>
          </w:tcPr>
          <w:p w14:paraId="2179968D" w14:textId="69E67E75" w:rsidR="006F52C9" w:rsidRDefault="006F52C9" w:rsidP="006F52C9">
            <w:r>
              <w:rPr>
                <w:rFonts w:ascii="Arial" w:hAnsi="Arial" w:cs="Arial"/>
                <w:b/>
                <w:bCs/>
                <w:sz w:val="20"/>
                <w:szCs w:val="20"/>
              </w:rPr>
              <w:t>Sub-clause</w:t>
            </w:r>
          </w:p>
        </w:tc>
        <w:tc>
          <w:tcPr>
            <w:tcW w:w="797" w:type="dxa"/>
          </w:tcPr>
          <w:p w14:paraId="509161D5" w14:textId="4E57B67C" w:rsidR="006F52C9" w:rsidRDefault="006F52C9" w:rsidP="006F52C9">
            <w:r>
              <w:rPr>
                <w:rFonts w:ascii="Arial" w:hAnsi="Arial" w:cs="Arial"/>
                <w:b/>
                <w:bCs/>
                <w:sz w:val="20"/>
                <w:szCs w:val="20"/>
              </w:rPr>
              <w:t>Line #</w:t>
            </w:r>
          </w:p>
        </w:tc>
        <w:tc>
          <w:tcPr>
            <w:tcW w:w="2882" w:type="dxa"/>
          </w:tcPr>
          <w:p w14:paraId="74631493" w14:textId="2C9FE3DB" w:rsidR="006F52C9" w:rsidRDefault="006F52C9" w:rsidP="006F52C9">
            <w:r>
              <w:rPr>
                <w:rFonts w:ascii="Arial" w:hAnsi="Arial" w:cs="Arial"/>
                <w:b/>
                <w:bCs/>
                <w:sz w:val="20"/>
                <w:szCs w:val="20"/>
              </w:rPr>
              <w:t>Comment</w:t>
            </w:r>
          </w:p>
        </w:tc>
        <w:tc>
          <w:tcPr>
            <w:tcW w:w="2873" w:type="dxa"/>
          </w:tcPr>
          <w:p w14:paraId="18193055" w14:textId="31836842" w:rsidR="006F52C9" w:rsidRDefault="006F52C9" w:rsidP="006F52C9">
            <w:r>
              <w:rPr>
                <w:rFonts w:ascii="Arial" w:hAnsi="Arial" w:cs="Arial"/>
                <w:b/>
                <w:bCs/>
                <w:sz w:val="20"/>
                <w:szCs w:val="20"/>
              </w:rPr>
              <w:t>Proposed Change</w:t>
            </w:r>
          </w:p>
        </w:tc>
      </w:tr>
      <w:tr w:rsidR="00FB6A50" w14:paraId="2902E698" w14:textId="77777777" w:rsidTr="00083979">
        <w:tc>
          <w:tcPr>
            <w:tcW w:w="729" w:type="dxa"/>
          </w:tcPr>
          <w:p w14:paraId="6E2C32A5" w14:textId="6AA205A0" w:rsidR="00FB6A50" w:rsidRDefault="00FB6A50" w:rsidP="00FB6A50">
            <w:pPr>
              <w:rPr>
                <w:rFonts w:ascii="Arial" w:hAnsi="Arial" w:cs="Arial"/>
                <w:sz w:val="20"/>
                <w:szCs w:val="20"/>
              </w:rPr>
            </w:pPr>
            <w:r w:rsidRPr="00FB6A50">
              <w:rPr>
                <w:rFonts w:ascii="Arial" w:hAnsi="Arial" w:cs="Arial"/>
                <w:sz w:val="20"/>
                <w:szCs w:val="20"/>
              </w:rPr>
              <w:t>1401</w:t>
            </w:r>
          </w:p>
        </w:tc>
        <w:tc>
          <w:tcPr>
            <w:tcW w:w="755" w:type="dxa"/>
          </w:tcPr>
          <w:p w14:paraId="2FF8FACF" w14:textId="107B9F38" w:rsidR="00FB6A50" w:rsidRDefault="00FB6A50" w:rsidP="00FB6A50">
            <w:bookmarkStart w:id="0" w:name="_Hlk182407412"/>
            <w:r>
              <w:rPr>
                <w:rFonts w:ascii="Arial" w:hAnsi="Arial" w:cs="Arial"/>
                <w:sz w:val="20"/>
                <w:szCs w:val="20"/>
              </w:rPr>
              <w:t>15</w:t>
            </w:r>
          </w:p>
        </w:tc>
        <w:tc>
          <w:tcPr>
            <w:tcW w:w="1314" w:type="dxa"/>
          </w:tcPr>
          <w:p w14:paraId="7DBAAABE" w14:textId="7197E8C1" w:rsidR="00FB6A50" w:rsidRDefault="00FB6A50" w:rsidP="00FB6A50">
            <w:r>
              <w:rPr>
                <w:rFonts w:ascii="Arial" w:hAnsi="Arial" w:cs="Arial"/>
                <w:sz w:val="20"/>
                <w:szCs w:val="20"/>
              </w:rPr>
              <w:t>6.6.3.3</w:t>
            </w:r>
          </w:p>
        </w:tc>
        <w:tc>
          <w:tcPr>
            <w:tcW w:w="797" w:type="dxa"/>
          </w:tcPr>
          <w:p w14:paraId="7D35292A" w14:textId="6BC923E7" w:rsidR="00FB6A50" w:rsidRDefault="00FB6A50" w:rsidP="00FB6A50">
            <w:r>
              <w:rPr>
                <w:rFonts w:ascii="Arial" w:hAnsi="Arial" w:cs="Arial"/>
                <w:sz w:val="20"/>
                <w:szCs w:val="20"/>
              </w:rPr>
              <w:t>24-26</w:t>
            </w:r>
          </w:p>
        </w:tc>
        <w:tc>
          <w:tcPr>
            <w:tcW w:w="2882" w:type="dxa"/>
          </w:tcPr>
          <w:p w14:paraId="7B79310E" w14:textId="46C85C81" w:rsidR="00FB6A50" w:rsidRDefault="00FB6A50" w:rsidP="00FB6A50">
            <w:r>
              <w:rPr>
                <w:rFonts w:ascii="Arial" w:hAnsi="Arial" w:cs="Arial"/>
                <w:sz w:val="20"/>
                <w:szCs w:val="20"/>
              </w:rPr>
              <w:t>Fixing AIFS, but leaving SIFS, LIFS unchanged as 12 and 40 preamble symbols seems to be conflicting with the base standard requiring AIFS&lt;SIFS&lt;LIFS.</w:t>
            </w:r>
          </w:p>
        </w:tc>
        <w:tc>
          <w:tcPr>
            <w:tcW w:w="2873" w:type="dxa"/>
          </w:tcPr>
          <w:p w14:paraId="735BEF94" w14:textId="0F91923D" w:rsidR="00FB6A50" w:rsidRDefault="00FB6A50" w:rsidP="00FB6A50">
            <w:r>
              <w:rPr>
                <w:rFonts w:ascii="Arial" w:hAnsi="Arial" w:cs="Arial"/>
                <w:sz w:val="20"/>
                <w:szCs w:val="20"/>
              </w:rPr>
              <w:t>Add definitions for SIFS and LIFS for HRP-EMDEV with adequate values.</w:t>
            </w:r>
          </w:p>
        </w:tc>
      </w:tr>
      <w:bookmarkEnd w:id="0"/>
    </w:tbl>
    <w:p w14:paraId="6A8041F4" w14:textId="77777777" w:rsidR="00F64CE0" w:rsidRDefault="00F64CE0"/>
    <w:p w14:paraId="26B8B350" w14:textId="3AB726C7" w:rsidR="00324308" w:rsidRDefault="00324308" w:rsidP="00324308">
      <w:pPr>
        <w:pStyle w:val="Heading1"/>
      </w:pPr>
      <w:r>
        <w:t>Resolutions</w:t>
      </w:r>
    </w:p>
    <w:p w14:paraId="620A9E49" w14:textId="317D4FF2" w:rsidR="00AC7EB0" w:rsidRDefault="00AC7EB0" w:rsidP="00AC7EB0">
      <w:r>
        <w:t>Add change to 11.1.4 (802.15.4-2024), second group, as indicated:</w:t>
      </w:r>
    </w:p>
    <w:p w14:paraId="25F6A789" w14:textId="12318D72" w:rsidR="00AC7EB0" w:rsidRDefault="00AC7EB0" w:rsidP="00AC7EB0">
      <w:r>
        <w:t xml:space="preserve">For the HRP UWB PHY, </w:t>
      </w:r>
      <w:r w:rsidRPr="00AC7EB0">
        <w:rPr>
          <w:color w:val="FF0000"/>
          <w:u w:val="single"/>
        </w:rPr>
        <w:t xml:space="preserve">except for </w:t>
      </w:r>
      <w:proofErr w:type="gramStart"/>
      <w:r w:rsidRPr="00AC7EB0">
        <w:rPr>
          <w:color w:val="FF0000"/>
          <w:u w:val="single"/>
        </w:rPr>
        <w:t>an HRP</w:t>
      </w:r>
      <w:proofErr w:type="gramEnd"/>
      <w:r w:rsidRPr="00AC7EB0">
        <w:rPr>
          <w:color w:val="FF0000"/>
          <w:u w:val="single"/>
        </w:rPr>
        <w:t>-EMDEV,</w:t>
      </w:r>
      <w:r w:rsidRPr="00AC7EB0">
        <w:rPr>
          <w:color w:val="FF0000"/>
        </w:rPr>
        <w:t xml:space="preserve"> </w:t>
      </w:r>
      <w:r>
        <w:t>the minimum LIFS period and SIFS period are as follows:</w:t>
      </w:r>
    </w:p>
    <w:p w14:paraId="0285F7C8" w14:textId="77777777" w:rsidR="00AC7EB0" w:rsidRDefault="00AC7EB0" w:rsidP="00AC7EB0">
      <w:r>
        <w:t xml:space="preserve">— </w:t>
      </w:r>
      <w:proofErr w:type="spellStart"/>
      <w:r>
        <w:t>macLifsPeriod</w:t>
      </w:r>
      <w:proofErr w:type="spellEnd"/>
      <w:r>
        <w:t>: 40 preamble symbols</w:t>
      </w:r>
    </w:p>
    <w:p w14:paraId="48135D5E" w14:textId="687F724B" w:rsidR="00F1678F" w:rsidRDefault="00AC7EB0" w:rsidP="00AC7EB0">
      <w:r>
        <w:t xml:space="preserve">— </w:t>
      </w:r>
      <w:proofErr w:type="spellStart"/>
      <w:r>
        <w:t>macSifsPeriod</w:t>
      </w:r>
      <w:proofErr w:type="spellEnd"/>
      <w:r>
        <w:t>: 12 preamble symbols</w:t>
      </w:r>
    </w:p>
    <w:p w14:paraId="70D40375" w14:textId="678AA90D" w:rsidR="00AC7EB0" w:rsidRDefault="00AC7EB0" w:rsidP="00AC7EB0">
      <w:pPr>
        <w:rPr>
          <w:color w:val="FF0000"/>
          <w:u w:val="single"/>
        </w:rPr>
      </w:pPr>
      <w:r>
        <w:rPr>
          <w:color w:val="FF0000"/>
          <w:u w:val="single"/>
        </w:rPr>
        <w:t>For an HRP-EMDEV the minimum LIFS period and SIFS period are as follows:</w:t>
      </w:r>
    </w:p>
    <w:p w14:paraId="6878D8EA" w14:textId="7D0FDFB3" w:rsidR="00AC7EB0" w:rsidRDefault="00AC7EB0" w:rsidP="00AC7EB0">
      <w:pPr>
        <w:rPr>
          <w:color w:val="FF0000"/>
          <w:u w:val="single"/>
        </w:rPr>
      </w:pPr>
      <w:r w:rsidRPr="00AC7EB0">
        <w:rPr>
          <w:color w:val="FF0000"/>
          <w:u w:val="single"/>
        </w:rPr>
        <w:t xml:space="preserve">— </w:t>
      </w:r>
      <w:proofErr w:type="spellStart"/>
      <w:r w:rsidRPr="00AC7EB0">
        <w:rPr>
          <w:color w:val="FF0000"/>
          <w:u w:val="single"/>
        </w:rPr>
        <w:t>macLifsPeriod</w:t>
      </w:r>
      <w:proofErr w:type="spellEnd"/>
      <w:r>
        <w:rPr>
          <w:color w:val="FF0000"/>
          <w:u w:val="single"/>
        </w:rPr>
        <w:t>:</w:t>
      </w:r>
      <w:r w:rsidR="00DC703C">
        <w:rPr>
          <w:color w:val="FF0000"/>
          <w:u w:val="single"/>
        </w:rPr>
        <w:t xml:space="preserve"> Value of </w:t>
      </w:r>
      <w:proofErr w:type="spellStart"/>
      <w:r w:rsidR="00DC703C" w:rsidRPr="00DC703C">
        <w:rPr>
          <w:color w:val="FF0000"/>
          <w:u w:val="single"/>
        </w:rPr>
        <w:t>macEmdevImmAckAifsPeriod</w:t>
      </w:r>
      <w:proofErr w:type="spellEnd"/>
      <w:r w:rsidR="00DC703C">
        <w:rPr>
          <w:color w:val="FF0000"/>
          <w:u w:val="single"/>
        </w:rPr>
        <w:t xml:space="preserve"> + 28 preamble symbols</w:t>
      </w:r>
    </w:p>
    <w:p w14:paraId="097A2C67" w14:textId="51E6A2D3" w:rsidR="00DC703C" w:rsidRDefault="00DC703C" w:rsidP="00AC7EB0">
      <w:pPr>
        <w:rPr>
          <w:color w:val="FF0000"/>
          <w:u w:val="single"/>
        </w:rPr>
      </w:pPr>
      <w:r w:rsidRPr="008D6792">
        <w:rPr>
          <w:color w:val="FF0000"/>
          <w:u w:val="single"/>
        </w:rPr>
        <w:t xml:space="preserve">— </w:t>
      </w:r>
      <w:proofErr w:type="spellStart"/>
      <w:r w:rsidRPr="008D6792">
        <w:rPr>
          <w:color w:val="FF0000"/>
          <w:u w:val="single"/>
        </w:rPr>
        <w:t>macSifsPeriod</w:t>
      </w:r>
      <w:proofErr w:type="spellEnd"/>
      <w:r w:rsidRPr="008D6792">
        <w:rPr>
          <w:color w:val="FF0000"/>
          <w:u w:val="single"/>
        </w:rPr>
        <w:t>:</w:t>
      </w:r>
      <w:r w:rsidRPr="008D6792">
        <w:rPr>
          <w:color w:val="FF0000"/>
        </w:rPr>
        <w:t xml:space="preserve">  </w:t>
      </w:r>
      <w:r>
        <w:rPr>
          <w:color w:val="FF0000"/>
          <w:u w:val="single"/>
        </w:rPr>
        <w:t xml:space="preserve">Value of </w:t>
      </w:r>
      <w:proofErr w:type="spellStart"/>
      <w:r w:rsidRPr="00DC703C">
        <w:rPr>
          <w:color w:val="FF0000"/>
          <w:u w:val="single"/>
        </w:rPr>
        <w:t>macEmdevImmAckAifsPeriod</w:t>
      </w:r>
      <w:proofErr w:type="spellEnd"/>
    </w:p>
    <w:p w14:paraId="0E9E9345" w14:textId="77777777" w:rsidR="00845B78" w:rsidRDefault="00845B78" w:rsidP="00845B78">
      <w:pPr>
        <w:pStyle w:val="Heading1"/>
      </w:pPr>
      <w:r>
        <w:t>Discussion</w:t>
      </w:r>
    </w:p>
    <w:p w14:paraId="11BCBBA7" w14:textId="77777777" w:rsidR="00D3782D" w:rsidRDefault="00D3782D" w:rsidP="00D3782D">
      <w:r>
        <w:t>The comment correctly observes that for some PHY configurations LIFS as specified in the base standard can be less than the AIFS specified in 802.15.4ab-D1 draft for HRP-EMDEVs (~40</w:t>
      </w:r>
      <w:r w:rsidRPr="00E578CE">
        <w:t>µs</w:t>
      </w:r>
      <w:r>
        <w:t xml:space="preserve">).   This violates the constraint stated in the base standard that </w:t>
      </w:r>
      <w:r w:rsidRPr="00DC703C">
        <w:t xml:space="preserve">AIFS </w:t>
      </w:r>
      <w:proofErr w:type="gramStart"/>
      <w:r>
        <w:t xml:space="preserve">≤  </w:t>
      </w:r>
      <w:r w:rsidRPr="00DC703C">
        <w:t>SIFS</w:t>
      </w:r>
      <w:proofErr w:type="gramEnd"/>
      <w:r w:rsidRPr="00DC703C">
        <w:t xml:space="preserve"> &lt; LIFS</w:t>
      </w:r>
      <w:r>
        <w:t xml:space="preserve"> [802.15.4-2024, </w:t>
      </w:r>
      <w:r w:rsidRPr="008316C0">
        <w:t>6.3.1</w:t>
      </w:r>
      <w:r>
        <w:t xml:space="preserve">].  </w:t>
      </w:r>
    </w:p>
    <w:p w14:paraId="0ECCB29C" w14:textId="77777777" w:rsidR="00C575E9" w:rsidRDefault="00845B78" w:rsidP="00845B78">
      <w:r>
        <w:t xml:space="preserve">With the addition of the </w:t>
      </w:r>
      <w:proofErr w:type="gramStart"/>
      <w:r>
        <w:t xml:space="preserve">attribute  </w:t>
      </w:r>
      <w:proofErr w:type="spellStart"/>
      <w:r w:rsidRPr="007F0AB6">
        <w:rPr>
          <w:i/>
          <w:iCs/>
        </w:rPr>
        <w:t>macEmdevImmAckAifsPeriod</w:t>
      </w:r>
      <w:proofErr w:type="spellEnd"/>
      <w:proofErr w:type="gramEnd"/>
      <w:r w:rsidRPr="007F0AB6">
        <w:t xml:space="preserve">  </w:t>
      </w:r>
      <w:r>
        <w:t xml:space="preserve">the value of AIFS </w:t>
      </w:r>
      <w:r w:rsidR="00C575E9">
        <w:t xml:space="preserve">when operating as a </w:t>
      </w:r>
      <w:r w:rsidRPr="007F0AB6">
        <w:t>HRP-EMDEV</w:t>
      </w:r>
      <w:r>
        <w:t xml:space="preserve"> can be 16,</w:t>
      </w:r>
      <w:r w:rsidR="00083979">
        <w:t xml:space="preserve"> </w:t>
      </w:r>
      <w:r>
        <w:t xml:space="preserve">32 or 64 </w:t>
      </w:r>
      <w:bookmarkStart w:id="1" w:name="_Hlk190149234"/>
      <w:r w:rsidRPr="007F0AB6">
        <w:t>µs</w:t>
      </w:r>
      <w:bookmarkEnd w:id="1"/>
      <w:r>
        <w:t xml:space="preserve">.  AIFS specifies the </w:t>
      </w:r>
      <w:r w:rsidR="00D3782D" w:rsidRPr="00D3782D">
        <w:rPr>
          <w:i/>
          <w:iCs/>
        </w:rPr>
        <w:t>maximum</w:t>
      </w:r>
      <w:r w:rsidR="00D3782D">
        <w:t xml:space="preserve"> </w:t>
      </w:r>
      <w:r>
        <w:t xml:space="preserve">time allowed for generating the </w:t>
      </w:r>
      <w:proofErr w:type="spellStart"/>
      <w:r>
        <w:t>Imm</w:t>
      </w:r>
      <w:proofErr w:type="spellEnd"/>
      <w:r>
        <w:t xml:space="preserve">-Ack following reception of a frame with the </w:t>
      </w:r>
      <w:r w:rsidRPr="00ED43F6">
        <w:t>Acknowledgment request (AR) field</w:t>
      </w:r>
      <w:r>
        <w:t xml:space="preserve"> set.  In the base standard, the </w:t>
      </w:r>
      <w:proofErr w:type="spellStart"/>
      <w:r>
        <w:t>Imm</w:t>
      </w:r>
      <w:proofErr w:type="spellEnd"/>
      <w:r>
        <w:t xml:space="preserve">-Ack response time </w:t>
      </w:r>
      <w:r>
        <w:lastRenderedPageBreak/>
        <w:t xml:space="preserve">AIFS is related to the short interframe spacing (SIFS) and long interframe spacing (SIFS). The exact reason for this is obscured by the passage of time.  </w:t>
      </w:r>
      <w:r w:rsidR="00083979">
        <w:t xml:space="preserve">LIFS and SIFS are minimum interframe spacings, following a long or short frame, respectively.  </w:t>
      </w:r>
      <w:r w:rsidR="008316C0">
        <w:t>Actual interframe spacings (the time between subsequent transmissions from a given transmitting device) may be greater</w:t>
      </w:r>
      <w:r w:rsidR="00E578CE">
        <w:t xml:space="preserve">. </w:t>
      </w:r>
      <w:r w:rsidR="00C575E9">
        <w:t xml:space="preserve"> </w:t>
      </w:r>
      <w:r>
        <w:t xml:space="preserve">The present specification </w:t>
      </w:r>
      <w:r w:rsidR="008316C0">
        <w:t>for</w:t>
      </w:r>
      <w:r w:rsidR="00EB7124">
        <w:t xml:space="preserve"> </w:t>
      </w:r>
      <w:r w:rsidR="00C575E9">
        <w:t xml:space="preserve">SIFS is 12 </w:t>
      </w:r>
      <w:r w:rsidR="00D3782D">
        <w:t xml:space="preserve">preamble </w:t>
      </w:r>
      <w:r w:rsidR="008316C0">
        <w:t xml:space="preserve">symbol </w:t>
      </w:r>
      <w:r w:rsidR="00B520FA">
        <w:t>durations</w:t>
      </w:r>
      <w:r w:rsidR="008316C0">
        <w:t xml:space="preserve"> [802.15.4-2024 </w:t>
      </w:r>
      <w:r w:rsidR="00C575E9">
        <w:t>11.1.4</w:t>
      </w:r>
      <w:r w:rsidR="008316C0">
        <w:t>]</w:t>
      </w:r>
      <w:r w:rsidR="00EB7124">
        <w:t xml:space="preserve">.  </w:t>
      </w:r>
      <w:r>
        <w:t xml:space="preserve"> The preamble symbol durations vary based on PHY configuration.</w:t>
      </w:r>
    </w:p>
    <w:tbl>
      <w:tblPr>
        <w:tblStyle w:val="TableGrid"/>
        <w:tblW w:w="0" w:type="auto"/>
        <w:tblLook w:val="04A0" w:firstRow="1" w:lastRow="0" w:firstColumn="1" w:lastColumn="0" w:noHBand="0" w:noVBand="1"/>
      </w:tblPr>
      <w:tblGrid>
        <w:gridCol w:w="1994"/>
        <w:gridCol w:w="772"/>
        <w:gridCol w:w="1800"/>
        <w:gridCol w:w="1890"/>
        <w:gridCol w:w="1800"/>
      </w:tblGrid>
      <w:tr w:rsidR="00C575E9" w:rsidRPr="00C36B31" w14:paraId="49224B12" w14:textId="77777777" w:rsidTr="002317F1">
        <w:tc>
          <w:tcPr>
            <w:tcW w:w="1994" w:type="dxa"/>
          </w:tcPr>
          <w:p w14:paraId="187AB9F8" w14:textId="77777777" w:rsidR="00C575E9" w:rsidRDefault="00C575E9" w:rsidP="002317F1">
            <w:proofErr w:type="spellStart"/>
            <w:r>
              <w:t>Psym</w:t>
            </w:r>
            <w:proofErr w:type="spellEnd"/>
            <w:r>
              <w:t xml:space="preserve"> Duration</w:t>
            </w:r>
          </w:p>
        </w:tc>
        <w:tc>
          <w:tcPr>
            <w:tcW w:w="724" w:type="dxa"/>
          </w:tcPr>
          <w:p w14:paraId="373D230E" w14:textId="77777777" w:rsidR="00C575E9" w:rsidRDefault="00C575E9" w:rsidP="002317F1"/>
        </w:tc>
        <w:tc>
          <w:tcPr>
            <w:tcW w:w="1800" w:type="dxa"/>
          </w:tcPr>
          <w:p w14:paraId="3F76A042" w14:textId="77777777" w:rsidR="00C575E9" w:rsidRDefault="00C575E9" w:rsidP="002317F1">
            <w:r>
              <w:t xml:space="preserve"> </w:t>
            </w:r>
            <w:r w:rsidRPr="00C36B31">
              <w:t>993.59</w:t>
            </w:r>
            <w:r>
              <w:t xml:space="preserve"> </w:t>
            </w:r>
            <w:proofErr w:type="spellStart"/>
            <w:r>
              <w:t>nanosec</w:t>
            </w:r>
            <w:proofErr w:type="spellEnd"/>
          </w:p>
        </w:tc>
        <w:tc>
          <w:tcPr>
            <w:tcW w:w="1890" w:type="dxa"/>
          </w:tcPr>
          <w:p w14:paraId="44EEEB74" w14:textId="77777777" w:rsidR="00C575E9" w:rsidRDefault="00C575E9" w:rsidP="002317F1">
            <w:r w:rsidRPr="00C36B31">
              <w:t>1017.63</w:t>
            </w:r>
            <w:r>
              <w:t xml:space="preserve"> </w:t>
            </w:r>
            <w:proofErr w:type="spellStart"/>
            <w:r>
              <w:t>nanosec</w:t>
            </w:r>
            <w:proofErr w:type="spellEnd"/>
          </w:p>
        </w:tc>
        <w:tc>
          <w:tcPr>
            <w:tcW w:w="1800" w:type="dxa"/>
          </w:tcPr>
          <w:p w14:paraId="1CCB9510" w14:textId="77777777" w:rsidR="00C575E9" w:rsidRPr="00C36B31" w:rsidRDefault="00C575E9" w:rsidP="002317F1">
            <w:r w:rsidRPr="00C36B31">
              <w:t>3974.36</w:t>
            </w:r>
            <w:r>
              <w:t xml:space="preserve"> </w:t>
            </w:r>
            <w:proofErr w:type="spellStart"/>
            <w:r>
              <w:t>nanosec</w:t>
            </w:r>
            <w:proofErr w:type="spellEnd"/>
          </w:p>
        </w:tc>
      </w:tr>
      <w:tr w:rsidR="00C575E9" w14:paraId="1220FC13" w14:textId="77777777" w:rsidTr="002317F1">
        <w:tc>
          <w:tcPr>
            <w:tcW w:w="1994" w:type="dxa"/>
          </w:tcPr>
          <w:p w14:paraId="43A6DD96" w14:textId="77777777" w:rsidR="00C575E9" w:rsidRDefault="00C575E9" w:rsidP="002317F1"/>
        </w:tc>
        <w:tc>
          <w:tcPr>
            <w:tcW w:w="724" w:type="dxa"/>
          </w:tcPr>
          <w:p w14:paraId="738F9A7B" w14:textId="77777777" w:rsidR="00C575E9" w:rsidRDefault="00C575E9" w:rsidP="002317F1">
            <w:r>
              <w:t>#sym</w:t>
            </w:r>
          </w:p>
        </w:tc>
        <w:tc>
          <w:tcPr>
            <w:tcW w:w="1800" w:type="dxa"/>
          </w:tcPr>
          <w:p w14:paraId="67265C77" w14:textId="77777777" w:rsidR="00C575E9" w:rsidRDefault="00C575E9" w:rsidP="002317F1"/>
        </w:tc>
        <w:tc>
          <w:tcPr>
            <w:tcW w:w="1890" w:type="dxa"/>
          </w:tcPr>
          <w:p w14:paraId="45B61DC4" w14:textId="77777777" w:rsidR="00C575E9" w:rsidRDefault="00C575E9" w:rsidP="002317F1"/>
        </w:tc>
        <w:tc>
          <w:tcPr>
            <w:tcW w:w="1800" w:type="dxa"/>
          </w:tcPr>
          <w:p w14:paraId="76A0CE8D" w14:textId="77777777" w:rsidR="00C575E9" w:rsidRDefault="00C575E9" w:rsidP="002317F1"/>
        </w:tc>
      </w:tr>
      <w:tr w:rsidR="00C575E9" w14:paraId="39218E60" w14:textId="77777777" w:rsidTr="002317F1">
        <w:tc>
          <w:tcPr>
            <w:tcW w:w="1994" w:type="dxa"/>
          </w:tcPr>
          <w:p w14:paraId="16731A54" w14:textId="2C31877C" w:rsidR="00C575E9" w:rsidRDefault="00C575E9" w:rsidP="002317F1">
            <w:r>
              <w:t xml:space="preserve">LIFS </w:t>
            </w:r>
            <w:r>
              <w:t xml:space="preserve"> </w:t>
            </w:r>
          </w:p>
        </w:tc>
        <w:tc>
          <w:tcPr>
            <w:tcW w:w="724" w:type="dxa"/>
          </w:tcPr>
          <w:p w14:paraId="58C5CF8C" w14:textId="77777777" w:rsidR="00C575E9" w:rsidRDefault="00C575E9" w:rsidP="002317F1">
            <w:r>
              <w:t>12</w:t>
            </w:r>
          </w:p>
        </w:tc>
        <w:tc>
          <w:tcPr>
            <w:tcW w:w="1800" w:type="dxa"/>
          </w:tcPr>
          <w:p w14:paraId="37B80F31" w14:textId="77777777" w:rsidR="00C575E9" w:rsidRDefault="00C575E9" w:rsidP="002317F1">
            <w:r w:rsidRPr="00573876">
              <w:t>11.923</w:t>
            </w:r>
          </w:p>
        </w:tc>
        <w:tc>
          <w:tcPr>
            <w:tcW w:w="1890" w:type="dxa"/>
          </w:tcPr>
          <w:p w14:paraId="2B2BA2C5" w14:textId="77777777" w:rsidR="00C575E9" w:rsidRDefault="00C575E9" w:rsidP="002317F1">
            <w:r w:rsidRPr="00573876">
              <w:t>12.212</w:t>
            </w:r>
          </w:p>
        </w:tc>
        <w:tc>
          <w:tcPr>
            <w:tcW w:w="1800" w:type="dxa"/>
          </w:tcPr>
          <w:p w14:paraId="44101C7C" w14:textId="77777777" w:rsidR="00C575E9" w:rsidRDefault="00C575E9" w:rsidP="002317F1">
            <w:r w:rsidRPr="00573876">
              <w:t xml:space="preserve"> 47.692</w:t>
            </w:r>
          </w:p>
        </w:tc>
      </w:tr>
      <w:tr w:rsidR="00C575E9" w14:paraId="1F593E9F" w14:textId="77777777" w:rsidTr="002317F1">
        <w:tc>
          <w:tcPr>
            <w:tcW w:w="1994" w:type="dxa"/>
          </w:tcPr>
          <w:p w14:paraId="575FBDBC" w14:textId="77777777" w:rsidR="00C575E9" w:rsidRDefault="00C575E9" w:rsidP="002317F1">
            <w:r>
              <w:t xml:space="preserve">SIFS </w:t>
            </w:r>
            <w:r>
              <w:rPr>
                <w:rFonts w:cstheme="minorHAnsi"/>
              </w:rPr>
              <w:t>µ</w:t>
            </w:r>
            <w:r>
              <w:t>s</w:t>
            </w:r>
          </w:p>
        </w:tc>
        <w:tc>
          <w:tcPr>
            <w:tcW w:w="724" w:type="dxa"/>
          </w:tcPr>
          <w:p w14:paraId="0EFEAC5E" w14:textId="77777777" w:rsidR="00C575E9" w:rsidRDefault="00C575E9" w:rsidP="002317F1">
            <w:r>
              <w:t>40</w:t>
            </w:r>
          </w:p>
        </w:tc>
        <w:tc>
          <w:tcPr>
            <w:tcW w:w="1800" w:type="dxa"/>
          </w:tcPr>
          <w:p w14:paraId="5B27482C" w14:textId="77777777" w:rsidR="00C575E9" w:rsidRDefault="00C575E9" w:rsidP="002317F1">
            <w:r w:rsidRPr="00C81A24">
              <w:t>39.744</w:t>
            </w:r>
          </w:p>
        </w:tc>
        <w:tc>
          <w:tcPr>
            <w:tcW w:w="1890" w:type="dxa"/>
          </w:tcPr>
          <w:p w14:paraId="0D089867" w14:textId="77777777" w:rsidR="00C575E9" w:rsidRDefault="00C575E9" w:rsidP="002317F1">
            <w:r w:rsidRPr="00C81A24">
              <w:t>40.705</w:t>
            </w:r>
          </w:p>
        </w:tc>
        <w:tc>
          <w:tcPr>
            <w:tcW w:w="1800" w:type="dxa"/>
          </w:tcPr>
          <w:p w14:paraId="1DCB67C9" w14:textId="77777777" w:rsidR="00C575E9" w:rsidRDefault="00C575E9" w:rsidP="002317F1">
            <w:r w:rsidRPr="00C81A24">
              <w:t>158.974</w:t>
            </w:r>
          </w:p>
        </w:tc>
      </w:tr>
    </w:tbl>
    <w:p w14:paraId="352E165A" w14:textId="77777777" w:rsidR="00C575E9" w:rsidRDefault="00C575E9" w:rsidP="00845B78"/>
    <w:p w14:paraId="6ED59A0B" w14:textId="77777777" w:rsidR="00C575E9" w:rsidRDefault="00C575E9" w:rsidP="00845B78">
      <w:r>
        <w:t xml:space="preserve">Thus combinations of AIFS, LIFS and SIFS </w:t>
      </w:r>
      <w:proofErr w:type="gramStart"/>
      <w:r>
        <w:t xml:space="preserve">may </w:t>
      </w:r>
      <w:r w:rsidR="00845B78">
        <w:t xml:space="preserve"> </w:t>
      </w:r>
      <w:r>
        <w:t>violate</w:t>
      </w:r>
      <w:proofErr w:type="gramEnd"/>
      <w:r>
        <w:t xml:space="preserve"> the constraint.  By setting LIFS to the currently selected AIFS and LIFS to a value greater than this, we assure that </w:t>
      </w:r>
      <w:r w:rsidR="00845B78" w:rsidRPr="00DC703C">
        <w:t xml:space="preserve">AIFS </w:t>
      </w:r>
      <w:proofErr w:type="gramStart"/>
      <w:r w:rsidR="00E578CE">
        <w:t xml:space="preserve">≤ </w:t>
      </w:r>
      <w:r w:rsidR="00845B78">
        <w:t xml:space="preserve"> </w:t>
      </w:r>
      <w:r w:rsidR="00845B78" w:rsidRPr="00DC703C">
        <w:t>SIFS</w:t>
      </w:r>
      <w:proofErr w:type="gramEnd"/>
      <w:r w:rsidR="00845B78" w:rsidRPr="00DC703C">
        <w:t xml:space="preserve"> &lt; LIFS</w:t>
      </w:r>
      <w:r w:rsidR="00845B78">
        <w:t>, the LIFS period needs to be greater than AIFS and SIFS.</w:t>
      </w:r>
    </w:p>
    <w:p w14:paraId="2BDB1417" w14:textId="7B82517D" w:rsidR="00845B78" w:rsidRPr="00FB6A50" w:rsidRDefault="00C575E9" w:rsidP="00FB6A50">
      <w:r>
        <w:t xml:space="preserve">This </w:t>
      </w:r>
      <w:r w:rsidR="00845B78">
        <w:t>maintain</w:t>
      </w:r>
      <w:r>
        <w:t>s</w:t>
      </w:r>
      <w:r w:rsidR="00845B78">
        <w:t xml:space="preserve"> </w:t>
      </w:r>
      <w:r w:rsidR="008316C0">
        <w:t xml:space="preserve">the </w:t>
      </w:r>
      <w:r w:rsidR="00845B78">
        <w:t>relationship</w:t>
      </w:r>
      <w:r w:rsidR="008316C0">
        <w:t xml:space="preserve"> </w:t>
      </w:r>
      <w:r>
        <w:t xml:space="preserve">between AIFS, LIFS and SIFS </w:t>
      </w:r>
      <w:r w:rsidR="008316C0">
        <w:t>as defined in the base standard</w:t>
      </w:r>
      <w:r w:rsidR="00845B78">
        <w:t xml:space="preserve">.  </w:t>
      </w:r>
      <w:r>
        <w:t xml:space="preserve">  </w:t>
      </w:r>
    </w:p>
    <w:sectPr w:rsidR="00845B78" w:rsidRPr="00FB6A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4323C" w14:textId="77777777" w:rsidR="00121B5F" w:rsidRDefault="00121B5F" w:rsidP="00D517E3">
      <w:pPr>
        <w:spacing w:after="0" w:line="240" w:lineRule="auto"/>
      </w:pPr>
      <w:r>
        <w:separator/>
      </w:r>
    </w:p>
  </w:endnote>
  <w:endnote w:type="continuationSeparator" w:id="0">
    <w:p w14:paraId="57FEADA5" w14:textId="77777777" w:rsidR="00121B5F" w:rsidRDefault="00121B5F" w:rsidP="00D5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63EF0" w14:textId="25D6C27D" w:rsidR="00D517E3" w:rsidRPr="00321F8D" w:rsidRDefault="00D517E3" w:rsidP="00D517E3">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lang w:val="fr-CA"/>
      </w:rPr>
    </w:pPr>
    <w:r w:rsidRPr="00321F8D">
      <w:rPr>
        <w:rFonts w:ascii="Times New Roman" w:eastAsia="Times New Roman" w:hAnsi="Times New Roman" w:cs="Times New Roman"/>
        <w:szCs w:val="20"/>
        <w:lang w:val="fr-CA"/>
      </w:rPr>
      <w:t>Submission</w:t>
    </w:r>
    <w:r w:rsidRPr="00321F8D">
      <w:rPr>
        <w:rFonts w:ascii="Times New Roman" w:eastAsia="Times New Roman" w:hAnsi="Times New Roman" w:cs="Times New Roman"/>
        <w:szCs w:val="20"/>
        <w:lang w:val="fr-CA"/>
      </w:rPr>
      <w:tab/>
      <w:t xml:space="preserve">Page </w:t>
    </w:r>
    <w:r w:rsidRPr="00FB0AC0">
      <w:rPr>
        <w:rFonts w:ascii="Times New Roman" w:eastAsia="Times New Roman" w:hAnsi="Times New Roman" w:cs="Times New Roman"/>
        <w:szCs w:val="20"/>
      </w:rPr>
      <w:pgNum/>
    </w:r>
    <w:r w:rsidRPr="00321F8D">
      <w:rPr>
        <w:rFonts w:ascii="Times New Roman" w:eastAsia="Times New Roman" w:hAnsi="Times New Roman" w:cs="Times New Roman"/>
        <w:szCs w:val="20"/>
        <w:lang w:val="fr-CA"/>
      </w:rPr>
      <w:tab/>
      <w:t xml:space="preserve">Benjamin A. Rolfe (BCA, et al) </w:t>
    </w:r>
  </w:p>
  <w:p w14:paraId="2869414D" w14:textId="77777777" w:rsidR="00D517E3" w:rsidRPr="00321F8D" w:rsidRDefault="00D517E3" w:rsidP="00D517E3">
    <w:pPr>
      <w:pStyle w:val="Footer"/>
      <w:rPr>
        <w:lang w:val="fr-CA"/>
      </w:rPr>
    </w:pPr>
  </w:p>
  <w:p w14:paraId="535D525C" w14:textId="3AB75222" w:rsidR="00D517E3" w:rsidRPr="00D517E3" w:rsidRDefault="00D517E3">
    <w:pPr>
      <w:pStyle w:val="Footer"/>
      <w:rPr>
        <w:lang w:val="fr-CA"/>
      </w:rPr>
    </w:pPr>
  </w:p>
  <w:p w14:paraId="47EF765A" w14:textId="77777777" w:rsidR="00D517E3" w:rsidRPr="00D517E3" w:rsidRDefault="00D517E3">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5E39D" w14:textId="77777777" w:rsidR="00121B5F" w:rsidRDefault="00121B5F" w:rsidP="00D517E3">
      <w:pPr>
        <w:spacing w:after="0" w:line="240" w:lineRule="auto"/>
      </w:pPr>
      <w:r>
        <w:separator/>
      </w:r>
    </w:p>
  </w:footnote>
  <w:footnote w:type="continuationSeparator" w:id="0">
    <w:p w14:paraId="77AFFE90" w14:textId="77777777" w:rsidR="00121B5F" w:rsidRDefault="00121B5F" w:rsidP="00D51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5099" w14:textId="7D2F3AA0" w:rsidR="00D517E3" w:rsidRPr="00D517E3" w:rsidRDefault="007F0AB6" w:rsidP="00D517E3">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February</w:t>
    </w:r>
    <w:r w:rsidR="00BD107B">
      <w:rPr>
        <w:rFonts w:ascii="Times New Roman" w:hAnsi="Times New Roman" w:cs="Times New Roman"/>
        <w:b/>
        <w:sz w:val="28"/>
      </w:rPr>
      <w:t xml:space="preserve"> 2025</w:t>
    </w:r>
    <w:r w:rsidR="00D517E3" w:rsidRPr="00FB0AC0">
      <w:rPr>
        <w:rFonts w:ascii="Times New Roman" w:hAnsi="Times New Roman" w:cs="Times New Roman"/>
        <w:b/>
        <w:sz w:val="28"/>
      </w:rPr>
      <w:tab/>
      <w:t xml:space="preserve"> </w:t>
    </w:r>
    <w:r w:rsidR="00D517E3" w:rsidRPr="00FB0AC0">
      <w:rPr>
        <w:rFonts w:ascii="Times New Roman" w:hAnsi="Times New Roman" w:cs="Times New Roman"/>
        <w:b/>
        <w:sz w:val="28"/>
      </w:rPr>
      <w:tab/>
      <w:t xml:space="preserve">Doc: IEEE </w:t>
    </w:r>
    <w:r w:rsidR="00537D5A" w:rsidRPr="00537D5A">
      <w:rPr>
        <w:rFonts w:ascii="Times New Roman" w:hAnsi="Times New Roman" w:cs="Times New Roman"/>
        <w:b/>
        <w:sz w:val="28"/>
      </w:rPr>
      <w:t>15-2</w:t>
    </w:r>
    <w:r>
      <w:rPr>
        <w:rFonts w:ascii="Times New Roman" w:hAnsi="Times New Roman" w:cs="Times New Roman"/>
        <w:b/>
        <w:sz w:val="28"/>
      </w:rPr>
      <w:t>5</w:t>
    </w:r>
    <w:r w:rsidR="00537D5A" w:rsidRPr="00537D5A">
      <w:rPr>
        <w:rFonts w:ascii="Times New Roman" w:hAnsi="Times New Roman" w:cs="Times New Roman"/>
        <w:b/>
        <w:sz w:val="28"/>
      </w:rPr>
      <w:t>-0</w:t>
    </w:r>
    <w:r>
      <w:rPr>
        <w:rFonts w:ascii="Times New Roman" w:hAnsi="Times New Roman" w:cs="Times New Roman"/>
        <w:b/>
        <w:sz w:val="28"/>
      </w:rPr>
      <w:t>088</w:t>
    </w:r>
    <w:r w:rsidR="00537D5A" w:rsidRPr="00537D5A">
      <w:rPr>
        <w:rFonts w:ascii="Times New Roman" w:hAnsi="Times New Roman" w:cs="Times New Roman"/>
        <w:b/>
        <w:sz w:val="28"/>
      </w:rPr>
      <w:t>-0</w:t>
    </w:r>
    <w:r w:rsidR="00E578CE">
      <w:rPr>
        <w:rFonts w:ascii="Times New Roman" w:hAnsi="Times New Roman" w:cs="Times New Roman"/>
        <w:b/>
        <w:sz w:val="28"/>
      </w:rPr>
      <w:t>1</w:t>
    </w:r>
    <w:r w:rsidR="00537D5A" w:rsidRPr="00537D5A">
      <w:rPr>
        <w:rFonts w:ascii="Times New Roman" w:hAnsi="Times New Roman" w:cs="Times New Roman"/>
        <w:b/>
        <w:sz w:val="28"/>
      </w:rPr>
      <w:t>-04ab</w:t>
    </w:r>
  </w:p>
  <w:p w14:paraId="4B4579F7" w14:textId="77777777" w:rsidR="00D517E3" w:rsidRDefault="00D51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001F"/>
    <w:multiLevelType w:val="hybridMultilevel"/>
    <w:tmpl w:val="C9A67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87BAC"/>
    <w:multiLevelType w:val="hybridMultilevel"/>
    <w:tmpl w:val="8920F9D8"/>
    <w:lvl w:ilvl="0" w:tplc="DEF4E7C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6362011">
    <w:abstractNumId w:val="0"/>
  </w:num>
  <w:num w:numId="2" w16cid:durableId="1285624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E0"/>
    <w:rsid w:val="000143B5"/>
    <w:rsid w:val="00083979"/>
    <w:rsid w:val="00121B5F"/>
    <w:rsid w:val="00167005"/>
    <w:rsid w:val="001707D0"/>
    <w:rsid w:val="00174D22"/>
    <w:rsid w:val="001910BE"/>
    <w:rsid w:val="00193213"/>
    <w:rsid w:val="001E2130"/>
    <w:rsid w:val="001F7898"/>
    <w:rsid w:val="002074B6"/>
    <w:rsid w:val="002F54D9"/>
    <w:rsid w:val="003161E4"/>
    <w:rsid w:val="00324308"/>
    <w:rsid w:val="003463D5"/>
    <w:rsid w:val="00366528"/>
    <w:rsid w:val="00380144"/>
    <w:rsid w:val="003D4A3B"/>
    <w:rsid w:val="004224D7"/>
    <w:rsid w:val="00480E06"/>
    <w:rsid w:val="00497D20"/>
    <w:rsid w:val="00530FF4"/>
    <w:rsid w:val="00537D5A"/>
    <w:rsid w:val="00626033"/>
    <w:rsid w:val="00660718"/>
    <w:rsid w:val="00682E0E"/>
    <w:rsid w:val="00694BEA"/>
    <w:rsid w:val="006A74D0"/>
    <w:rsid w:val="006E4CDA"/>
    <w:rsid w:val="006F52C9"/>
    <w:rsid w:val="00745458"/>
    <w:rsid w:val="007478A6"/>
    <w:rsid w:val="00793203"/>
    <w:rsid w:val="007E2E37"/>
    <w:rsid w:val="007F0AB6"/>
    <w:rsid w:val="00801D83"/>
    <w:rsid w:val="008308AF"/>
    <w:rsid w:val="008316C0"/>
    <w:rsid w:val="00845B78"/>
    <w:rsid w:val="008725F2"/>
    <w:rsid w:val="008D6792"/>
    <w:rsid w:val="008E70E1"/>
    <w:rsid w:val="00966A29"/>
    <w:rsid w:val="009A1CEF"/>
    <w:rsid w:val="00A6083E"/>
    <w:rsid w:val="00A93CC1"/>
    <w:rsid w:val="00A948C6"/>
    <w:rsid w:val="00AC7EB0"/>
    <w:rsid w:val="00AF48BD"/>
    <w:rsid w:val="00B462A0"/>
    <w:rsid w:val="00B520FA"/>
    <w:rsid w:val="00BD107B"/>
    <w:rsid w:val="00BD6E51"/>
    <w:rsid w:val="00BF697F"/>
    <w:rsid w:val="00C24536"/>
    <w:rsid w:val="00C575E9"/>
    <w:rsid w:val="00C95603"/>
    <w:rsid w:val="00CB0E0B"/>
    <w:rsid w:val="00CE1747"/>
    <w:rsid w:val="00D106CC"/>
    <w:rsid w:val="00D3782D"/>
    <w:rsid w:val="00D436A0"/>
    <w:rsid w:val="00D517E3"/>
    <w:rsid w:val="00DC703C"/>
    <w:rsid w:val="00DE7C4C"/>
    <w:rsid w:val="00E578CE"/>
    <w:rsid w:val="00EB7124"/>
    <w:rsid w:val="00ED43F6"/>
    <w:rsid w:val="00F1678F"/>
    <w:rsid w:val="00F64CE0"/>
    <w:rsid w:val="00FB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15E2"/>
  <w15:chartTrackingRefBased/>
  <w15:docId w15:val="{DE8BE110-E930-4A73-90DE-A38FE20F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4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64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64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4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64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64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CE0"/>
    <w:rPr>
      <w:rFonts w:eastAsiaTheme="majorEastAsia" w:cstheme="majorBidi"/>
      <w:color w:val="272727" w:themeColor="text1" w:themeTint="D8"/>
    </w:rPr>
  </w:style>
  <w:style w:type="paragraph" w:styleId="Title">
    <w:name w:val="Title"/>
    <w:basedOn w:val="Normal"/>
    <w:next w:val="Normal"/>
    <w:link w:val="TitleChar"/>
    <w:uiPriority w:val="10"/>
    <w:qFormat/>
    <w:rsid w:val="00F64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CE0"/>
    <w:pPr>
      <w:spacing w:before="160"/>
      <w:jc w:val="center"/>
    </w:pPr>
    <w:rPr>
      <w:i/>
      <w:iCs/>
      <w:color w:val="404040" w:themeColor="text1" w:themeTint="BF"/>
    </w:rPr>
  </w:style>
  <w:style w:type="character" w:customStyle="1" w:styleId="QuoteChar">
    <w:name w:val="Quote Char"/>
    <w:basedOn w:val="DefaultParagraphFont"/>
    <w:link w:val="Quote"/>
    <w:uiPriority w:val="29"/>
    <w:rsid w:val="00F64CE0"/>
    <w:rPr>
      <w:i/>
      <w:iCs/>
      <w:color w:val="404040" w:themeColor="text1" w:themeTint="BF"/>
    </w:rPr>
  </w:style>
  <w:style w:type="paragraph" w:styleId="ListParagraph">
    <w:name w:val="List Paragraph"/>
    <w:basedOn w:val="Normal"/>
    <w:uiPriority w:val="34"/>
    <w:qFormat/>
    <w:rsid w:val="00F64CE0"/>
    <w:pPr>
      <w:ind w:left="720"/>
      <w:contextualSpacing/>
    </w:pPr>
  </w:style>
  <w:style w:type="character" w:styleId="IntenseEmphasis">
    <w:name w:val="Intense Emphasis"/>
    <w:basedOn w:val="DefaultParagraphFont"/>
    <w:uiPriority w:val="21"/>
    <w:qFormat/>
    <w:rsid w:val="00F64CE0"/>
    <w:rPr>
      <w:i/>
      <w:iCs/>
      <w:color w:val="0F4761" w:themeColor="accent1" w:themeShade="BF"/>
    </w:rPr>
  </w:style>
  <w:style w:type="paragraph" w:styleId="IntenseQuote">
    <w:name w:val="Intense Quote"/>
    <w:basedOn w:val="Normal"/>
    <w:next w:val="Normal"/>
    <w:link w:val="IntenseQuoteChar"/>
    <w:uiPriority w:val="30"/>
    <w:qFormat/>
    <w:rsid w:val="00F64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CE0"/>
    <w:rPr>
      <w:i/>
      <w:iCs/>
      <w:color w:val="0F4761" w:themeColor="accent1" w:themeShade="BF"/>
    </w:rPr>
  </w:style>
  <w:style w:type="character" w:styleId="IntenseReference">
    <w:name w:val="Intense Reference"/>
    <w:basedOn w:val="DefaultParagraphFont"/>
    <w:uiPriority w:val="32"/>
    <w:qFormat/>
    <w:rsid w:val="00F64CE0"/>
    <w:rPr>
      <w:b/>
      <w:bCs/>
      <w:smallCaps/>
      <w:color w:val="0F4761" w:themeColor="accent1" w:themeShade="BF"/>
      <w:spacing w:val="5"/>
    </w:rPr>
  </w:style>
  <w:style w:type="table" w:styleId="TableGrid">
    <w:name w:val="Table Grid"/>
    <w:basedOn w:val="TableNormal"/>
    <w:uiPriority w:val="39"/>
    <w:rsid w:val="00F6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D517E3"/>
    <w:pPr>
      <w:spacing w:before="120" w:after="120" w:line="240" w:lineRule="auto"/>
    </w:pPr>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D517E3"/>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D517E3"/>
    <w:rPr>
      <w:kern w:val="0"/>
      <w:sz w:val="22"/>
      <w:szCs w:val="22"/>
      <w14:ligatures w14:val="none"/>
    </w:rPr>
  </w:style>
  <w:style w:type="paragraph" w:styleId="Footer">
    <w:name w:val="footer"/>
    <w:basedOn w:val="Normal"/>
    <w:link w:val="FooterChar"/>
    <w:uiPriority w:val="99"/>
    <w:unhideWhenUsed/>
    <w:rsid w:val="00D5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38028">
      <w:bodyDiv w:val="1"/>
      <w:marLeft w:val="0"/>
      <w:marRight w:val="0"/>
      <w:marTop w:val="0"/>
      <w:marBottom w:val="0"/>
      <w:divBdr>
        <w:top w:val="none" w:sz="0" w:space="0" w:color="auto"/>
        <w:left w:val="none" w:sz="0" w:space="0" w:color="auto"/>
        <w:bottom w:val="none" w:sz="0" w:space="0" w:color="auto"/>
        <w:right w:val="none" w:sz="0" w:space="0" w:color="auto"/>
      </w:divBdr>
    </w:div>
    <w:div w:id="607472940">
      <w:bodyDiv w:val="1"/>
      <w:marLeft w:val="0"/>
      <w:marRight w:val="0"/>
      <w:marTop w:val="0"/>
      <w:marBottom w:val="0"/>
      <w:divBdr>
        <w:top w:val="none" w:sz="0" w:space="0" w:color="auto"/>
        <w:left w:val="none" w:sz="0" w:space="0" w:color="auto"/>
        <w:bottom w:val="none" w:sz="0" w:space="0" w:color="auto"/>
        <w:right w:val="none" w:sz="0" w:space="0" w:color="auto"/>
      </w:divBdr>
    </w:div>
    <w:div w:id="1230000310">
      <w:bodyDiv w:val="1"/>
      <w:marLeft w:val="0"/>
      <w:marRight w:val="0"/>
      <w:marTop w:val="0"/>
      <w:marBottom w:val="0"/>
      <w:divBdr>
        <w:top w:val="none" w:sz="0" w:space="0" w:color="auto"/>
        <w:left w:val="none" w:sz="0" w:space="0" w:color="auto"/>
        <w:bottom w:val="none" w:sz="0" w:space="0" w:color="auto"/>
        <w:right w:val="none" w:sz="0" w:space="0" w:color="auto"/>
      </w:divBdr>
    </w:div>
    <w:div w:id="1350184657">
      <w:bodyDiv w:val="1"/>
      <w:marLeft w:val="0"/>
      <w:marRight w:val="0"/>
      <w:marTop w:val="0"/>
      <w:marBottom w:val="0"/>
      <w:divBdr>
        <w:top w:val="none" w:sz="0" w:space="0" w:color="auto"/>
        <w:left w:val="none" w:sz="0" w:space="0" w:color="auto"/>
        <w:bottom w:val="none" w:sz="0" w:space="0" w:color="auto"/>
        <w:right w:val="none" w:sz="0" w:space="0" w:color="auto"/>
      </w:divBdr>
    </w:div>
    <w:div w:id="2039743001">
      <w:bodyDiv w:val="1"/>
      <w:marLeft w:val="0"/>
      <w:marRight w:val="0"/>
      <w:marTop w:val="0"/>
      <w:marBottom w:val="0"/>
      <w:divBdr>
        <w:top w:val="none" w:sz="0" w:space="0" w:color="auto"/>
        <w:left w:val="none" w:sz="0" w:space="0" w:color="auto"/>
        <w:bottom w:val="none" w:sz="0" w:space="0" w:color="auto"/>
        <w:right w:val="none" w:sz="0" w:space="0" w:color="auto"/>
      </w:divBdr>
      <w:divsChild>
        <w:div w:id="1021778602">
          <w:marLeft w:val="0"/>
          <w:marRight w:val="0"/>
          <w:marTop w:val="0"/>
          <w:marBottom w:val="0"/>
          <w:divBdr>
            <w:top w:val="none" w:sz="0" w:space="0" w:color="auto"/>
            <w:left w:val="none" w:sz="0" w:space="0" w:color="auto"/>
            <w:bottom w:val="none" w:sz="0" w:space="0" w:color="auto"/>
            <w:right w:val="none" w:sz="0" w:space="0" w:color="auto"/>
          </w:divBdr>
          <w:divsChild>
            <w:div w:id="616450368">
              <w:marLeft w:val="0"/>
              <w:marRight w:val="0"/>
              <w:marTop w:val="0"/>
              <w:marBottom w:val="0"/>
              <w:divBdr>
                <w:top w:val="none" w:sz="0" w:space="0" w:color="auto"/>
                <w:left w:val="none" w:sz="0" w:space="0" w:color="auto"/>
                <w:bottom w:val="none" w:sz="0" w:space="0" w:color="auto"/>
                <w:right w:val="none" w:sz="0" w:space="0" w:color="auto"/>
              </w:divBdr>
            </w:div>
            <w:div w:id="1181119947">
              <w:marLeft w:val="0"/>
              <w:marRight w:val="0"/>
              <w:marTop w:val="0"/>
              <w:marBottom w:val="0"/>
              <w:divBdr>
                <w:top w:val="none" w:sz="0" w:space="0" w:color="auto"/>
                <w:left w:val="none" w:sz="0" w:space="0" w:color="auto"/>
                <w:bottom w:val="none" w:sz="0" w:space="0" w:color="auto"/>
                <w:right w:val="none" w:sz="0" w:space="0" w:color="auto"/>
              </w:divBdr>
            </w:div>
            <w:div w:id="153569990">
              <w:marLeft w:val="0"/>
              <w:marRight w:val="0"/>
              <w:marTop w:val="0"/>
              <w:marBottom w:val="0"/>
              <w:divBdr>
                <w:top w:val="none" w:sz="0" w:space="0" w:color="auto"/>
                <w:left w:val="none" w:sz="0" w:space="0" w:color="auto"/>
                <w:bottom w:val="none" w:sz="0" w:space="0" w:color="auto"/>
                <w:right w:val="none" w:sz="0" w:space="0" w:color="auto"/>
              </w:divBdr>
            </w:div>
            <w:div w:id="435254867">
              <w:marLeft w:val="0"/>
              <w:marRight w:val="0"/>
              <w:marTop w:val="0"/>
              <w:marBottom w:val="0"/>
              <w:divBdr>
                <w:top w:val="none" w:sz="0" w:space="0" w:color="auto"/>
                <w:left w:val="none" w:sz="0" w:space="0" w:color="auto"/>
                <w:bottom w:val="none" w:sz="0" w:space="0" w:color="auto"/>
                <w:right w:val="none" w:sz="0" w:space="0" w:color="auto"/>
              </w:divBdr>
            </w:div>
            <w:div w:id="92214365">
              <w:marLeft w:val="0"/>
              <w:marRight w:val="0"/>
              <w:marTop w:val="0"/>
              <w:marBottom w:val="0"/>
              <w:divBdr>
                <w:top w:val="none" w:sz="0" w:space="0" w:color="auto"/>
                <w:left w:val="none" w:sz="0" w:space="0" w:color="auto"/>
                <w:bottom w:val="none" w:sz="0" w:space="0" w:color="auto"/>
                <w:right w:val="none" w:sz="0" w:space="0" w:color="auto"/>
              </w:divBdr>
            </w:div>
            <w:div w:id="940842246">
              <w:marLeft w:val="0"/>
              <w:marRight w:val="0"/>
              <w:marTop w:val="0"/>
              <w:marBottom w:val="0"/>
              <w:divBdr>
                <w:top w:val="none" w:sz="0" w:space="0" w:color="auto"/>
                <w:left w:val="none" w:sz="0" w:space="0" w:color="auto"/>
                <w:bottom w:val="none" w:sz="0" w:space="0" w:color="auto"/>
                <w:right w:val="none" w:sz="0" w:space="0" w:color="auto"/>
              </w:divBdr>
            </w:div>
            <w:div w:id="1974868713">
              <w:marLeft w:val="0"/>
              <w:marRight w:val="0"/>
              <w:marTop w:val="0"/>
              <w:marBottom w:val="0"/>
              <w:divBdr>
                <w:top w:val="none" w:sz="0" w:space="0" w:color="auto"/>
                <w:left w:val="none" w:sz="0" w:space="0" w:color="auto"/>
                <w:bottom w:val="none" w:sz="0" w:space="0" w:color="auto"/>
                <w:right w:val="none" w:sz="0" w:space="0" w:color="auto"/>
              </w:divBdr>
            </w:div>
            <w:div w:id="1743216155">
              <w:marLeft w:val="0"/>
              <w:marRight w:val="0"/>
              <w:marTop w:val="0"/>
              <w:marBottom w:val="0"/>
              <w:divBdr>
                <w:top w:val="none" w:sz="0" w:space="0" w:color="auto"/>
                <w:left w:val="none" w:sz="0" w:space="0" w:color="auto"/>
                <w:bottom w:val="none" w:sz="0" w:space="0" w:color="auto"/>
                <w:right w:val="none" w:sz="0" w:space="0" w:color="auto"/>
              </w:divBdr>
            </w:div>
            <w:div w:id="1737512383">
              <w:marLeft w:val="0"/>
              <w:marRight w:val="0"/>
              <w:marTop w:val="0"/>
              <w:marBottom w:val="0"/>
              <w:divBdr>
                <w:top w:val="none" w:sz="0" w:space="0" w:color="auto"/>
                <w:left w:val="none" w:sz="0" w:space="0" w:color="auto"/>
                <w:bottom w:val="none" w:sz="0" w:space="0" w:color="auto"/>
                <w:right w:val="none" w:sz="0" w:space="0" w:color="auto"/>
              </w:divBdr>
            </w:div>
            <w:div w:id="645159673">
              <w:marLeft w:val="0"/>
              <w:marRight w:val="0"/>
              <w:marTop w:val="0"/>
              <w:marBottom w:val="0"/>
              <w:divBdr>
                <w:top w:val="none" w:sz="0" w:space="0" w:color="auto"/>
                <w:left w:val="none" w:sz="0" w:space="0" w:color="auto"/>
                <w:bottom w:val="none" w:sz="0" w:space="0" w:color="auto"/>
                <w:right w:val="none" w:sz="0" w:space="0" w:color="auto"/>
              </w:divBdr>
            </w:div>
            <w:div w:id="878592712">
              <w:marLeft w:val="0"/>
              <w:marRight w:val="0"/>
              <w:marTop w:val="0"/>
              <w:marBottom w:val="0"/>
              <w:divBdr>
                <w:top w:val="none" w:sz="0" w:space="0" w:color="auto"/>
                <w:left w:val="none" w:sz="0" w:space="0" w:color="auto"/>
                <w:bottom w:val="none" w:sz="0" w:space="0" w:color="auto"/>
                <w:right w:val="none" w:sz="0" w:space="0" w:color="auto"/>
              </w:divBdr>
            </w:div>
            <w:div w:id="93212435">
              <w:marLeft w:val="0"/>
              <w:marRight w:val="0"/>
              <w:marTop w:val="0"/>
              <w:marBottom w:val="0"/>
              <w:divBdr>
                <w:top w:val="none" w:sz="0" w:space="0" w:color="auto"/>
                <w:left w:val="none" w:sz="0" w:space="0" w:color="auto"/>
                <w:bottom w:val="none" w:sz="0" w:space="0" w:color="auto"/>
                <w:right w:val="none" w:sz="0" w:space="0" w:color="auto"/>
              </w:divBdr>
            </w:div>
            <w:div w:id="673194064">
              <w:marLeft w:val="0"/>
              <w:marRight w:val="0"/>
              <w:marTop w:val="0"/>
              <w:marBottom w:val="0"/>
              <w:divBdr>
                <w:top w:val="none" w:sz="0" w:space="0" w:color="auto"/>
                <w:left w:val="none" w:sz="0" w:space="0" w:color="auto"/>
                <w:bottom w:val="none" w:sz="0" w:space="0" w:color="auto"/>
                <w:right w:val="none" w:sz="0" w:space="0" w:color="auto"/>
              </w:divBdr>
            </w:div>
            <w:div w:id="832717892">
              <w:marLeft w:val="0"/>
              <w:marRight w:val="0"/>
              <w:marTop w:val="0"/>
              <w:marBottom w:val="0"/>
              <w:divBdr>
                <w:top w:val="none" w:sz="0" w:space="0" w:color="auto"/>
                <w:left w:val="none" w:sz="0" w:space="0" w:color="auto"/>
                <w:bottom w:val="none" w:sz="0" w:space="0" w:color="auto"/>
                <w:right w:val="none" w:sz="0" w:space="0" w:color="auto"/>
              </w:divBdr>
            </w:div>
            <w:div w:id="46032495">
              <w:marLeft w:val="0"/>
              <w:marRight w:val="0"/>
              <w:marTop w:val="0"/>
              <w:marBottom w:val="0"/>
              <w:divBdr>
                <w:top w:val="none" w:sz="0" w:space="0" w:color="auto"/>
                <w:left w:val="none" w:sz="0" w:space="0" w:color="auto"/>
                <w:bottom w:val="none" w:sz="0" w:space="0" w:color="auto"/>
                <w:right w:val="none" w:sz="0" w:space="0" w:color="auto"/>
              </w:divBdr>
            </w:div>
            <w:div w:id="1187672185">
              <w:marLeft w:val="0"/>
              <w:marRight w:val="0"/>
              <w:marTop w:val="0"/>
              <w:marBottom w:val="0"/>
              <w:divBdr>
                <w:top w:val="none" w:sz="0" w:space="0" w:color="auto"/>
                <w:left w:val="none" w:sz="0" w:space="0" w:color="auto"/>
                <w:bottom w:val="none" w:sz="0" w:space="0" w:color="auto"/>
                <w:right w:val="none" w:sz="0" w:space="0" w:color="auto"/>
              </w:divBdr>
            </w:div>
            <w:div w:id="1822230182">
              <w:marLeft w:val="0"/>
              <w:marRight w:val="0"/>
              <w:marTop w:val="0"/>
              <w:marBottom w:val="0"/>
              <w:divBdr>
                <w:top w:val="none" w:sz="0" w:space="0" w:color="auto"/>
                <w:left w:val="none" w:sz="0" w:space="0" w:color="auto"/>
                <w:bottom w:val="none" w:sz="0" w:space="0" w:color="auto"/>
                <w:right w:val="none" w:sz="0" w:space="0" w:color="auto"/>
              </w:divBdr>
            </w:div>
            <w:div w:id="364671575">
              <w:marLeft w:val="0"/>
              <w:marRight w:val="0"/>
              <w:marTop w:val="0"/>
              <w:marBottom w:val="0"/>
              <w:divBdr>
                <w:top w:val="none" w:sz="0" w:space="0" w:color="auto"/>
                <w:left w:val="none" w:sz="0" w:space="0" w:color="auto"/>
                <w:bottom w:val="none" w:sz="0" w:space="0" w:color="auto"/>
                <w:right w:val="none" w:sz="0" w:space="0" w:color="auto"/>
              </w:divBdr>
            </w:div>
            <w:div w:id="785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3921D-1BD8-4A59-99F7-ED7AC17D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3</cp:revision>
  <dcterms:created xsi:type="dcterms:W3CDTF">2025-02-12T01:31:00Z</dcterms:created>
  <dcterms:modified xsi:type="dcterms:W3CDTF">2025-02-12T01:55:00Z</dcterms:modified>
</cp:coreProperties>
</file>