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0932B2B" w:rsidR="00964A61" w:rsidRPr="00A55F7D" w:rsidRDefault="00494927" w:rsidP="006662C9">
                <w:pPr>
                  <w:pStyle w:val="covertext"/>
                  <w:rPr>
                    <w:lang w:eastAsia="ja-JP"/>
                  </w:rPr>
                </w:pPr>
                <w:r>
                  <w:rPr>
                    <w:rFonts w:hint="eastAsia"/>
                    <w:lang w:eastAsia="ja-JP"/>
                  </w:rPr>
                  <w:t>Proposal of a liaison statement to ITU-R Working Party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46572A">
              <w:rPr>
                <w:lang w:val="de-DE"/>
              </w:rPr>
              <w:t>Akifumi Kasamatsu,</w:t>
            </w:r>
            <w:r w:rsidR="0058110D">
              <w:rPr>
                <w:rFonts w:hint="eastAsia"/>
                <w:lang w:val="de-DE" w:eastAsia="ja-JP"/>
              </w:rPr>
              <w:t xml:space="preserve"> </w:t>
            </w:r>
            <w:r w:rsidR="002C1574" w:rsidRPr="0046572A">
              <w:rPr>
                <w:lang w:val="de-DE"/>
              </w:rPr>
              <w:t>Norihiko Sekine</w:t>
            </w:r>
            <w:r w:rsidR="0058110D">
              <w:rPr>
                <w:rFonts w:hint="eastAsia"/>
                <w:lang w:val="de-DE" w:eastAsia="ja-JP"/>
              </w:rPr>
              <w:t>,</w:t>
            </w:r>
            <w:r w:rsidR="002C1574" w:rsidRPr="0046572A">
              <w:rPr>
                <w:lang w:val="de-DE"/>
              </w:rPr>
              <w:t xml:space="preserve"> </w:t>
            </w:r>
            <w:r w:rsidR="002C1574">
              <w:rPr>
                <w:lang w:val="de-DE"/>
              </w:rPr>
              <w:t>Iwao Hosako</w:t>
            </w:r>
            <w:r w:rsidR="0058110D">
              <w:rPr>
                <w:rFonts w:hint="eastAsia"/>
                <w:lang w:val="de-DE"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7608806B" w:rsidR="00A959EE" w:rsidRPr="00A55F7D" w:rsidRDefault="002C5614" w:rsidP="006662C9">
            <w:pPr>
              <w:pStyle w:val="covertext"/>
              <w:rPr>
                <w:lang w:eastAsia="ja-JP"/>
              </w:rPr>
            </w:pPr>
            <w:r>
              <w:t xml:space="preserve">This document proposes </w:t>
            </w:r>
            <w:r w:rsidR="0058110D">
              <w:rPr>
                <w:rFonts w:hint="eastAsia"/>
                <w:lang w:eastAsia="ja-JP"/>
              </w:rPr>
              <w:t xml:space="preserve">a reply </w:t>
            </w:r>
            <w:r w:rsidR="0058110D">
              <w:rPr>
                <w:lang w:eastAsia="ja-JP"/>
              </w:rPr>
              <w:t>liaison</w:t>
            </w:r>
            <w:r w:rsidR="0058110D">
              <w:rPr>
                <w:rFonts w:hint="eastAsia"/>
                <w:lang w:eastAsia="ja-JP"/>
              </w:rPr>
              <w:t xml:space="preserve"> statement to ITU-R WP 5C on the activity </w:t>
            </w:r>
            <w:r w:rsidR="001663CA">
              <w:rPr>
                <w:rFonts w:hint="eastAsia"/>
                <w:lang w:eastAsia="ja-JP"/>
              </w:rPr>
              <w:t>in</w:t>
            </w:r>
            <w:r w:rsidR="0058110D">
              <w:rPr>
                <w:rFonts w:hint="eastAsia"/>
                <w:lang w:eastAsia="ja-JP"/>
              </w:rPr>
              <w:t xml:space="preserve"> </w:t>
            </w:r>
            <w:r w:rsidR="00896191">
              <w:t>IEEE802.15</w:t>
            </w:r>
            <w:r w:rsidR="0058110D">
              <w:rPr>
                <w:rFonts w:hint="eastAsia"/>
                <w:lang w:eastAsia="ja-JP"/>
              </w:rPr>
              <w:t xml:space="preserve"> SC TH</w:t>
            </w:r>
            <w:r w:rsidR="001663CA">
              <w:rPr>
                <w:rFonts w:hint="eastAsia"/>
                <w:lang w:eastAsia="ja-JP"/>
              </w:rPr>
              <w:t>Z</w:t>
            </w:r>
            <w:r w:rsidR="0058110D">
              <w:rPr>
                <w:rFonts w:hint="eastAsia"/>
                <w:lang w:eastAsia="ja-JP"/>
              </w:rPr>
              <w:t xml:space="preserve"> above the </w:t>
            </w:r>
            <w:r w:rsidR="0058110D">
              <w:rPr>
                <w:lang w:eastAsia="ja-JP"/>
              </w:rPr>
              <w:t>frequency</w:t>
            </w:r>
            <w:r w:rsidR="001663CA">
              <w:rPr>
                <w:rFonts w:hint="eastAsia"/>
                <w:lang w:eastAsia="ja-JP"/>
              </w:rPr>
              <w:t xml:space="preserve"> </w:t>
            </w:r>
            <w:r w:rsidR="0058110D">
              <w:rPr>
                <w:rFonts w:hint="eastAsia"/>
                <w:lang w:eastAsia="ja-JP"/>
              </w:rPr>
              <w:t>450</w:t>
            </w:r>
            <w:r w:rsidR="001663CA">
              <w:rPr>
                <w:rFonts w:hint="eastAsia"/>
                <w:lang w:eastAsia="ja-JP"/>
              </w:rPr>
              <w:t xml:space="preserve"> GHz</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581CB7CD" w:rsidR="00A959EE" w:rsidRDefault="000A5607">
            <w:pPr>
              <w:pStyle w:val="covertext"/>
              <w:rPr>
                <w:lang w:eastAsia="ja-JP"/>
              </w:rPr>
            </w:pPr>
            <w:r>
              <w:rPr>
                <w:lang w:eastAsia="ja-JP"/>
              </w:rPr>
              <w:t xml:space="preserve">To provide </w:t>
            </w:r>
            <w:r w:rsidR="002C5614">
              <w:rPr>
                <w:lang w:eastAsia="ja-JP"/>
              </w:rPr>
              <w:t xml:space="preserve">information on </w:t>
            </w:r>
            <w:r w:rsidR="00761011">
              <w:rPr>
                <w:rFonts w:hint="eastAsia"/>
                <w:lang w:eastAsia="ja-JP"/>
              </w:rPr>
              <w:t xml:space="preserve">technical and operational characteristics above 450 GHz discussed in </w:t>
            </w:r>
            <w:r w:rsidR="00896191">
              <w:rPr>
                <w:lang w:eastAsia="ja-JP"/>
              </w:rPr>
              <w:t>IEEE802.15</w:t>
            </w:r>
            <w:r w:rsidR="00761011">
              <w:rPr>
                <w:rFonts w:hint="eastAsia"/>
                <w:lang w:eastAsia="ja-JP"/>
              </w:rPr>
              <w:t xml:space="preserve"> SC THZ.</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5140910C"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E9ACCB4"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300-3000 GHz. </w:t>
      </w:r>
      <w:r w:rsidR="003577F7">
        <w:rPr>
          <w:rFonts w:hint="eastAsia"/>
          <w:lang w:eastAsia="ja-JP"/>
        </w:rPr>
        <w:t xml:space="preserve">IEEE 802 SC THZ 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 xml:space="preserve">the current IEEE802 THz 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41339E95" w:rsidR="00AA0EC1" w:rsidRPr="00AA0EC1" w:rsidRDefault="00AA0EC1" w:rsidP="00AA0EC1">
      <w:pPr>
        <w:spacing w:before="120"/>
        <w:rPr>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450-1 000</w:t>
      </w:r>
      <w:r w:rsidRPr="00AA0EC1">
        <w:rPr>
          <w:bCs/>
          <w:color w:val="000000"/>
          <w:lang w:val="en-GB" w:eastAsia="ja-JP"/>
        </w:rPr>
        <w:t xml:space="preserve"> GHz.</w:t>
      </w:r>
    </w:p>
    <w:p w14:paraId="7EB0BF78" w14:textId="310AD5CA" w:rsidR="00E818A7" w:rsidRDefault="00AA0EC1" w:rsidP="00AA0EC1">
      <w:pPr>
        <w:spacing w:before="120"/>
        <w:rPr>
          <w:bCs/>
          <w:color w:val="000000"/>
          <w:lang w:val="de-DE" w:eastAsia="ja-JP"/>
        </w:rPr>
      </w:pPr>
      <w:r w:rsidRPr="00AA0EC1">
        <w:rPr>
          <w:bCs/>
          <w:color w:val="000000"/>
          <w:lang w:val="en-GB" w:eastAsia="ja-JP"/>
        </w:rPr>
        <w:t>On March 20</w:t>
      </w:r>
      <w:r w:rsidR="00E818A7">
        <w:rPr>
          <w:rFonts w:hint="eastAsia"/>
          <w:bCs/>
          <w:color w:val="000000"/>
          <w:lang w:val="en-GB" w:eastAsia="ja-JP"/>
        </w:rPr>
        <w:t>22</w:t>
      </w:r>
      <w:r w:rsidRPr="00AA0EC1">
        <w:rPr>
          <w:bCs/>
          <w:color w:val="000000"/>
          <w:lang w:val="en-GB" w:eastAsia="ja-JP"/>
        </w:rPr>
        <w:t xml:space="preserve"> IEEE 802.15 </w:t>
      </w:r>
      <w:r w:rsidR="00E818A7">
        <w:rPr>
          <w:rFonts w:hint="eastAsia"/>
          <w:bCs/>
          <w:color w:val="000000"/>
          <w:lang w:val="en-GB" w:eastAsia="ja-JP"/>
        </w:rPr>
        <w:t xml:space="preserve">SC THZ received a contribution entitled, </w:t>
      </w:r>
      <w:r w:rsidR="00E818A7">
        <w:rPr>
          <w:bCs/>
          <w:color w:val="000000"/>
          <w:lang w:val="en-GB" w:eastAsia="ja-JP"/>
        </w:rPr>
        <w:t>“</w:t>
      </w:r>
      <w:r w:rsidR="00E818A7">
        <w:rPr>
          <w:rFonts w:hint="eastAsia"/>
          <w:bCs/>
          <w:color w:val="000000"/>
          <w:lang w:val="en-GB" w:eastAsia="ja-JP"/>
        </w:rPr>
        <w:t>D</w:t>
      </w:r>
      <w:r w:rsidR="00E818A7" w:rsidRPr="00E818A7">
        <w:rPr>
          <w:bCs/>
          <w:color w:val="000000"/>
          <w:lang w:eastAsia="ja-JP"/>
        </w:rPr>
        <w:t>raft c</w:t>
      </w:r>
      <w:r w:rsidR="00E818A7" w:rsidRPr="00E818A7">
        <w:rPr>
          <w:bCs/>
          <w:color w:val="000000"/>
          <w:lang w:val="de-DE" w:eastAsia="ja-JP"/>
        </w:rPr>
        <w:t>hannel plan of 500-GHz fixed wireless access</w:t>
      </w:r>
      <w:r w:rsidR="002E787B">
        <w:rPr>
          <w:bCs/>
          <w:color w:val="000000"/>
          <w:lang w:val="de-DE" w:eastAsia="ja-JP"/>
        </w:rPr>
        <w:t>“</w:t>
      </w:r>
      <w:r w:rsidR="002E787B">
        <w:rPr>
          <w:rFonts w:hint="eastAsia"/>
          <w:bCs/>
          <w:color w:val="000000"/>
          <w:lang w:val="de-DE" w:eastAsia="ja-JP"/>
        </w:rPr>
        <w:t>.</w:t>
      </w:r>
      <w:r w:rsidR="00753E64">
        <w:rPr>
          <w:rFonts w:hint="eastAsia"/>
          <w:bCs/>
          <w:color w:val="000000"/>
          <w:lang w:val="de-DE" w:eastAsia="ja-JP"/>
        </w:rPr>
        <w:t xml:space="preserve"> It</w:t>
      </w:r>
      <w:r w:rsidR="002E787B">
        <w:rPr>
          <w:rFonts w:hint="eastAsia"/>
          <w:bCs/>
          <w:color w:val="000000"/>
          <w:lang w:val="de-DE" w:eastAsia="ja-JP"/>
        </w:rPr>
        <w:t xml:space="preserve"> provides an use case, a blockdiagram of 500-GHz band transceiver, a link budget using BPSK modulation scheme</w:t>
      </w:r>
      <w:r w:rsidR="00753E64">
        <w:rPr>
          <w:rFonts w:hint="eastAsia"/>
          <w:bCs/>
          <w:color w:val="000000"/>
          <w:lang w:val="de-DE" w:eastAsia="ja-JP"/>
        </w:rPr>
        <w:t xml:space="preserve"> and</w:t>
      </w:r>
      <w:r w:rsidR="002E787B">
        <w:rPr>
          <w:rFonts w:hint="eastAsia"/>
          <w:bCs/>
          <w:color w:val="000000"/>
          <w:lang w:val="de-DE" w:eastAsia="ja-JP"/>
        </w:rPr>
        <w:t xml:space="preserve"> channel plans</w:t>
      </w:r>
      <w:r w:rsidR="00862E96">
        <w:rPr>
          <w:rStyle w:val="af1"/>
          <w:bCs/>
          <w:color w:val="000000"/>
          <w:lang w:val="de-DE" w:eastAsia="ja-JP"/>
        </w:rPr>
        <w:footnoteReference w:id="1"/>
      </w:r>
      <w:r w:rsidR="00753E64">
        <w:rPr>
          <w:rFonts w:hint="eastAsia"/>
          <w:bCs/>
          <w:color w:val="000000"/>
          <w:lang w:val="de-DE" w:eastAsia="ja-JP"/>
        </w:rPr>
        <w:t xml:space="preserve">. IEEE 802.15 SC THZ </w:t>
      </w:r>
      <w:r w:rsidR="00066A1A">
        <w:rPr>
          <w:rFonts w:hint="eastAsia"/>
          <w:bCs/>
          <w:color w:val="000000"/>
          <w:lang w:val="de-DE" w:eastAsia="ja-JP"/>
        </w:rPr>
        <w:t>considered</w:t>
      </w:r>
      <w:r w:rsidR="00753E64">
        <w:rPr>
          <w:rFonts w:hint="eastAsia"/>
          <w:bCs/>
          <w:color w:val="000000"/>
          <w:lang w:val="de-DE" w:eastAsia="ja-JP"/>
        </w:rPr>
        <w:t xml:space="preserve"> them and noted </w:t>
      </w:r>
      <w:r w:rsidR="00A321C8">
        <w:rPr>
          <w:rFonts w:hint="eastAsia"/>
          <w:bCs/>
          <w:color w:val="000000"/>
          <w:lang w:val="de-DE" w:eastAsia="ja-JP"/>
        </w:rPr>
        <w:t>as</w:t>
      </w:r>
      <w:r w:rsidR="00753E64">
        <w:rPr>
          <w:rFonts w:hint="eastAsia"/>
          <w:bCs/>
          <w:color w:val="000000"/>
          <w:lang w:val="de-DE" w:eastAsia="ja-JP"/>
        </w:rPr>
        <w:t xml:space="preserve"> </w:t>
      </w:r>
      <w:r w:rsidR="00066A1A">
        <w:rPr>
          <w:rFonts w:hint="eastAsia"/>
          <w:bCs/>
          <w:color w:val="000000"/>
          <w:lang w:val="de-DE" w:eastAsia="ja-JP"/>
        </w:rPr>
        <w:t xml:space="preserve">a </w:t>
      </w:r>
      <w:r w:rsidR="00753E64">
        <w:rPr>
          <w:rFonts w:hint="eastAsia"/>
          <w:bCs/>
          <w:color w:val="000000"/>
          <w:lang w:val="de-DE" w:eastAsia="ja-JP"/>
        </w:rPr>
        <w:t xml:space="preserve">future </w:t>
      </w:r>
      <w:r w:rsidR="00066A1A">
        <w:rPr>
          <w:rFonts w:hint="eastAsia"/>
          <w:bCs/>
          <w:color w:val="000000"/>
          <w:lang w:val="de-DE" w:eastAsia="ja-JP"/>
        </w:rPr>
        <w:t>project</w:t>
      </w:r>
      <w:r w:rsidR="00A321C8">
        <w:rPr>
          <w:rFonts w:hint="eastAsia"/>
          <w:bCs/>
          <w:color w:val="000000"/>
          <w:lang w:val="de-DE" w:eastAsia="ja-JP"/>
        </w:rPr>
        <w:t xml:space="preserve"> if required</w:t>
      </w:r>
      <w:r w:rsidR="00066A1A">
        <w:rPr>
          <w:rFonts w:hint="eastAsia"/>
          <w:bCs/>
          <w:color w:val="000000"/>
          <w:lang w:val="de-DE" w:eastAsia="ja-JP"/>
        </w:rPr>
        <w:t>. However, those information may help ITU-R WP 5C develop the working document</w:t>
      </w:r>
      <w:r w:rsidR="00CF7CEC">
        <w:rPr>
          <w:rFonts w:hint="eastAsia"/>
          <w:bCs/>
          <w:color w:val="000000"/>
          <w:lang w:val="de-DE" w:eastAsia="ja-JP"/>
        </w:rPr>
        <w:t xml:space="preserve"> in the future meeting</w:t>
      </w:r>
      <w:r w:rsidR="00862E96">
        <w:rPr>
          <w:rFonts w:hint="eastAsia"/>
          <w:bCs/>
          <w:color w:val="000000"/>
          <w:lang w:val="de-DE" w:eastAsia="ja-JP"/>
        </w:rPr>
        <w:t>.</w:t>
      </w:r>
    </w:p>
    <w:p w14:paraId="4A66F009" w14:textId="3B14EDDE" w:rsidR="00CF7CEC" w:rsidRPr="00E818A7" w:rsidRDefault="00CF7CEC" w:rsidP="00AA0EC1">
      <w:pPr>
        <w:spacing w:before="120"/>
        <w:rPr>
          <w:bCs/>
          <w:color w:val="000000"/>
          <w:lang w:val="de-DE" w:eastAsia="ja-JP"/>
        </w:rPr>
      </w:pPr>
      <w:r>
        <w:rPr>
          <w:rFonts w:hint="eastAsia"/>
          <w:bCs/>
          <w:color w:val="000000"/>
          <w:lang w:val="de-DE" w:eastAsia="ja-JP"/>
        </w:rPr>
        <w:t>IEEE 802.15 SC THZ would appreciate if ITU-R WP 5C keeps it informed on the progress of the work.</w:t>
      </w:r>
    </w:p>
    <w:p w14:paraId="467609D5" w14:textId="77777777" w:rsidR="00862E96" w:rsidRPr="00862E96" w:rsidRDefault="00862E96" w:rsidP="00862E96">
      <w:pPr>
        <w:pStyle w:val="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tbl>
      <w:tblPr>
        <w:tblStyle w:val="a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862E96" w:rsidRDefault="00862E96" w:rsidP="00862E96">
            <w:pPr>
              <w:rPr>
                <w:rFonts w:eastAsiaTheme="minorEastAsia"/>
                <w:lang w:eastAsia="ja-JP"/>
              </w:rPr>
            </w:pPr>
            <w:r w:rsidRPr="00D66524">
              <w:rPr>
                <w:b/>
              </w:rPr>
              <w:t>E-mail:</w:t>
            </w:r>
            <w:r>
              <w:rPr>
                <w:bCs/>
              </w:rPr>
              <w:t xml:space="preserve">  </w:t>
            </w:r>
            <w:hyperlink r:id="rId8" w:history="1">
              <w:r w:rsidRPr="00D077FF">
                <w:rPr>
                  <w:rStyle w:val="af9"/>
                </w:rPr>
                <w:t>edward.ks.au@</w:t>
              </w:r>
              <w:r w:rsidRPr="00D077FF">
                <w:rPr>
                  <w:rStyle w:val="af9"/>
                  <w:rFonts w:eastAsiaTheme="minorEastAsia" w:hint="eastAsia"/>
                  <w:lang w:eastAsia="ja-JP"/>
                </w:rPr>
                <w:t>gmail.com</w:t>
              </w:r>
            </w:hyperlink>
            <w:hyperlink r:id="rId9" w:history="1"/>
          </w:p>
        </w:tc>
      </w:tr>
    </w:tbl>
    <w:p w14:paraId="7D31753C" w14:textId="77777777" w:rsidR="002F1A5C" w:rsidRPr="00896191" w:rsidRDefault="002F1A5C" w:rsidP="00862E96">
      <w:pPr>
        <w:spacing w:before="120"/>
        <w:rPr>
          <w:lang w:eastAsia="ja-JP"/>
        </w:rPr>
      </w:pPr>
    </w:p>
    <w:sectPr w:rsidR="002F1A5C" w:rsidRPr="00896191" w:rsidSect="00CA47B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8CC3" w14:textId="77777777" w:rsidR="006F7502" w:rsidRDefault="006F7502">
      <w:r>
        <w:separator/>
      </w:r>
    </w:p>
  </w:endnote>
  <w:endnote w:type="continuationSeparator" w:id="0">
    <w:p w14:paraId="09D1B0FC" w14:textId="77777777" w:rsidR="006F7502" w:rsidRDefault="006F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9FEE" w14:textId="77777777" w:rsidR="00EB24E5" w:rsidRDefault="00EB24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DBD48" w14:textId="77777777" w:rsidR="006F7502" w:rsidRDefault="006F7502">
      <w:r>
        <w:separator/>
      </w:r>
    </w:p>
  </w:footnote>
  <w:footnote w:type="continuationSeparator" w:id="0">
    <w:p w14:paraId="0BFDE687" w14:textId="77777777" w:rsidR="006F7502" w:rsidRDefault="006F7502">
      <w:r>
        <w:continuationSeparator/>
      </w:r>
    </w:p>
  </w:footnote>
  <w:footnote w:id="1">
    <w:p w14:paraId="665D05D6" w14:textId="6F63F951" w:rsidR="00862E96" w:rsidRDefault="00862E96">
      <w:pPr>
        <w:pStyle w:val="af"/>
        <w:rPr>
          <w:lang w:eastAsia="ja-JP"/>
        </w:rPr>
      </w:pPr>
      <w:r>
        <w:rPr>
          <w:rStyle w:val="af1"/>
        </w:rPr>
        <w:footnoteRef/>
      </w:r>
      <w:r>
        <w:t xml:space="preserve"> </w:t>
      </w:r>
      <w:hyperlink r:id="rId1" w:history="1">
        <w:r w:rsidRPr="002B348C">
          <w:rPr>
            <w:rStyle w:val="af9"/>
            <w:rFonts w:hint="eastAsia"/>
            <w:lang w:eastAsia="ja-JP"/>
          </w:rPr>
          <w:t>https://mentor.ieee.org/802.15/dcn/22/</w:t>
        </w:r>
        <w:r w:rsidRPr="002B348C">
          <w:rPr>
            <w:rStyle w:val="af9"/>
          </w:rPr>
          <w:t>15-22-0116-02-0thz-draft-channel-plan-of-500-ghz-fixed-wireless-system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13A3" w14:textId="77777777" w:rsidR="00EB24E5" w:rsidRDefault="00EB24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83AE" w14:textId="22A81960" w:rsidR="00102C65" w:rsidRDefault="0058110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w:t>
        </w:r>
        <w:r w:rsidR="002848FC">
          <w:rPr>
            <w:rFonts w:hint="eastAsia"/>
            <w:b/>
            <w:sz w:val="28"/>
            <w:lang w:eastAsia="ja-JP"/>
          </w:rPr>
          <w:t>2</w:t>
        </w:r>
        <w:r w:rsidR="00DD79F0">
          <w:rPr>
            <w:rFonts w:hint="eastAsia"/>
            <w:b/>
            <w:sz w:val="28"/>
            <w:lang w:eastAsia="ja-JP"/>
          </w:rPr>
          <w:t>5</w:t>
        </w:r>
        <w:r w:rsidR="00D526E7">
          <w:rPr>
            <w:rFonts w:hint="eastAsia"/>
            <w:b/>
            <w:sz w:val="28"/>
            <w:lang w:eastAsia="ja-JP"/>
          </w:rPr>
          <w:t>-0</w:t>
        </w:r>
        <w:r w:rsidR="00EB24E5">
          <w:rPr>
            <w:rFonts w:hint="eastAsia"/>
            <w:b/>
            <w:sz w:val="28"/>
            <w:lang w:eastAsia="ja-JP"/>
          </w:rPr>
          <w:t>688</w:t>
        </w:r>
        <w:r w:rsidR="00031A33">
          <w:rPr>
            <w:rFonts w:hint="eastAsia"/>
            <w:b/>
            <w:sz w:val="28"/>
            <w:lang w:eastAsia="ja-JP"/>
          </w:rPr>
          <w:t>-0</w:t>
        </w:r>
        <w:r w:rsidR="006E0CCC">
          <w:rPr>
            <w:rFonts w:hint="eastAsia"/>
            <w:b/>
            <w:sz w:val="28"/>
            <w:lang w:eastAsia="ja-JP"/>
          </w:rPr>
          <w:t>0</w:t>
        </w:r>
        <w:r w:rsidR="00031A33">
          <w:rPr>
            <w:rFonts w:hint="eastAsia"/>
            <w:b/>
            <w:sz w:val="28"/>
            <w:lang w:eastAsia="ja-JP"/>
          </w:rPr>
          <w:t>-0</w:t>
        </w:r>
        <w:r w:rsidR="00CC5D2B">
          <w:rPr>
            <w:rFonts w:hint="eastAsia"/>
            <w:b/>
            <w:sz w:val="28"/>
            <w:lang w:eastAsia="ja-JP"/>
          </w:rPr>
          <w:t>thz</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099271">
    <w:abstractNumId w:val="22"/>
  </w:num>
  <w:num w:numId="2" w16cid:durableId="1310553205">
    <w:abstractNumId w:val="3"/>
  </w:num>
  <w:num w:numId="3" w16cid:durableId="1774399638">
    <w:abstractNumId w:val="7"/>
  </w:num>
  <w:num w:numId="4" w16cid:durableId="1927373976">
    <w:abstractNumId w:val="21"/>
  </w:num>
  <w:num w:numId="5" w16cid:durableId="1513295660">
    <w:abstractNumId w:val="2"/>
  </w:num>
  <w:num w:numId="6" w16cid:durableId="1604726841">
    <w:abstractNumId w:val="6"/>
  </w:num>
  <w:num w:numId="7" w16cid:durableId="921648281">
    <w:abstractNumId w:val="20"/>
  </w:num>
  <w:num w:numId="8" w16cid:durableId="64494370">
    <w:abstractNumId w:val="12"/>
  </w:num>
  <w:num w:numId="9" w16cid:durableId="338969145">
    <w:abstractNumId w:val="30"/>
  </w:num>
  <w:num w:numId="10" w16cid:durableId="1961955618">
    <w:abstractNumId w:val="27"/>
  </w:num>
  <w:num w:numId="11" w16cid:durableId="1880895264">
    <w:abstractNumId w:val="19"/>
  </w:num>
  <w:num w:numId="12" w16cid:durableId="1394083961">
    <w:abstractNumId w:val="23"/>
  </w:num>
  <w:num w:numId="13" w16cid:durableId="1441292152">
    <w:abstractNumId w:val="28"/>
  </w:num>
  <w:num w:numId="14" w16cid:durableId="1983851908">
    <w:abstractNumId w:val="5"/>
  </w:num>
  <w:num w:numId="15" w16cid:durableId="963267447">
    <w:abstractNumId w:val="8"/>
  </w:num>
  <w:num w:numId="16" w16cid:durableId="1437746656">
    <w:abstractNumId w:val="17"/>
  </w:num>
  <w:num w:numId="17" w16cid:durableId="614289695">
    <w:abstractNumId w:val="16"/>
  </w:num>
  <w:num w:numId="18" w16cid:durableId="578558380">
    <w:abstractNumId w:val="10"/>
  </w:num>
  <w:num w:numId="19" w16cid:durableId="1011222544">
    <w:abstractNumId w:val="25"/>
  </w:num>
  <w:num w:numId="20" w16cid:durableId="192966497">
    <w:abstractNumId w:val="11"/>
  </w:num>
  <w:num w:numId="21" w16cid:durableId="1362896278">
    <w:abstractNumId w:val="15"/>
  </w:num>
  <w:num w:numId="22" w16cid:durableId="335183647">
    <w:abstractNumId w:val="24"/>
  </w:num>
  <w:num w:numId="23" w16cid:durableId="771315952">
    <w:abstractNumId w:val="1"/>
  </w:num>
  <w:num w:numId="24" w16cid:durableId="268586969">
    <w:abstractNumId w:val="14"/>
  </w:num>
  <w:num w:numId="25" w16cid:durableId="1989362707">
    <w:abstractNumId w:val="26"/>
  </w:num>
  <w:num w:numId="26" w16cid:durableId="43526682">
    <w:abstractNumId w:val="9"/>
  </w:num>
  <w:num w:numId="27" w16cid:durableId="103622154">
    <w:abstractNumId w:val="0"/>
  </w:num>
  <w:num w:numId="28" w16cid:durableId="1271739571">
    <w:abstractNumId w:val="13"/>
  </w:num>
  <w:num w:numId="29" w16cid:durableId="388963093">
    <w:abstractNumId w:val="29"/>
  </w:num>
  <w:num w:numId="30" w16cid:durableId="2002151266">
    <w:abstractNumId w:val="18"/>
  </w:num>
  <w:num w:numId="31" w16cid:durableId="16542169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aliases w:val="DNV-FT,ALTS FOOTNOTE,Footnote Text Char1,Footnote Text Char Char1,Footnote Text Char4 Char Char,Footnote Text Char1 Char1 Char1 Char,Footnote Text Char Char1 Char1 Char Char,Footnote Text Char1 Char1 Char1 Char Char Char1,DNV"/>
    <w:basedOn w:val="a"/>
    <w:link w:val="af0"/>
    <w:uiPriority w:val="99"/>
    <w:unhideWhenUsed/>
    <w:qFormat/>
    <w:rsid w:val="005235BA"/>
    <w:rPr>
      <w:sz w:val="20"/>
      <w:szCs w:val="20"/>
    </w:rPr>
  </w:style>
  <w:style w:type="character" w:customStyle="1" w:styleId="af0">
    <w:name w:val="脚注文字列 (文字)"/>
    <w:aliases w:val="DNV-FT (文字),ALTS FOOTNOTE (文字),Footnote Text Char1 (文字),Footnote Text Char Char1 (文字),Footnote Text Char4 Char Char (文字),Footnote Text Char1 Char1 Char1 Char (文字),Footnote Text Char Char1 Char1 Char Char (文字),DNV (文字)"/>
    <w:basedOn w:val="a0"/>
    <w:link w:val="af"/>
    <w:uiPriority w:val="99"/>
    <w:rsid w:val="005235BA"/>
    <w:rPr>
      <w:rFonts w:ascii="Times New Roman" w:hAnsi="Times New Roman"/>
      <w:lang w:val="en-US" w:eastAsia="ko-KR"/>
    </w:rPr>
  </w:style>
  <w:style w:type="character" w:styleId="af1">
    <w:name w:val="footnote reference"/>
    <w:aliases w:val="Footnote Reference/,Appel note de bas de p,Footnote symbol,Style 12,(NECG) Footnote Reference,Style 124,o,fr,Style 13,FR,Style 17,Style 3,Appel note de bas de p + 11 pt,Italic,Footnote,Appel note de bas de p1"/>
    <w:basedOn w:val="a0"/>
    <w:unhideWhenUsed/>
    <w:qFormat/>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a"/>
    <w:next w:val="a"/>
    <w:rsid w:val="00761011"/>
    <w:pPr>
      <w:tabs>
        <w:tab w:val="left" w:pos="1134"/>
        <w:tab w:val="left" w:pos="1871"/>
        <w:tab w:val="left" w:pos="2268"/>
      </w:tabs>
      <w:overflowPunct w:val="0"/>
      <w:autoSpaceDE w:val="0"/>
      <w:autoSpaceDN w:val="0"/>
      <w:adjustRightInd w:val="0"/>
      <w:spacing w:before="840"/>
      <w:jc w:val="center"/>
      <w:textAlignment w:val="baseline"/>
    </w:pPr>
    <w:rPr>
      <w:rFonts w:eastAsia="ＭＳ 明朝"/>
      <w:b/>
      <w:sz w:val="28"/>
      <w:szCs w:val="20"/>
      <w:lang w:val="en-GB" w:eastAsia="en-US"/>
    </w:rPr>
  </w:style>
  <w:style w:type="paragraph" w:customStyle="1" w:styleId="Title1">
    <w:name w:val="Title 1"/>
    <w:basedOn w:val="Source"/>
    <w:next w:val="a"/>
    <w:rsid w:val="00761011"/>
    <w:pPr>
      <w:tabs>
        <w:tab w:val="left" w:pos="567"/>
        <w:tab w:val="left" w:pos="1701"/>
        <w:tab w:val="left" w:pos="2835"/>
      </w:tabs>
      <w:spacing w:before="240"/>
    </w:pPr>
    <w:rPr>
      <w:b w:val="0"/>
      <w:caps/>
    </w:rPr>
  </w:style>
  <w:style w:type="paragraph" w:customStyle="1" w:styleId="Title4">
    <w:name w:val="Title 4"/>
    <w:basedOn w:val="a"/>
    <w:next w:val="1"/>
    <w:rsid w:val="00761011"/>
    <w:pPr>
      <w:tabs>
        <w:tab w:val="left" w:pos="1134"/>
        <w:tab w:val="left" w:pos="1871"/>
        <w:tab w:val="left" w:pos="2268"/>
      </w:tabs>
      <w:spacing w:before="240"/>
      <w:jc w:val="center"/>
    </w:pPr>
    <w:rPr>
      <w:rFonts w:eastAsia="ＭＳ 明朝"/>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entor.ieee.org/802.15/dcn/22/15-22-0116-02-0thz-draft-channel-plan-of-500-ghz-fixed-wireless-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211080"/>
    <w:rsid w:val="00211700"/>
    <w:rsid w:val="0022234C"/>
    <w:rsid w:val="00241E55"/>
    <w:rsid w:val="00260F6B"/>
    <w:rsid w:val="002946FC"/>
    <w:rsid w:val="002B329A"/>
    <w:rsid w:val="0035288D"/>
    <w:rsid w:val="003656F0"/>
    <w:rsid w:val="003663E7"/>
    <w:rsid w:val="003F2F91"/>
    <w:rsid w:val="003F451D"/>
    <w:rsid w:val="004272EA"/>
    <w:rsid w:val="00466B57"/>
    <w:rsid w:val="0047384E"/>
    <w:rsid w:val="004F1011"/>
    <w:rsid w:val="005254B1"/>
    <w:rsid w:val="005338E0"/>
    <w:rsid w:val="005527AE"/>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2496</TotalTime>
  <Pages>1</Pages>
  <Words>617</Words>
  <Characters>3522</Characters>
  <Application>Microsoft Office Word</Application>
  <DocSecurity>0</DocSecurity>
  <Lines>29</Lines>
  <Paragraphs>8</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P802.15-25-0688-00-0thz</dc:title>
  <dc:subject>Proposal of a liaison statement to ITU-R Working Party 5C</dc:subject>
  <dc:creator>Ken Hiraga</dc:creator>
  <cp:lastModifiedBy>Hiroyo Ogawa</cp:lastModifiedBy>
  <cp:revision>35</cp:revision>
  <cp:lastPrinted>2012-04-16T11:57:00Z</cp:lastPrinted>
  <dcterms:created xsi:type="dcterms:W3CDTF">2023-03-15T01:32:00Z</dcterms:created>
  <dcterms:modified xsi:type="dcterms:W3CDTF">2024-12-24T07:14:00Z</dcterms:modified>
</cp:coreProperties>
</file>