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8017EA"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DB1B31">
              <w:rPr>
                <w:rFonts w:ascii="Times New Roman" w:eastAsia="DejaVu Sans" w:hAnsi="Times New Roman" w:cs="Arial"/>
                <w:b/>
                <w:bCs/>
                <w:kern w:val="1"/>
                <w:sz w:val="24"/>
                <w:szCs w:val="24"/>
                <w:lang w:val="en-US" w:eastAsia="ar-SA"/>
              </w:rPr>
              <w:t xml:space="preserve"> CID – 271, 272, 1259,1260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77BDA2" w:rsidR="00615A5F" w:rsidRPr="00885717" w:rsidRDefault="0022345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4BFE4F0B"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p>
          <w:p w14:paraId="557E4FF8" w14:textId="14F9695A" w:rsidR="006425B9" w:rsidRPr="002C7816" w:rsidRDefault="00D91A78"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10F05FC"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DB1B31">
              <w:rPr>
                <w:rFonts w:ascii="Times New Roman" w:eastAsia="DejaVu Sans" w:hAnsi="Times New Roman" w:cs="Arial"/>
                <w:kern w:val="1"/>
                <w:sz w:val="24"/>
                <w:szCs w:val="24"/>
                <w:lang w:val="en-US" w:eastAsia="ar-SA"/>
              </w:rPr>
              <w:t xml:space="preserve">271, 272, 1259, 1260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118C9562"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826F45">
        <w:rPr>
          <w:b/>
          <w:bCs/>
          <w:i/>
          <w:color w:val="4F81BD" w:themeColor="accent1"/>
        </w:rPr>
        <w:t>15-24-</w:t>
      </w:r>
      <w:r w:rsidR="00B067A8">
        <w:rPr>
          <w:b/>
          <w:bCs/>
          <w:i/>
          <w:color w:val="4F81BD" w:themeColor="accent1"/>
        </w:rPr>
        <w:t>0371-26</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p w14:paraId="2EB05A73" w14:textId="77777777" w:rsidR="00A149AA" w:rsidRDefault="00A149AA" w:rsidP="00A149AA">
      <w:pPr>
        <w:rPr>
          <w:b/>
          <w:bCs/>
          <w:i/>
          <w:color w:val="4F81BD" w:themeColor="accent1"/>
        </w:rPr>
      </w:pPr>
      <w:bookmarkStart w:id="0" w:name="_GoBack"/>
      <w:bookmarkEnd w:id="0"/>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A97245" w:rsidRPr="00B067A8" w14:paraId="2B69536B" w14:textId="67B34CAA" w:rsidTr="00C10EC9">
        <w:trPr>
          <w:trHeight w:val="1500"/>
        </w:trPr>
        <w:tc>
          <w:tcPr>
            <w:tcW w:w="772" w:type="dxa"/>
            <w:hideMark/>
          </w:tcPr>
          <w:p w14:paraId="4CD765C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7E69870B"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271</w:t>
            </w:r>
          </w:p>
        </w:tc>
        <w:tc>
          <w:tcPr>
            <w:tcW w:w="536" w:type="dxa"/>
            <w:hideMark/>
          </w:tcPr>
          <w:p w14:paraId="316EB0D3"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7E8263FE"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6B43033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4DECC8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w:t>
            </w:r>
          </w:p>
        </w:tc>
        <w:tc>
          <w:tcPr>
            <w:tcW w:w="1985" w:type="dxa"/>
            <w:hideMark/>
          </w:tcPr>
          <w:p w14:paraId="7258A9B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Bits 17, 18 seems missing in Fig 172</w:t>
            </w:r>
          </w:p>
        </w:tc>
        <w:tc>
          <w:tcPr>
            <w:tcW w:w="1417" w:type="dxa"/>
            <w:hideMark/>
          </w:tcPr>
          <w:p w14:paraId="4E73891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as in comment</w:t>
            </w:r>
          </w:p>
        </w:tc>
        <w:tc>
          <w:tcPr>
            <w:tcW w:w="709" w:type="dxa"/>
            <w:hideMark/>
          </w:tcPr>
          <w:p w14:paraId="415E95B7"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4A251F7" w14:textId="3B3E1CE7"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6490F37E" w14:textId="002A4169" w:rsidR="00A97245" w:rsidRDefault="00DB1B31">
            <w:pPr>
              <w:rPr>
                <w:rFonts w:asciiTheme="minorHAnsi" w:eastAsiaTheme="minorEastAsia" w:hAnsiTheme="minorHAnsi" w:cstheme="minorHAnsi"/>
                <w:b/>
                <w:bCs/>
                <w:u w:val="single"/>
                <w:lang w:eastAsia="zh-CN"/>
              </w:rPr>
            </w:pPr>
            <w:r w:rsidRPr="00DB1B31">
              <w:rPr>
                <w:rFonts w:asciiTheme="minorHAnsi" w:eastAsiaTheme="minorEastAsia" w:hAnsiTheme="minorHAnsi" w:cstheme="minorHAnsi"/>
                <w:b/>
                <w:bCs/>
                <w:u w:val="single"/>
                <w:lang w:eastAsia="zh-CN"/>
              </w:rPr>
              <w:t>Corrected figure 172 with error notified in comment.</w:t>
            </w:r>
          </w:p>
        </w:tc>
      </w:tr>
      <w:tr w:rsidR="00DB1B31" w:rsidRPr="00B067A8" w14:paraId="275FCB53" w14:textId="27DA0B88" w:rsidTr="00C10EC9">
        <w:trPr>
          <w:trHeight w:val="500"/>
        </w:trPr>
        <w:tc>
          <w:tcPr>
            <w:tcW w:w="772" w:type="dxa"/>
            <w:hideMark/>
          </w:tcPr>
          <w:p w14:paraId="30E373A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20D8E68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272</w:t>
            </w:r>
          </w:p>
        </w:tc>
        <w:tc>
          <w:tcPr>
            <w:tcW w:w="536" w:type="dxa"/>
            <w:hideMark/>
          </w:tcPr>
          <w:p w14:paraId="3C106B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5CEAE9FE"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3B1F8BA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443DE32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w:t>
            </w:r>
          </w:p>
        </w:tc>
        <w:tc>
          <w:tcPr>
            <w:tcW w:w="1985" w:type="dxa"/>
            <w:hideMark/>
          </w:tcPr>
          <w:p w14:paraId="15404C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Not clear what is the relationship between Fig 172 and Fig 177 when compression is enabled</w:t>
            </w:r>
          </w:p>
        </w:tc>
        <w:tc>
          <w:tcPr>
            <w:tcW w:w="1417" w:type="dxa"/>
            <w:hideMark/>
          </w:tcPr>
          <w:p w14:paraId="5ECA45D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Please clarify</w:t>
            </w:r>
          </w:p>
        </w:tc>
        <w:tc>
          <w:tcPr>
            <w:tcW w:w="709" w:type="dxa"/>
            <w:hideMark/>
          </w:tcPr>
          <w:p w14:paraId="10E61D67"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702B927" w14:textId="76E6BBFF"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72F92350" w14:textId="275A6DD9"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6AAE8872" w14:textId="5ACCBC22" w:rsidTr="00C10EC9">
        <w:trPr>
          <w:trHeight w:val="1750"/>
        </w:trPr>
        <w:tc>
          <w:tcPr>
            <w:tcW w:w="772" w:type="dxa"/>
            <w:hideMark/>
          </w:tcPr>
          <w:p w14:paraId="3951907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09200E0F"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1259</w:t>
            </w:r>
          </w:p>
        </w:tc>
        <w:tc>
          <w:tcPr>
            <w:tcW w:w="536" w:type="dxa"/>
            <w:hideMark/>
          </w:tcPr>
          <w:p w14:paraId="2DC80D5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6EB4D6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2A87EF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3BFC0C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14</w:t>
            </w:r>
          </w:p>
        </w:tc>
        <w:tc>
          <w:tcPr>
            <w:tcW w:w="1985" w:type="dxa"/>
            <w:hideMark/>
          </w:tcPr>
          <w:p w14:paraId="4F6C95F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Two figures Figure 172 and Figure 177 give a format of the "Processed Target Feature Report IE Content field format" second is with deflate compression, but first has a compression bit and second does not… this is confusing. How can these be distinguished/parsed? Or maybe this is a mistake? Makes more sense to make one figure with the compression bit and make sure that it contains all the fields necessary.</w:t>
            </w:r>
          </w:p>
        </w:tc>
        <w:tc>
          <w:tcPr>
            <w:tcW w:w="1417" w:type="dxa"/>
            <w:hideMark/>
          </w:tcPr>
          <w:p w14:paraId="13C1AFE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Delete figure 177 and include any missing fields back into figure 172.</w:t>
            </w:r>
          </w:p>
        </w:tc>
        <w:tc>
          <w:tcPr>
            <w:tcW w:w="709" w:type="dxa"/>
            <w:hideMark/>
          </w:tcPr>
          <w:p w14:paraId="0885C0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0E36E650" w14:textId="3156F964"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7B5A38CB" w14:textId="52532C6D"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2B9310E6" w14:textId="4F41B8C9" w:rsidTr="00C10EC9">
        <w:trPr>
          <w:trHeight w:val="1250"/>
        </w:trPr>
        <w:tc>
          <w:tcPr>
            <w:tcW w:w="772" w:type="dxa"/>
            <w:hideMark/>
          </w:tcPr>
          <w:p w14:paraId="44B56E7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7F5C42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1260</w:t>
            </w:r>
          </w:p>
        </w:tc>
        <w:tc>
          <w:tcPr>
            <w:tcW w:w="536" w:type="dxa"/>
            <w:hideMark/>
          </w:tcPr>
          <w:p w14:paraId="1164460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4EDED6C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55E35E0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E9AE71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w:t>
            </w:r>
          </w:p>
        </w:tc>
        <w:tc>
          <w:tcPr>
            <w:tcW w:w="1985" w:type="dxa"/>
            <w:hideMark/>
          </w:tcPr>
          <w:p w14:paraId="679F5D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 xml:space="preserve">"constructed from the uncompressed Full Target Report List and Sparse Target Report List fields, appended to each other" does not convey ordering, possibly should be more precise " saying which comes first </w:t>
            </w:r>
            <w:r w:rsidRPr="00B067A8">
              <w:rPr>
                <w:rFonts w:asciiTheme="minorHAnsi" w:eastAsiaTheme="minorEastAsia" w:hAnsiTheme="minorHAnsi" w:cstheme="minorHAnsi"/>
                <w:b/>
                <w:bCs/>
                <w:u w:val="single"/>
                <w:lang w:eastAsia="zh-CN"/>
              </w:rPr>
              <w:lastRenderedPageBreak/>
              <w:t>and which comes second ("right concatenated") perhaps with the aid of a figure to make it clear.</w:t>
            </w:r>
          </w:p>
        </w:tc>
        <w:tc>
          <w:tcPr>
            <w:tcW w:w="1417" w:type="dxa"/>
            <w:hideMark/>
          </w:tcPr>
          <w:p w14:paraId="67D9A244"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lastRenderedPageBreak/>
              <w:t>Clarify the ordering of concatenation of these fields, with the aid of a figure.</w:t>
            </w:r>
          </w:p>
        </w:tc>
        <w:tc>
          <w:tcPr>
            <w:tcW w:w="709" w:type="dxa"/>
            <w:hideMark/>
          </w:tcPr>
          <w:p w14:paraId="2333048A"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7741E2F1" w14:textId="544AEE85"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275AC65F" w14:textId="785E85B5" w:rsidR="00DB1B31" w:rsidRPr="00C10EC9" w:rsidRDefault="00DB1B31" w:rsidP="00DB1B31">
            <w:pPr>
              <w:rPr>
                <w:rFonts w:asciiTheme="minorHAnsi" w:eastAsiaTheme="minorEastAsia" w:hAnsiTheme="minorHAnsi" w:cstheme="minorHAnsi"/>
                <w:b/>
                <w:bCs/>
                <w:u w:val="single"/>
                <w:lang w:val="en-IN" w:eastAsia="zh-CN"/>
              </w:rPr>
            </w:pPr>
            <w:r w:rsidRPr="00C10EC9">
              <w:rPr>
                <w:rFonts w:asciiTheme="minorHAnsi" w:eastAsiaTheme="minorEastAsia" w:hAnsiTheme="minorHAnsi" w:cstheme="minorHAnsi"/>
                <w:b/>
                <w:bCs/>
                <w:u w:val="single"/>
                <w:lang w:val="en-IN" w:eastAsia="zh-CN"/>
              </w:rPr>
              <w:t>Clarified with changes to text.</w:t>
            </w:r>
          </w:p>
        </w:tc>
      </w:tr>
    </w:tbl>
    <w:p w14:paraId="1C8F7CB3" w14:textId="77777777" w:rsidR="00B067A8" w:rsidRDefault="00B067A8" w:rsidP="00A149AA">
      <w:pPr>
        <w:rPr>
          <w:rFonts w:asciiTheme="minorHAnsi" w:eastAsiaTheme="minorEastAsia" w:hAnsiTheme="minorHAnsi" w:cstheme="minorHAnsi"/>
          <w:b/>
          <w:bCs/>
          <w:u w:val="single"/>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5EC9BD68" w14:textId="0CFEAC8F" w:rsidR="00E444C8" w:rsidRPr="00F4206F" w:rsidRDefault="00E444C8" w:rsidP="00E444C8">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271</w:t>
      </w:r>
      <w:r w:rsidR="00A275CB">
        <w:rPr>
          <w:rFonts w:asciiTheme="minorHAnsi" w:eastAsiaTheme="minorEastAsia" w:hAnsiTheme="minorHAnsi" w:cstheme="minorHAnsi"/>
          <w:b/>
          <w:bCs/>
          <w:lang w:eastAsia="zh-CN"/>
        </w:rPr>
        <w:t xml:space="preserve">, </w:t>
      </w:r>
      <w:r>
        <w:rPr>
          <w:rFonts w:asciiTheme="minorHAnsi" w:eastAsiaTheme="minorEastAsia" w:hAnsiTheme="minorHAnsi" w:cstheme="minorHAnsi"/>
          <w:b/>
          <w:bCs/>
          <w:lang w:eastAsia="zh-CN"/>
        </w:rPr>
        <w:tab/>
      </w:r>
    </w:p>
    <w:p w14:paraId="7C743743" w14:textId="10681943" w:rsidR="00E444C8" w:rsidRDefault="00E444C8"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w:t>
      </w:r>
      <w:r>
        <w:rPr>
          <w:rFonts w:asciiTheme="minorHAnsi" w:eastAsiaTheme="minorEastAsia" w:hAnsiTheme="minorHAnsi" w:cstheme="minorHAnsi"/>
          <w:b/>
          <w:bCs/>
          <w:lang w:eastAsia="zh-CN"/>
        </w:rPr>
        <w:t>.6</w:t>
      </w:r>
    </w:p>
    <w:p w14:paraId="1179088B" w14:textId="18C7DFAF" w:rsidR="00E444C8" w:rsidRDefault="00A275CB"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w:t>
      </w:r>
      <w:r w:rsidR="00E444C8">
        <w:rPr>
          <w:rFonts w:asciiTheme="minorHAnsi" w:eastAsiaTheme="minorEastAsia" w:hAnsiTheme="minorHAnsi" w:cstheme="minorHAnsi"/>
          <w:b/>
          <w:bCs/>
          <w:lang w:eastAsia="zh-CN"/>
        </w:rPr>
        <w:t>, Line 1</w:t>
      </w:r>
      <w:r w:rsidR="00E444C8">
        <w:rPr>
          <w:rFonts w:asciiTheme="minorHAnsi" w:eastAsiaTheme="minorEastAsia" w:hAnsiTheme="minorHAnsi" w:cstheme="minorHAnsi"/>
          <w:b/>
          <w:bCs/>
          <w:lang w:eastAsia="zh-CN"/>
        </w:rPr>
        <w:t>:</w:t>
      </w:r>
    </w:p>
    <w:tbl>
      <w:tblPr>
        <w:tblStyle w:val="TableGrid"/>
        <w:tblW w:w="9588" w:type="dxa"/>
        <w:tblInd w:w="-572" w:type="dxa"/>
        <w:tblLook w:val="04A0" w:firstRow="1" w:lastRow="0" w:firstColumn="1" w:lastColumn="0" w:noHBand="0" w:noVBand="1"/>
      </w:tblPr>
      <w:tblGrid>
        <w:gridCol w:w="819"/>
        <w:gridCol w:w="488"/>
        <w:gridCol w:w="589"/>
        <w:gridCol w:w="604"/>
        <w:gridCol w:w="549"/>
        <w:gridCol w:w="488"/>
        <w:gridCol w:w="549"/>
        <w:gridCol w:w="465"/>
        <w:gridCol w:w="766"/>
        <w:gridCol w:w="543"/>
        <w:gridCol w:w="633"/>
        <w:gridCol w:w="1026"/>
        <w:gridCol w:w="1043"/>
        <w:gridCol w:w="1026"/>
      </w:tblGrid>
      <w:tr w:rsidR="000B68E4" w14:paraId="69CB9B8D" w14:textId="32BA127C" w:rsidTr="000B68E4">
        <w:trPr>
          <w:trHeight w:val="184"/>
        </w:trPr>
        <w:tc>
          <w:tcPr>
            <w:tcW w:w="867" w:type="dxa"/>
          </w:tcPr>
          <w:p w14:paraId="6B497211"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Bits: 0–5 </w:t>
            </w:r>
          </w:p>
        </w:tc>
        <w:tc>
          <w:tcPr>
            <w:tcW w:w="500" w:type="dxa"/>
          </w:tcPr>
          <w:p w14:paraId="7BA9F181"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6 </w:t>
            </w:r>
          </w:p>
        </w:tc>
        <w:tc>
          <w:tcPr>
            <w:tcW w:w="622" w:type="dxa"/>
          </w:tcPr>
          <w:p w14:paraId="41A2E177"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7–12 </w:t>
            </w:r>
          </w:p>
        </w:tc>
        <w:tc>
          <w:tcPr>
            <w:tcW w:w="628" w:type="dxa"/>
          </w:tcPr>
          <w:p w14:paraId="20B078F6"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13–16 </w:t>
            </w:r>
          </w:p>
        </w:tc>
        <w:tc>
          <w:tcPr>
            <w:tcW w:w="574" w:type="dxa"/>
          </w:tcPr>
          <w:p w14:paraId="2D1D29F8" w14:textId="77777777" w:rsidR="000B68E4" w:rsidRPr="00E444C8" w:rsidRDefault="000B68E4" w:rsidP="00416C29">
            <w:pPr>
              <w:pStyle w:val="Default"/>
              <w:rPr>
                <w:rFonts w:ascii="Times New Roman" w:hAnsi="Times New Roman" w:cs="Times New Roman"/>
                <w:sz w:val="18"/>
                <w:szCs w:val="18"/>
                <w:highlight w:val="yellow"/>
              </w:rPr>
            </w:pPr>
            <w:r w:rsidRPr="00E444C8">
              <w:rPr>
                <w:rFonts w:ascii="Times New Roman" w:hAnsi="Times New Roman" w:cs="Times New Roman"/>
                <w:b/>
                <w:bCs/>
                <w:sz w:val="18"/>
                <w:szCs w:val="18"/>
                <w:highlight w:val="yellow"/>
              </w:rPr>
              <w:t>17</w:t>
            </w:r>
          </w:p>
        </w:tc>
        <w:tc>
          <w:tcPr>
            <w:tcW w:w="500" w:type="dxa"/>
          </w:tcPr>
          <w:p w14:paraId="52DFD633"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18</w:t>
            </w:r>
          </w:p>
        </w:tc>
        <w:tc>
          <w:tcPr>
            <w:tcW w:w="574" w:type="dxa"/>
          </w:tcPr>
          <w:p w14:paraId="70294AD3"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19</w:t>
            </w:r>
          </w:p>
        </w:tc>
        <w:tc>
          <w:tcPr>
            <w:tcW w:w="467" w:type="dxa"/>
          </w:tcPr>
          <w:p w14:paraId="7B287ADB" w14:textId="77777777" w:rsidR="000B68E4" w:rsidRPr="00E444C8" w:rsidRDefault="000B68E4" w:rsidP="00416C29">
            <w:pPr>
              <w:pStyle w:val="Default"/>
              <w:rPr>
                <w:rFonts w:ascii="Times New Roman" w:hAnsi="Times New Roman" w:cs="Times New Roman"/>
                <w:b/>
                <w:bCs/>
                <w:sz w:val="18"/>
                <w:szCs w:val="18"/>
                <w:highlight w:val="yellow"/>
              </w:rPr>
            </w:pPr>
            <w:r w:rsidRPr="00E444C8">
              <w:rPr>
                <w:rFonts w:ascii="Times New Roman" w:hAnsi="Times New Roman" w:cs="Times New Roman"/>
                <w:b/>
                <w:bCs/>
                <w:sz w:val="18"/>
                <w:szCs w:val="18"/>
                <w:highlight w:val="yellow"/>
              </w:rPr>
              <w:t>20-23</w:t>
            </w:r>
          </w:p>
        </w:tc>
        <w:tc>
          <w:tcPr>
            <w:tcW w:w="0" w:type="auto"/>
          </w:tcPr>
          <w:p w14:paraId="5AFE2DA6"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Octets: 0/1 </w:t>
            </w:r>
          </w:p>
        </w:tc>
        <w:tc>
          <w:tcPr>
            <w:tcW w:w="563" w:type="dxa"/>
          </w:tcPr>
          <w:p w14:paraId="642A3084"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671" w:type="dxa"/>
          </w:tcPr>
          <w:p w14:paraId="4194116B"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1026" w:type="dxa"/>
          </w:tcPr>
          <w:p w14:paraId="686D0B10"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46" w:type="dxa"/>
          </w:tcPr>
          <w:p w14:paraId="3A4E52CF" w14:textId="77777777" w:rsidR="000B68E4" w:rsidRPr="00E444C8" w:rsidRDefault="000B68E4"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784" w:type="dxa"/>
          </w:tcPr>
          <w:p w14:paraId="2763E2B5" w14:textId="5A0A087C" w:rsidR="000B68E4" w:rsidRPr="00A275CB" w:rsidRDefault="000B68E4" w:rsidP="00416C29">
            <w:pPr>
              <w:pStyle w:val="Default"/>
              <w:rPr>
                <w:rFonts w:ascii="Times New Roman" w:hAnsi="Times New Roman" w:cs="Times New Roman"/>
                <w:b/>
                <w:bCs/>
                <w:sz w:val="18"/>
                <w:szCs w:val="18"/>
                <w:highlight w:val="yellow"/>
              </w:rPr>
            </w:pPr>
            <w:r w:rsidRPr="00A275CB">
              <w:rPr>
                <w:rFonts w:ascii="Times New Roman" w:hAnsi="Times New Roman" w:cs="Times New Roman"/>
                <w:b/>
                <w:bCs/>
                <w:sz w:val="18"/>
                <w:szCs w:val="18"/>
                <w:highlight w:val="yellow"/>
              </w:rPr>
              <w:t>0/Variable</w:t>
            </w:r>
          </w:p>
        </w:tc>
      </w:tr>
      <w:tr w:rsidR="000B68E4" w14:paraId="299388F9" w14:textId="3DFD146B" w:rsidTr="000B68E4">
        <w:trPr>
          <w:cantSplit/>
          <w:trHeight w:val="2625"/>
        </w:trPr>
        <w:tc>
          <w:tcPr>
            <w:tcW w:w="867" w:type="dxa"/>
            <w:textDirection w:val="btLr"/>
          </w:tcPr>
          <w:p w14:paraId="431B4D95" w14:textId="7F86C5FE"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Targets</w:t>
            </w:r>
          </w:p>
        </w:tc>
        <w:tc>
          <w:tcPr>
            <w:tcW w:w="500" w:type="dxa"/>
            <w:textDirection w:val="btLr"/>
          </w:tcPr>
          <w:p w14:paraId="097C3369" w14:textId="7066AA1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EOL</w:t>
            </w:r>
          </w:p>
        </w:tc>
        <w:tc>
          <w:tcPr>
            <w:tcW w:w="622" w:type="dxa"/>
            <w:textDirection w:val="btLr"/>
          </w:tcPr>
          <w:p w14:paraId="7CCCF44B" w14:textId="2D982845"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Full Targets</w:t>
            </w:r>
          </w:p>
        </w:tc>
        <w:tc>
          <w:tcPr>
            <w:tcW w:w="628" w:type="dxa"/>
            <w:textDirection w:val="btLr"/>
          </w:tcPr>
          <w:p w14:paraId="5DC4E771" w14:textId="414DB8E8"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Sparse Targets</w:t>
            </w:r>
          </w:p>
        </w:tc>
        <w:tc>
          <w:tcPr>
            <w:tcW w:w="574" w:type="dxa"/>
            <w:textDirection w:val="btLr"/>
          </w:tcPr>
          <w:p w14:paraId="65EFC02D" w14:textId="5DBB6DF4"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(Azimuth)</w:t>
            </w:r>
          </w:p>
        </w:tc>
        <w:tc>
          <w:tcPr>
            <w:tcW w:w="500" w:type="dxa"/>
            <w:textDirection w:val="btLr"/>
          </w:tcPr>
          <w:p w14:paraId="39AC6E4B" w14:textId="7A76030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(Elevation)</w:t>
            </w:r>
          </w:p>
        </w:tc>
        <w:tc>
          <w:tcPr>
            <w:tcW w:w="574" w:type="dxa"/>
            <w:textDirection w:val="btLr"/>
          </w:tcPr>
          <w:p w14:paraId="270FF4F6" w14:textId="1C5F1822"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(Rotation)</w:t>
            </w:r>
          </w:p>
        </w:tc>
        <w:tc>
          <w:tcPr>
            <w:tcW w:w="467" w:type="dxa"/>
            <w:textDirection w:val="btLr"/>
          </w:tcPr>
          <w:p w14:paraId="2A35404F" w14:textId="7777777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Reserved</w:t>
            </w:r>
          </w:p>
        </w:tc>
        <w:tc>
          <w:tcPr>
            <w:tcW w:w="0" w:type="auto"/>
            <w:textDirection w:val="btLr"/>
          </w:tcPr>
          <w:p w14:paraId="57F0E05A" w14:textId="072D9C1C"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(Azimuth)</w:t>
            </w:r>
          </w:p>
        </w:tc>
        <w:tc>
          <w:tcPr>
            <w:tcW w:w="563" w:type="dxa"/>
            <w:textDirection w:val="btLr"/>
          </w:tcPr>
          <w:p w14:paraId="4EDBCBBD" w14:textId="7BCA83C8"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(Elevation)</w:t>
            </w:r>
          </w:p>
        </w:tc>
        <w:tc>
          <w:tcPr>
            <w:tcW w:w="671" w:type="dxa"/>
            <w:textDirection w:val="btLr"/>
          </w:tcPr>
          <w:p w14:paraId="6123F2D7" w14:textId="232E96E7"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(Rotation)</w:t>
            </w:r>
          </w:p>
        </w:tc>
        <w:tc>
          <w:tcPr>
            <w:tcW w:w="1026" w:type="dxa"/>
            <w:textDirection w:val="btLr"/>
          </w:tcPr>
          <w:p w14:paraId="3B281280" w14:textId="4D5FF083"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Full Target Report List</w:t>
            </w:r>
          </w:p>
        </w:tc>
        <w:tc>
          <w:tcPr>
            <w:tcW w:w="1046" w:type="dxa"/>
            <w:textDirection w:val="btLr"/>
          </w:tcPr>
          <w:p w14:paraId="0B5A7DAA" w14:textId="749AAE33" w:rsidR="000B68E4" w:rsidRPr="00E444C8" w:rsidRDefault="000B68E4"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Sparse Target Report List</w:t>
            </w:r>
          </w:p>
        </w:tc>
        <w:tc>
          <w:tcPr>
            <w:tcW w:w="784" w:type="dxa"/>
            <w:textDirection w:val="btLr"/>
          </w:tcPr>
          <w:p w14:paraId="59D26846" w14:textId="77777777" w:rsidR="000B68E4" w:rsidRPr="00A275CB" w:rsidRDefault="000B68E4"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DEFLATE</w:t>
            </w:r>
          </w:p>
          <w:p w14:paraId="31051E78" w14:textId="5551F987" w:rsidR="000B68E4" w:rsidRPr="00A275CB" w:rsidRDefault="000B68E4"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Compressed Report</w:t>
            </w:r>
          </w:p>
        </w:tc>
      </w:tr>
    </w:tbl>
    <w:p w14:paraId="1BFA845D" w14:textId="686449B5" w:rsidR="00E444C8" w:rsidRDefault="00A275CB" w:rsidP="00E444C8">
      <w:pPr>
        <w:rPr>
          <w:rFonts w:asciiTheme="minorHAnsi" w:eastAsiaTheme="minorEastAsia" w:hAnsiTheme="minorHAnsi" w:cstheme="minorHAnsi"/>
          <w:b/>
          <w:bCs/>
          <w:lang w:eastAsia="zh-CN"/>
        </w:rPr>
      </w:pPr>
      <w:r>
        <w:rPr>
          <w:b/>
          <w:bCs/>
        </w:rPr>
        <w:t>Figure 172</w:t>
      </w:r>
      <w:r w:rsidR="00E444C8">
        <w:rPr>
          <w:b/>
          <w:bCs/>
        </w:rPr>
        <w:t>—Processed Target Feature Report IE Content field format</w:t>
      </w:r>
    </w:p>
    <w:p w14:paraId="206221BE" w14:textId="12370783" w:rsidR="00A275CB" w:rsidRDefault="004E5BBC" w:rsidP="00F7777A">
      <w:pPr>
        <w:rPr>
          <w:rFonts w:asciiTheme="minorHAnsi" w:eastAsiaTheme="minorEastAsia" w:hAnsiTheme="minorHAnsi" w:cstheme="minorHAnsi"/>
          <w:b/>
          <w:bCs/>
          <w:lang w:eastAsia="zh-CN"/>
        </w:rPr>
      </w:pPr>
      <w:r w:rsidRPr="004E5BBC">
        <w:rPr>
          <w:rFonts w:asciiTheme="minorHAnsi" w:eastAsiaTheme="minorEastAsia" w:hAnsiTheme="minorHAnsi" w:cstheme="minorHAnsi"/>
          <w:b/>
          <w:bCs/>
          <w:highlight w:val="green"/>
          <w:lang w:eastAsia="zh-CN"/>
        </w:rPr>
        <w:t>(</w:t>
      </w:r>
      <w:r>
        <w:rPr>
          <w:rFonts w:asciiTheme="minorHAnsi" w:eastAsiaTheme="minorEastAsia" w:hAnsiTheme="minorHAnsi" w:cstheme="minorHAnsi"/>
          <w:b/>
          <w:bCs/>
          <w:highlight w:val="green"/>
          <w:lang w:eastAsia="zh-CN"/>
        </w:rPr>
        <w:t>Note</w:t>
      </w:r>
      <w:r w:rsidRPr="004E5BBC">
        <w:rPr>
          <w:rFonts w:asciiTheme="minorHAnsi" w:eastAsiaTheme="minorEastAsia" w:hAnsiTheme="minorHAnsi" w:cstheme="minorHAnsi"/>
          <w:b/>
          <w:bCs/>
          <w:highlight w:val="green"/>
          <w:lang w:eastAsia="zh-CN"/>
        </w:rPr>
        <w:t xml:space="preserve"> to Editor</w:t>
      </w:r>
      <w:r>
        <w:rPr>
          <w:rFonts w:asciiTheme="minorHAnsi" w:eastAsiaTheme="minorEastAsia" w:hAnsiTheme="minorHAnsi" w:cstheme="minorHAnsi"/>
          <w:b/>
          <w:bCs/>
          <w:highlight w:val="green"/>
          <w:lang w:eastAsia="zh-CN"/>
        </w:rPr>
        <w:t xml:space="preserve">) </w:t>
      </w:r>
      <w:r w:rsidR="00A275CB" w:rsidRPr="004E5BBC">
        <w:rPr>
          <w:rFonts w:asciiTheme="minorHAnsi" w:eastAsiaTheme="minorEastAsia" w:hAnsiTheme="minorHAnsi" w:cstheme="minorHAnsi"/>
          <w:b/>
          <w:bCs/>
          <w:highlight w:val="green"/>
          <w:lang w:eastAsia="zh-CN"/>
        </w:rPr>
        <w:t>Remove/Delete Figure 177.</w:t>
      </w:r>
      <w:r w:rsidR="00A275CB">
        <w:rPr>
          <w:rFonts w:asciiTheme="minorHAnsi" w:eastAsiaTheme="minorEastAsia" w:hAnsiTheme="minorHAnsi" w:cstheme="minorHAnsi"/>
          <w:b/>
          <w:bCs/>
          <w:lang w:eastAsia="zh-CN"/>
        </w:rPr>
        <w:t xml:space="preserve"> </w:t>
      </w:r>
    </w:p>
    <w:p w14:paraId="2E444BD3" w14:textId="0AB2DD7F" w:rsidR="00A275CB" w:rsidRDefault="00A275CB"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15</w:t>
      </w:r>
    </w:p>
    <w:p w14:paraId="0AE80A29" w14:textId="6B24479C" w:rsidR="00A275CB" w:rsidRPr="00A275CB" w:rsidRDefault="00A275CB" w:rsidP="00A275CB">
      <w:pPr>
        <w:rPr>
          <w:rFonts w:ascii="Times New Roman" w:eastAsiaTheme="minorEastAsia" w:hAnsi="Times New Roman"/>
          <w:bCs/>
          <w:lang w:eastAsia="zh-CN"/>
        </w:rPr>
      </w:pPr>
      <w:r w:rsidRPr="00A275CB">
        <w:rPr>
          <w:rFonts w:ascii="Times New Roman" w:eastAsiaTheme="minorEastAsia" w:hAnsi="Times New Roman"/>
          <w:bCs/>
          <w:lang w:eastAsia="zh-CN"/>
        </w:rPr>
        <w:t>The DEFLATE Compressed Report field is constructed from the uncompres</w:t>
      </w:r>
      <w:r w:rsidR="00DB7601">
        <w:rPr>
          <w:rFonts w:ascii="Times New Roman" w:eastAsiaTheme="minorEastAsia" w:hAnsi="Times New Roman"/>
          <w:bCs/>
          <w:lang w:eastAsia="zh-CN"/>
        </w:rPr>
        <w:t xml:space="preserve">sed Full Target Report List, </w:t>
      </w:r>
      <w:r w:rsidR="00DB7601" w:rsidRPr="00DB7601">
        <w:rPr>
          <w:rFonts w:ascii="Times New Roman" w:eastAsiaTheme="minorEastAsia" w:hAnsi="Times New Roman"/>
          <w:bCs/>
          <w:highlight w:val="yellow"/>
          <w:lang w:eastAsia="zh-CN"/>
        </w:rPr>
        <w:t>right concatenated with</w:t>
      </w:r>
      <w:r w:rsidR="00DB7601">
        <w:rPr>
          <w:rFonts w:ascii="Times New Roman" w:eastAsiaTheme="minorEastAsia" w:hAnsi="Times New Roman"/>
          <w:bCs/>
          <w:lang w:eastAsia="zh-CN"/>
        </w:rPr>
        <w:t xml:space="preserve"> </w:t>
      </w:r>
      <w:r w:rsidRPr="00A275CB">
        <w:rPr>
          <w:rFonts w:ascii="Times New Roman" w:eastAsiaTheme="minorEastAsia" w:hAnsi="Times New Roman"/>
          <w:bCs/>
          <w:lang w:eastAsia="zh-CN"/>
        </w:rPr>
        <w:t>Sparse Target Report List fields</w:t>
      </w:r>
      <w:r w:rsidRPr="00DB7601">
        <w:rPr>
          <w:rFonts w:ascii="Times New Roman" w:eastAsiaTheme="minorEastAsia" w:hAnsi="Times New Roman"/>
          <w:bCs/>
          <w:strike/>
          <w:highlight w:val="yellow"/>
          <w:lang w:eastAsia="zh-CN"/>
        </w:rPr>
        <w:t>, appended to each other,</w:t>
      </w:r>
      <w:r w:rsidR="00DB1B31">
        <w:rPr>
          <w:rFonts w:ascii="Times New Roman" w:eastAsiaTheme="minorEastAsia" w:hAnsi="Times New Roman"/>
          <w:bCs/>
          <w:strike/>
          <w:lang w:eastAsia="zh-CN"/>
        </w:rPr>
        <w:t xml:space="preserve"> </w:t>
      </w:r>
      <w:r w:rsidRPr="00A275CB">
        <w:rPr>
          <w:rFonts w:ascii="Times New Roman" w:eastAsiaTheme="minorEastAsia" w:hAnsi="Times New Roman"/>
          <w:bCs/>
          <w:lang w:eastAsia="zh-CN"/>
        </w:rPr>
        <w:t>and compre</w:t>
      </w:r>
      <w:r>
        <w:rPr>
          <w:rFonts w:ascii="Times New Roman" w:eastAsiaTheme="minorEastAsia" w:hAnsi="Times New Roman"/>
          <w:bCs/>
          <w:lang w:eastAsia="zh-CN"/>
        </w:rPr>
        <w:t xml:space="preserve">ssed together using the DEFLATE </w:t>
      </w:r>
      <w:r w:rsidRPr="00A275CB">
        <w:rPr>
          <w:rFonts w:ascii="Times New Roman" w:eastAsiaTheme="minorEastAsia" w:hAnsi="Times New Roman"/>
          <w:bCs/>
          <w:lang w:eastAsia="zh-CN"/>
        </w:rPr>
        <w:t xml:space="preserve">method. For transmission, the DEFLATE Compressed Report field is zero </w:t>
      </w:r>
      <w:r>
        <w:rPr>
          <w:rFonts w:ascii="Times New Roman" w:eastAsiaTheme="minorEastAsia" w:hAnsi="Times New Roman"/>
          <w:bCs/>
          <w:lang w:eastAsia="zh-CN"/>
        </w:rPr>
        <w:t xml:space="preserve">padded to be an integral number </w:t>
      </w:r>
      <w:r w:rsidRPr="00A275CB">
        <w:rPr>
          <w:rFonts w:ascii="Times New Roman" w:eastAsiaTheme="minorEastAsia" w:hAnsi="Times New Roman"/>
          <w:bCs/>
          <w:lang w:eastAsia="zh-CN"/>
        </w:rPr>
        <w:t>of octets.</w:t>
      </w:r>
    </w:p>
    <w:sectPr w:rsidR="00A275CB" w:rsidRPr="00A275C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3510" w14:textId="77777777" w:rsidR="00D91A78" w:rsidRDefault="00D91A78" w:rsidP="00B72CFD">
      <w:pPr>
        <w:spacing w:after="0" w:line="240" w:lineRule="auto"/>
      </w:pPr>
      <w:r>
        <w:separator/>
      </w:r>
    </w:p>
  </w:endnote>
  <w:endnote w:type="continuationSeparator" w:id="0">
    <w:p w14:paraId="24EB7FB7" w14:textId="77777777" w:rsidR="00D91A78" w:rsidRDefault="00D91A7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2E85B022"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26F45">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591A" w14:textId="77777777" w:rsidR="00D91A78" w:rsidRDefault="00D91A78" w:rsidP="00B72CFD">
      <w:pPr>
        <w:spacing w:after="0" w:line="240" w:lineRule="auto"/>
      </w:pPr>
      <w:r>
        <w:separator/>
      </w:r>
    </w:p>
  </w:footnote>
  <w:footnote w:type="continuationSeparator" w:id="0">
    <w:p w14:paraId="5EF5E5F3" w14:textId="77777777" w:rsidR="00D91A78" w:rsidRDefault="00D91A7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C1799FE" w:rsidR="00191BB7" w:rsidRPr="00B72CFD" w:rsidRDefault="00B067A8" w:rsidP="00B72CFD">
    <w:pPr>
      <w:pStyle w:val="Header"/>
      <w:spacing w:after="240" w:line="220" w:lineRule="exact"/>
      <w:rPr>
        <w:rFonts w:ascii="Times New Roman" w:hAnsi="Times New Roman"/>
      </w:rPr>
    </w:pPr>
    <w:r>
      <w:rPr>
        <w:rFonts w:ascii="Times New Roman" w:eastAsia="Malgun Gothic" w:hAnsi="Times New Roman"/>
        <w:u w:val="single"/>
      </w:rPr>
      <w:t>Nov</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456">
      <w:rPr>
        <w:rFonts w:ascii="Times New Roman" w:eastAsia="Malgun Gothic" w:hAnsi="Times New Roman"/>
        <w:u w:val="single"/>
      </w:rPr>
      <w:t>0619</w:t>
    </w:r>
    <w:r w:rsidR="00A7629E" w:rsidRPr="00A7629E">
      <w:rPr>
        <w:rFonts w:ascii="Times New Roman" w:eastAsia="Malgun Gothic" w:hAnsi="Times New Roman"/>
        <w:u w:val="single"/>
      </w:rPr>
      <w:t>-0</w:t>
    </w:r>
    <w:r w:rsidR="008D3D78">
      <w:rPr>
        <w:rFonts w:ascii="Times New Roman" w:eastAsia="Malgun Gothic" w:hAnsi="Times New Roman"/>
        <w:u w:val="single"/>
      </w:rPr>
      <w:t>4</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5CB"/>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E9F3704-1563-4643-A44A-6016C62C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2024-11-12T14:10:00Z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