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comments to NIST SP 800-232 initial public draft</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11</w:t>
            </w:r>
            <w:r>
              <w:rPr>
                <w:sz w:val="24"/>
                <w:szCs w:val="22"/>
                <w:vertAlign w:val="superscript"/>
              </w:rPr>
              <w:t>th</w:t>
            </w:r>
            <w:r>
              <w:rPr>
                <w:sz w:val="24"/>
                <w:szCs w:val="22"/>
              </w:rPr>
              <w:t xml:space="preserve"> November 2024</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Comments relating to the NIST SP 800-232 initial public draft related to the ASCON Tag generation requirement R3</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Propose changes to NIST SP 800-232 initial public draft so that it can be used with current IEEE Std 802.15.4.</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0" w:hanging="0"/>
        <w:rPr/>
      </w:pPr>
      <w:r>
        <w:rPr/>
      </w:r>
    </w:p>
    <w:p>
      <w:pPr>
        <w:pStyle w:val="Normal"/>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IEEE 802.15 WG comments to the NIST SP 800-232 initial public draft</w:t>
      </w:r>
    </w:p>
    <w:p>
      <w:pPr>
        <w:pStyle w:val="Normal"/>
        <w:jc w:val="center"/>
        <w:rPr>
          <w:sz w:val="24"/>
        </w:rPr>
      </w:pPr>
      <w:r>
        <w:rPr>
          <w:sz w:val="24"/>
        </w:rPr>
      </w:r>
    </w:p>
    <w:p>
      <w:pPr>
        <w:pStyle w:val="TextBody"/>
        <w:ind w:left="0" w:hanging="0"/>
        <w:rPr>
          <w:rFonts w:ascii="Times New Roman" w:hAnsi="Times New Roman"/>
          <w:sz w:val="22"/>
          <w:szCs w:val="22"/>
        </w:rPr>
      </w:pPr>
      <w:r>
        <w:rPr/>
        <w:t xml:space="preserve">This document solely represents the views of the IEEE 802.15 Working Group, and does not necessarily represent the views of IEEE 802, IEEE Standards Association, or IEEE. </w:t>
      </w:r>
    </w:p>
    <w:p>
      <w:pPr>
        <w:pStyle w:val="TextBody"/>
        <w:rPr>
          <w:rFonts w:ascii="Times New Roman" w:hAnsi="Times New Roman"/>
          <w:sz w:val="22"/>
          <w:szCs w:val="22"/>
        </w:rPr>
      </w:pPr>
      <w:r>
        <w:rPr/>
        <w:t>NIST SP 800-232 initial public draft in section 4.3 has requirement R3 as follows:</w:t>
      </w:r>
    </w:p>
    <w:p>
      <w:pPr>
        <w:pStyle w:val="TextBody"/>
        <w:widowControl/>
        <w:suppressAutoHyphens w:val="true"/>
        <w:bidi w:val="0"/>
        <w:spacing w:before="0" w:after="0"/>
        <w:ind w:left="694" w:right="0" w:hanging="709"/>
        <w:jc w:val="left"/>
        <w:rPr>
          <w:rFonts w:ascii="Times New Roman" w:hAnsi="Times New Roman"/>
          <w:sz w:val="22"/>
          <w:szCs w:val="22"/>
        </w:rPr>
      </w:pPr>
      <w:r>
        <w:rPr/>
        <w:t>R3.</w:t>
        <w:tab/>
        <w:t>Minimum length of truncated tag. When an application uses truncated tags, the bit length of the truncated tags shall be at least 64 bits, and the tag length shall be the same across the life-span of the key.</w:t>
      </w:r>
    </w:p>
    <w:p>
      <w:pPr>
        <w:pStyle w:val="TextBody"/>
        <w:rPr>
          <w:b/>
          <w:b/>
          <w:bCs/>
        </w:rPr>
      </w:pPr>
      <w:r>
        <w:rPr>
          <w:b/>
          <w:bCs/>
        </w:rPr>
        <w:t>Comments:</w:t>
      </w:r>
    </w:p>
    <w:p>
      <w:pPr>
        <w:pStyle w:val="TextBody"/>
        <w:numPr>
          <w:ilvl w:val="0"/>
          <w:numId w:val="2"/>
        </w:numPr>
        <w:rPr/>
      </w:pPr>
      <w:r>
        <w:rPr/>
        <w:t>In the IEEE Std 802.15.4</w:t>
      </w:r>
      <w:r>
        <w:rPr>
          <w:rFonts w:eastAsia="DejaVu Sans" w:cs="DejaVu Sans" w:ascii="DejaVu Sans" w:hAnsi="DejaVu Sans"/>
        </w:rPr>
        <w:t>™</w:t>
      </w:r>
      <w:r>
        <w:rPr/>
        <w:t xml:space="preserve"> there </w:t>
      </w:r>
      <w:r>
        <w:rPr/>
        <w:t>are</w:t>
      </w:r>
      <w:r>
        <w:rPr/>
        <w:t xml:space="preserve"> three possible tag lengths MIC-32, MIC-64, and MIC-128. The current text in R3 does not allow using 32-bit tag lengths.</w:t>
      </w:r>
    </w:p>
    <w:p>
      <w:pPr>
        <w:pStyle w:val="TextBody"/>
        <w:numPr>
          <w:ilvl w:val="0"/>
          <w:numId w:val="2"/>
        </w:numPr>
        <w:rPr/>
      </w:pPr>
      <w:r>
        <w:rPr/>
        <w:t>IEEE Std 802.15.4</w:t>
      </w:r>
      <w:r>
        <w:rPr>
          <w:rFonts w:eastAsia="DejaVu Sans" w:cs="DejaVu Sans" w:ascii="DejaVu Sans" w:hAnsi="DejaVu Sans"/>
        </w:rPr>
        <w:t>™</w:t>
      </w:r>
      <w:r>
        <w:rPr/>
        <w:t xml:space="preserve"> allows using different tag lengths for the same key, and encodes the tag length inside the Nonce, so each tag length </w:t>
      </w:r>
      <w:r>
        <w:rPr/>
        <w:t xml:space="preserve">uses a </w:t>
      </w:r>
      <w:r>
        <w:rPr/>
        <w:t>different Nonce value. The current text in R3 does not allow this construct to be used.</w:t>
      </w:r>
    </w:p>
    <w:p>
      <w:pPr>
        <w:pStyle w:val="TextBody"/>
        <w:rPr>
          <w:rFonts w:ascii="Times New Roman" w:hAnsi="Times New Roman"/>
          <w:b/>
          <w:b/>
          <w:bCs/>
          <w:sz w:val="22"/>
          <w:szCs w:val="22"/>
        </w:rPr>
      </w:pPr>
      <w:r>
        <w:rPr>
          <w:b/>
          <w:bCs/>
          <w:sz w:val="22"/>
          <w:szCs w:val="22"/>
        </w:rPr>
        <w:t>Background:</w:t>
      </w:r>
    </w:p>
    <w:p>
      <w:pPr>
        <w:pStyle w:val="TextBody"/>
        <w:ind w:left="720" w:hanging="0"/>
        <w:rPr>
          <w:rFonts w:ascii="Times New Roman" w:hAnsi="Times New Roman"/>
          <w:sz w:val="22"/>
          <w:szCs w:val="22"/>
        </w:rPr>
      </w:pPr>
      <w:r>
        <w:rPr/>
        <w:t>Nonce in IEEE Std 802.15.4 is generated as follows:</w:t>
      </w:r>
    </w:p>
    <w:tbl>
      <w:tblPr>
        <w:tblW w:w="5538" w:type="dxa"/>
        <w:jc w:val="left"/>
        <w:tblInd w:w="1233" w:type="dxa"/>
        <w:tblLayout w:type="fixed"/>
        <w:tblCellMar>
          <w:top w:w="55" w:type="dxa"/>
          <w:left w:w="55" w:type="dxa"/>
          <w:bottom w:w="55" w:type="dxa"/>
          <w:right w:w="55" w:type="dxa"/>
        </w:tblCellMar>
      </w:tblPr>
      <w:tblGrid>
        <w:gridCol w:w="1869"/>
        <w:gridCol w:w="1499"/>
        <w:gridCol w:w="2170"/>
      </w:tblGrid>
      <w:tr>
        <w:trPr/>
        <w:tc>
          <w:tcPr>
            <w:tcW w:w="1869" w:type="dxa"/>
            <w:tcBorders>
              <w:top w:val="single" w:sz="12" w:space="0" w:color="000000"/>
              <w:left w:val="single" w:sz="12" w:space="0" w:color="000000"/>
              <w:bottom w:val="single" w:sz="4" w:space="0" w:color="000000"/>
            </w:tcBorders>
          </w:tcPr>
          <w:p>
            <w:pPr>
              <w:pStyle w:val="TableContents"/>
              <w:widowControl w:val="false"/>
              <w:jc w:val="center"/>
              <w:rPr>
                <w:b/>
                <w:b/>
                <w:bCs/>
              </w:rPr>
            </w:pPr>
            <w:r>
              <w:rPr>
                <w:b/>
                <w:bCs/>
              </w:rPr>
              <w:t>Octets: 8</w:t>
            </w:r>
          </w:p>
        </w:tc>
        <w:tc>
          <w:tcPr>
            <w:tcW w:w="1499" w:type="dxa"/>
            <w:tcBorders>
              <w:top w:val="single" w:sz="12" w:space="0" w:color="000000"/>
              <w:left w:val="single" w:sz="4" w:space="0" w:color="000000"/>
              <w:bottom w:val="single" w:sz="4" w:space="0" w:color="000000"/>
            </w:tcBorders>
          </w:tcPr>
          <w:p>
            <w:pPr>
              <w:pStyle w:val="TableContents"/>
              <w:widowControl w:val="false"/>
              <w:jc w:val="center"/>
              <w:rPr>
                <w:b/>
                <w:b/>
                <w:bCs/>
              </w:rPr>
            </w:pPr>
            <w:r>
              <w:rPr>
                <w:b/>
                <w:bCs/>
              </w:rPr>
              <w:t>4</w:t>
            </w:r>
          </w:p>
        </w:tc>
        <w:tc>
          <w:tcPr>
            <w:tcW w:w="2170" w:type="dxa"/>
            <w:tcBorders>
              <w:top w:val="single" w:sz="12" w:space="0" w:color="000000"/>
              <w:left w:val="single" w:sz="4" w:space="0" w:color="000000"/>
              <w:bottom w:val="single" w:sz="4" w:space="0" w:color="000000"/>
              <w:right w:val="single" w:sz="12" w:space="0" w:color="000000"/>
            </w:tcBorders>
          </w:tcPr>
          <w:p>
            <w:pPr>
              <w:pStyle w:val="TableContents"/>
              <w:widowControl w:val="false"/>
              <w:jc w:val="center"/>
              <w:rPr>
                <w:b/>
                <w:b/>
                <w:bCs/>
              </w:rPr>
            </w:pPr>
            <w:r>
              <w:rPr>
                <w:b/>
                <w:bCs/>
              </w:rPr>
              <w:t>1</w:t>
            </w:r>
          </w:p>
        </w:tc>
      </w:tr>
      <w:tr>
        <w:trPr/>
        <w:tc>
          <w:tcPr>
            <w:tcW w:w="1869" w:type="dxa"/>
            <w:tcBorders>
              <w:left w:val="single" w:sz="12" w:space="0" w:color="000000"/>
              <w:bottom w:val="single" w:sz="12" w:space="0" w:color="000000"/>
            </w:tcBorders>
          </w:tcPr>
          <w:p>
            <w:pPr>
              <w:pStyle w:val="TableContents"/>
              <w:widowControl w:val="false"/>
              <w:jc w:val="center"/>
              <w:rPr/>
            </w:pPr>
            <w:r>
              <w:rPr/>
              <w:t>Source Address</w:t>
            </w:r>
          </w:p>
        </w:tc>
        <w:tc>
          <w:tcPr>
            <w:tcW w:w="1499" w:type="dxa"/>
            <w:tcBorders>
              <w:left w:val="single" w:sz="4" w:space="0" w:color="000000"/>
              <w:bottom w:val="single" w:sz="12" w:space="0" w:color="000000"/>
            </w:tcBorders>
          </w:tcPr>
          <w:p>
            <w:pPr>
              <w:pStyle w:val="TableContents"/>
              <w:widowControl w:val="false"/>
              <w:jc w:val="center"/>
              <w:rPr/>
            </w:pPr>
            <w:r>
              <w:rPr/>
              <w:t>Frame Counter</w:t>
            </w:r>
          </w:p>
        </w:tc>
        <w:tc>
          <w:tcPr>
            <w:tcW w:w="2170" w:type="dxa"/>
            <w:tcBorders>
              <w:left w:val="single" w:sz="4" w:space="0" w:color="000000"/>
              <w:bottom w:val="single" w:sz="12" w:space="0" w:color="000000"/>
              <w:right w:val="single" w:sz="12" w:space="0" w:color="000000"/>
            </w:tcBorders>
          </w:tcPr>
          <w:p>
            <w:pPr>
              <w:pStyle w:val="TableContents"/>
              <w:widowControl w:val="false"/>
              <w:jc w:val="center"/>
              <w:rPr/>
            </w:pPr>
            <w:r>
              <w:rPr/>
              <w:t>Nonce Security Level</w:t>
            </w:r>
          </w:p>
        </w:tc>
      </w:tr>
    </w:tbl>
    <w:p>
      <w:pPr>
        <w:pStyle w:val="TextBody"/>
        <w:ind w:left="720" w:hanging="0"/>
        <w:rPr>
          <w:rFonts w:ascii="Times New Roman" w:hAnsi="Times New Roman"/>
          <w:sz w:val="22"/>
          <w:szCs w:val="22"/>
        </w:rPr>
      </w:pPr>
      <w:r>
        <w:rPr/>
        <w:t xml:space="preserve">Where the Nonce Security Level contains the security level of the frame as </w:t>
      </w:r>
      <w:r>
        <w:rPr/>
        <w:t>an</w:t>
      </w:r>
      <w:r>
        <w:rPr/>
        <w:t xml:space="preserve"> integer, </w:t>
      </w:r>
      <w:r>
        <w:rPr/>
        <w:t xml:space="preserve">which specifies </w:t>
      </w:r>
      <w:r>
        <w:rPr/>
        <w:t>the tag length to be used:</w:t>
      </w:r>
    </w:p>
    <w:tbl>
      <w:tblPr>
        <w:tblW w:w="7015" w:type="dxa"/>
        <w:jc w:val="left"/>
        <w:tblInd w:w="310" w:type="dxa"/>
        <w:tblLayout w:type="fixed"/>
        <w:tblCellMar>
          <w:top w:w="55" w:type="dxa"/>
          <w:left w:w="55" w:type="dxa"/>
          <w:bottom w:w="55" w:type="dxa"/>
          <w:right w:w="55" w:type="dxa"/>
        </w:tblCellMar>
      </w:tblPr>
      <w:tblGrid>
        <w:gridCol w:w="1315"/>
        <w:gridCol w:w="1420"/>
        <w:gridCol w:w="1488"/>
        <w:gridCol w:w="1257"/>
        <w:gridCol w:w="1535"/>
      </w:tblGrid>
      <w:tr>
        <w:trPr/>
        <w:tc>
          <w:tcPr>
            <w:tcW w:w="1315" w:type="dxa"/>
            <w:tcBorders>
              <w:top w:val="single" w:sz="12" w:space="0" w:color="000000"/>
              <w:left w:val="single" w:sz="12" w:space="0" w:color="000000"/>
              <w:bottom w:val="single" w:sz="12" w:space="0" w:color="000000"/>
            </w:tcBorders>
          </w:tcPr>
          <w:p>
            <w:pPr>
              <w:pStyle w:val="TableContents"/>
              <w:widowControl w:val="false"/>
              <w:jc w:val="center"/>
              <w:rPr>
                <w:b/>
                <w:b/>
                <w:bCs/>
              </w:rPr>
            </w:pPr>
            <w:r>
              <w:rPr>
                <w:b/>
                <w:bCs/>
              </w:rPr>
              <w:t>Security level</w:t>
            </w:r>
          </w:p>
        </w:tc>
        <w:tc>
          <w:tcPr>
            <w:tcW w:w="1420"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Security attributes</w:t>
            </w:r>
          </w:p>
        </w:tc>
        <w:tc>
          <w:tcPr>
            <w:tcW w:w="1488"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confidentiality</w:t>
            </w:r>
          </w:p>
        </w:tc>
        <w:tc>
          <w:tcPr>
            <w:tcW w:w="1257"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authenticity</w:t>
            </w:r>
          </w:p>
        </w:tc>
        <w:tc>
          <w:tcPr>
            <w:tcW w:w="1535" w:type="dxa"/>
            <w:tcBorders>
              <w:top w:val="single" w:sz="12" w:space="0" w:color="000000"/>
              <w:left w:val="single" w:sz="4" w:space="0" w:color="000000"/>
              <w:bottom w:val="single" w:sz="12" w:space="0" w:color="000000"/>
              <w:right w:val="single" w:sz="12" w:space="0" w:color="000000"/>
            </w:tcBorders>
          </w:tcPr>
          <w:p>
            <w:pPr>
              <w:pStyle w:val="TableContents"/>
              <w:widowControl w:val="false"/>
              <w:jc w:val="center"/>
              <w:rPr>
                <w:b/>
                <w:b/>
                <w:bCs/>
              </w:rPr>
            </w:pPr>
            <w:r>
              <w:rPr>
                <w:b/>
                <w:bCs/>
              </w:rPr>
              <w:t>MIC length (octets)</w:t>
            </w:r>
          </w:p>
        </w:tc>
      </w:tr>
      <w:tr>
        <w:trPr/>
        <w:tc>
          <w:tcPr>
            <w:tcW w:w="1315" w:type="dxa"/>
            <w:tcBorders>
              <w:left w:val="single" w:sz="12" w:space="0" w:color="000000"/>
              <w:bottom w:val="single" w:sz="4" w:space="0" w:color="000000"/>
            </w:tcBorders>
          </w:tcPr>
          <w:p>
            <w:pPr>
              <w:pStyle w:val="TableContents"/>
              <w:widowControl w:val="false"/>
              <w:jc w:val="center"/>
              <w:rPr/>
            </w:pPr>
            <w:r>
              <w:rPr/>
              <w:t>0</w:t>
            </w:r>
          </w:p>
        </w:tc>
        <w:tc>
          <w:tcPr>
            <w:tcW w:w="1420" w:type="dxa"/>
            <w:tcBorders>
              <w:left w:val="single" w:sz="4" w:space="0" w:color="000000"/>
              <w:bottom w:val="single" w:sz="4" w:space="0" w:color="000000"/>
            </w:tcBorders>
          </w:tcPr>
          <w:p>
            <w:pPr>
              <w:pStyle w:val="TableContents"/>
              <w:widowControl w:val="false"/>
              <w:jc w:val="center"/>
              <w:rPr/>
            </w:pPr>
            <w:r>
              <w:rPr/>
              <w:t>None</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NO</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0</w:t>
            </w:r>
          </w:p>
        </w:tc>
      </w:tr>
      <w:tr>
        <w:trPr/>
        <w:tc>
          <w:tcPr>
            <w:tcW w:w="1315" w:type="dxa"/>
            <w:tcBorders>
              <w:left w:val="single" w:sz="12" w:space="0" w:color="000000"/>
              <w:bottom w:val="single" w:sz="4" w:space="0" w:color="000000"/>
            </w:tcBorders>
          </w:tcPr>
          <w:p>
            <w:pPr>
              <w:pStyle w:val="TableContents"/>
              <w:widowControl w:val="false"/>
              <w:jc w:val="center"/>
              <w:rPr/>
            </w:pPr>
            <w:r>
              <w:rPr/>
              <w:t>1</w:t>
            </w:r>
          </w:p>
        </w:tc>
        <w:tc>
          <w:tcPr>
            <w:tcW w:w="1420" w:type="dxa"/>
            <w:tcBorders>
              <w:left w:val="single" w:sz="4" w:space="0" w:color="000000"/>
              <w:bottom w:val="single" w:sz="4" w:space="0" w:color="000000"/>
            </w:tcBorders>
          </w:tcPr>
          <w:p>
            <w:pPr>
              <w:pStyle w:val="TableContents"/>
              <w:widowControl w:val="false"/>
              <w:jc w:val="center"/>
              <w:rPr/>
            </w:pPr>
            <w:r>
              <w:rPr/>
              <w:t>MIC-32</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2</w:t>
            </w:r>
          </w:p>
        </w:tc>
        <w:tc>
          <w:tcPr>
            <w:tcW w:w="1420" w:type="dxa"/>
            <w:tcBorders>
              <w:left w:val="single" w:sz="4" w:space="0" w:color="000000"/>
              <w:bottom w:val="single" w:sz="4" w:space="0" w:color="000000"/>
            </w:tcBorders>
          </w:tcPr>
          <w:p>
            <w:pPr>
              <w:pStyle w:val="TableContents"/>
              <w:widowControl w:val="false"/>
              <w:jc w:val="center"/>
              <w:rPr/>
            </w:pPr>
            <w:r>
              <w:rPr/>
              <w:t>MIC-64</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4" w:space="0" w:color="000000"/>
            </w:tcBorders>
          </w:tcPr>
          <w:p>
            <w:pPr>
              <w:pStyle w:val="TableContents"/>
              <w:widowControl w:val="false"/>
              <w:jc w:val="center"/>
              <w:rPr/>
            </w:pPr>
            <w:r>
              <w:rPr/>
              <w:t>3</w:t>
            </w:r>
          </w:p>
        </w:tc>
        <w:tc>
          <w:tcPr>
            <w:tcW w:w="1420" w:type="dxa"/>
            <w:tcBorders>
              <w:left w:val="single" w:sz="4" w:space="0" w:color="000000"/>
              <w:bottom w:val="single" w:sz="4" w:space="0" w:color="000000"/>
            </w:tcBorders>
          </w:tcPr>
          <w:p>
            <w:pPr>
              <w:pStyle w:val="TableContents"/>
              <w:widowControl w:val="false"/>
              <w:jc w:val="center"/>
              <w:rPr/>
            </w:pPr>
            <w:r>
              <w:rPr/>
              <w:t>MIC-128</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16</w:t>
            </w:r>
          </w:p>
        </w:tc>
      </w:tr>
      <w:tr>
        <w:trPr/>
        <w:tc>
          <w:tcPr>
            <w:tcW w:w="1315" w:type="dxa"/>
            <w:tcBorders>
              <w:left w:val="single" w:sz="12" w:space="0" w:color="000000"/>
              <w:bottom w:val="single" w:sz="4" w:space="0" w:color="000000"/>
            </w:tcBorders>
          </w:tcPr>
          <w:p>
            <w:pPr>
              <w:pStyle w:val="TableContents"/>
              <w:widowControl w:val="false"/>
              <w:jc w:val="center"/>
              <w:rPr/>
            </w:pPr>
            <w:r>
              <w:rPr/>
              <w:t>4</w:t>
            </w:r>
          </w:p>
        </w:tc>
        <w:tc>
          <w:tcPr>
            <w:tcW w:w="5700" w:type="dxa"/>
            <w:gridSpan w:val="4"/>
            <w:tcBorders>
              <w:left w:val="single" w:sz="4" w:space="0" w:color="000000"/>
              <w:bottom w:val="single" w:sz="4" w:space="0" w:color="000000"/>
              <w:right w:val="single" w:sz="12" w:space="0" w:color="000000"/>
            </w:tcBorders>
          </w:tcPr>
          <w:p>
            <w:pPr>
              <w:pStyle w:val="TableContents"/>
              <w:widowControl w:val="false"/>
              <w:jc w:val="center"/>
              <w:rPr/>
            </w:pPr>
            <w:r>
              <w:rPr/>
              <w:t>Reserved</w:t>
            </w:r>
          </w:p>
        </w:tc>
      </w:tr>
      <w:tr>
        <w:trPr/>
        <w:tc>
          <w:tcPr>
            <w:tcW w:w="1315" w:type="dxa"/>
            <w:tcBorders>
              <w:left w:val="single" w:sz="12" w:space="0" w:color="000000"/>
              <w:bottom w:val="single" w:sz="4" w:space="0" w:color="000000"/>
            </w:tcBorders>
          </w:tcPr>
          <w:p>
            <w:pPr>
              <w:pStyle w:val="TableContents"/>
              <w:widowControl w:val="false"/>
              <w:jc w:val="center"/>
              <w:rPr/>
            </w:pPr>
            <w:r>
              <w:rPr/>
              <w:t>5</w:t>
            </w:r>
          </w:p>
        </w:tc>
        <w:tc>
          <w:tcPr>
            <w:tcW w:w="1420" w:type="dxa"/>
            <w:tcBorders>
              <w:left w:val="single" w:sz="4" w:space="0" w:color="000000"/>
              <w:bottom w:val="single" w:sz="4" w:space="0" w:color="000000"/>
            </w:tcBorders>
          </w:tcPr>
          <w:p>
            <w:pPr>
              <w:pStyle w:val="TableContents"/>
              <w:widowControl w:val="false"/>
              <w:jc w:val="center"/>
              <w:rPr/>
            </w:pPr>
            <w:r>
              <w:rPr/>
              <w:t>ENC-MIC-32</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6</w:t>
            </w:r>
          </w:p>
        </w:tc>
        <w:tc>
          <w:tcPr>
            <w:tcW w:w="1420" w:type="dxa"/>
            <w:tcBorders>
              <w:left w:val="single" w:sz="4" w:space="0" w:color="000000"/>
              <w:bottom w:val="single" w:sz="4" w:space="0" w:color="000000"/>
            </w:tcBorders>
          </w:tcPr>
          <w:p>
            <w:pPr>
              <w:pStyle w:val="TableContents"/>
              <w:widowControl w:val="false"/>
              <w:jc w:val="center"/>
              <w:rPr/>
            </w:pPr>
            <w:r>
              <w:rPr/>
              <w:t>ENC-MIC-64</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12" w:space="0" w:color="000000"/>
            </w:tcBorders>
          </w:tcPr>
          <w:p>
            <w:pPr>
              <w:pStyle w:val="TableContents"/>
              <w:widowControl w:val="false"/>
              <w:jc w:val="center"/>
              <w:rPr/>
            </w:pPr>
            <w:r>
              <w:rPr/>
              <w:t>7</w:t>
            </w:r>
          </w:p>
        </w:tc>
        <w:tc>
          <w:tcPr>
            <w:tcW w:w="1420" w:type="dxa"/>
            <w:tcBorders>
              <w:left w:val="single" w:sz="4" w:space="0" w:color="000000"/>
              <w:bottom w:val="single" w:sz="12" w:space="0" w:color="000000"/>
            </w:tcBorders>
          </w:tcPr>
          <w:p>
            <w:pPr>
              <w:pStyle w:val="TableContents"/>
              <w:widowControl w:val="false"/>
              <w:jc w:val="center"/>
              <w:rPr/>
            </w:pPr>
            <w:r>
              <w:rPr/>
              <w:t>ENC-MIC-128</w:t>
            </w:r>
          </w:p>
        </w:tc>
        <w:tc>
          <w:tcPr>
            <w:tcW w:w="1488" w:type="dxa"/>
            <w:tcBorders>
              <w:left w:val="single" w:sz="4" w:space="0" w:color="000000"/>
              <w:bottom w:val="single" w:sz="12" w:space="0" w:color="000000"/>
            </w:tcBorders>
          </w:tcPr>
          <w:p>
            <w:pPr>
              <w:pStyle w:val="TableContents"/>
              <w:widowControl w:val="false"/>
              <w:jc w:val="center"/>
              <w:rPr/>
            </w:pPr>
            <w:r>
              <w:rPr/>
              <w:t>ON</w:t>
            </w:r>
          </w:p>
        </w:tc>
        <w:tc>
          <w:tcPr>
            <w:tcW w:w="1257" w:type="dxa"/>
            <w:tcBorders>
              <w:left w:val="single" w:sz="4" w:space="0" w:color="000000"/>
              <w:bottom w:val="single" w:sz="12" w:space="0" w:color="000000"/>
            </w:tcBorders>
          </w:tcPr>
          <w:p>
            <w:pPr>
              <w:pStyle w:val="TableContents"/>
              <w:widowControl w:val="false"/>
              <w:jc w:val="center"/>
              <w:rPr/>
            </w:pPr>
            <w:r>
              <w:rPr/>
              <w:t>YES</w:t>
            </w:r>
          </w:p>
        </w:tc>
        <w:tc>
          <w:tcPr>
            <w:tcW w:w="1535" w:type="dxa"/>
            <w:tcBorders>
              <w:left w:val="single" w:sz="4" w:space="0" w:color="000000"/>
              <w:bottom w:val="single" w:sz="12" w:space="0" w:color="000000"/>
              <w:right w:val="single" w:sz="12" w:space="0" w:color="000000"/>
            </w:tcBorders>
          </w:tcPr>
          <w:p>
            <w:pPr>
              <w:pStyle w:val="TableContents"/>
              <w:widowControl w:val="false"/>
              <w:jc w:val="center"/>
              <w:rPr/>
            </w:pPr>
            <w:r>
              <w:rPr/>
              <w:t>16</w:t>
            </w:r>
          </w:p>
        </w:tc>
      </w:tr>
    </w:tbl>
    <w:p>
      <w:pPr>
        <w:pStyle w:val="TextBody"/>
        <w:rPr>
          <w:b/>
          <w:b/>
          <w:bCs/>
        </w:rPr>
      </w:pPr>
      <w:r>
        <w:rPr>
          <w:b/>
          <w:bCs/>
        </w:rPr>
        <w:t>Request:</w:t>
      </w:r>
    </w:p>
    <w:p>
      <w:pPr>
        <w:pStyle w:val="TextBody"/>
        <w:spacing w:before="113" w:after="113"/>
        <w:ind w:left="720" w:hanging="0"/>
        <w:rPr>
          <w:rFonts w:ascii="Times New Roman" w:hAnsi="Times New Roman"/>
          <w:sz w:val="22"/>
          <w:szCs w:val="22"/>
        </w:rPr>
      </w:pPr>
      <w:r>
        <w:rPr/>
        <w:t>To allow future IEEE Std 802.15.4</w:t>
      </w:r>
      <w:r>
        <w:rPr>
          <w:rFonts w:eastAsia="DejaVu Sans" w:cs="DejaVu Sans" w:ascii="DejaVu Sans" w:hAnsi="DejaVu Sans"/>
        </w:rPr>
        <w:t>™</w:t>
      </w:r>
      <w:r>
        <w:rPr/>
        <w:t xml:space="preserve"> implementations to use </w:t>
      </w:r>
      <w:r>
        <w:rPr/>
        <w:t xml:space="preserve">the </w:t>
      </w:r>
      <w:r>
        <w:rPr/>
        <w:t xml:space="preserve">NIST approved Ascon cipher, the R3 requirement would need to be changed to allow 32-bit tags, and </w:t>
      </w:r>
      <w:r>
        <w:rPr/>
        <w:t xml:space="preserve">to allow use of </w:t>
      </w:r>
      <w:r>
        <w:rPr/>
        <w:t xml:space="preserve">different tag lengths with </w:t>
      </w:r>
      <w:r>
        <w:rPr/>
        <w:t xml:space="preserve">the </w:t>
      </w:r>
      <w:r>
        <w:rPr/>
        <w:t xml:space="preserve">same key provided that </w:t>
      </w:r>
      <w:r>
        <w:rPr/>
        <w:t xml:space="preserve">the </w:t>
      </w:r>
      <w:r>
        <w:rPr/>
        <w:t xml:space="preserve">nonce for each tag length is generated in such way that </w:t>
      </w:r>
      <w:r>
        <w:rPr/>
        <w:t xml:space="preserve">the </w:t>
      </w:r>
      <w:r>
        <w:rPr/>
        <w:t xml:space="preserve">same nonce </w:t>
      </w:r>
      <w:r>
        <w:rPr/>
        <w:t xml:space="preserve">is never </w:t>
      </w:r>
      <w:r>
        <w:rPr/>
        <w:t>used with two different tag lengths.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2</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 2024</w:t>
      <w:tab/>
      <w:t xml:space="preserve"> IEEE P802.15-24-0617-0</w:t>
    </w:r>
    <w:r>
      <w:rPr>
        <w:b/>
        <w:sz w:val="28"/>
      </w:rPr>
      <w:t>4</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spacing w:before="113" w:after="113"/>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Application>LibreOffice/7.4.7.2$Linux_X86_64 LibreOffice_project/40$Build-2</Application>
  <AppVersion>15.0000</AppVersion>
  <Pages>2</Pages>
  <Words>486</Words>
  <Characters>2420</Characters>
  <CharactersWithSpaces>2825</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2024-11-13T14:24:03Z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