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3842" w14:textId="77777777" w:rsidR="00280BED" w:rsidRDefault="00000000">
      <w:pPr>
        <w:jc w:val="center"/>
        <w:rPr>
          <w:b/>
          <w:sz w:val="28"/>
        </w:rPr>
      </w:pPr>
      <w:r>
        <w:rPr>
          <w:b/>
          <w:sz w:val="28"/>
        </w:rPr>
        <w:t>IEEE P802.15</w:t>
      </w:r>
    </w:p>
    <w:p w14:paraId="2F1F3843" w14:textId="77777777" w:rsidR="00280BED" w:rsidRDefault="00280BED">
      <w:pPr>
        <w:jc w:val="center"/>
        <w:rPr>
          <w:b/>
          <w:sz w:val="28"/>
        </w:rPr>
      </w:pPr>
    </w:p>
    <w:p w14:paraId="2F1F3844" w14:textId="77777777" w:rsidR="00280BED" w:rsidRDefault="00000000">
      <w:pPr>
        <w:jc w:val="center"/>
        <w:rPr>
          <w:b/>
          <w:sz w:val="28"/>
        </w:rPr>
      </w:pPr>
      <w:r>
        <w:rPr>
          <w:b/>
          <w:sz w:val="28"/>
        </w:rPr>
        <w:t>Wireless Specialty Networks</w:t>
      </w:r>
    </w:p>
    <w:p w14:paraId="2F1F3845" w14:textId="77777777" w:rsidR="00280BED" w:rsidRDefault="00280BED">
      <w:pPr>
        <w:jc w:val="center"/>
        <w:rPr>
          <w:b/>
          <w:sz w:val="28"/>
        </w:rPr>
      </w:pPr>
    </w:p>
    <w:p w14:paraId="2F1F3846" w14:textId="77777777" w:rsidR="00280BED" w:rsidRDefault="00280BED">
      <w:pPr>
        <w:jc w:val="center"/>
        <w:rPr>
          <w:b/>
          <w:sz w:val="28"/>
        </w:rPr>
      </w:pPr>
    </w:p>
    <w:tbl>
      <w:tblPr>
        <w:tblW w:w="9450" w:type="dxa"/>
        <w:tblInd w:w="108" w:type="dxa"/>
        <w:tblLayout w:type="fixed"/>
        <w:tblLook w:val="0000" w:firstRow="0" w:lastRow="0" w:firstColumn="0" w:lastColumn="0" w:noHBand="0" w:noVBand="0"/>
      </w:tblPr>
      <w:tblGrid>
        <w:gridCol w:w="1257"/>
        <w:gridCol w:w="4052"/>
        <w:gridCol w:w="4141"/>
      </w:tblGrid>
      <w:tr w:rsidR="00280BED" w14:paraId="2F1F3849" w14:textId="77777777">
        <w:tc>
          <w:tcPr>
            <w:tcW w:w="1257" w:type="dxa"/>
            <w:tcBorders>
              <w:top w:val="single" w:sz="6" w:space="0" w:color="000000"/>
            </w:tcBorders>
            <w:vAlign w:val="center"/>
          </w:tcPr>
          <w:p w14:paraId="2F1F3847" w14:textId="77777777" w:rsidR="00280BED" w:rsidRDefault="00000000">
            <w:pPr>
              <w:pStyle w:val="covertext"/>
              <w:widowControl w:val="0"/>
              <w:rPr>
                <w:sz w:val="22"/>
              </w:rPr>
            </w:pPr>
            <w:r>
              <w:rPr>
                <w:sz w:val="22"/>
              </w:rPr>
              <w:t>Project</w:t>
            </w:r>
          </w:p>
        </w:tc>
        <w:tc>
          <w:tcPr>
            <w:tcW w:w="8193" w:type="dxa"/>
            <w:gridSpan w:val="2"/>
            <w:tcBorders>
              <w:top w:val="single" w:sz="6" w:space="0" w:color="000000"/>
            </w:tcBorders>
            <w:vAlign w:val="center"/>
          </w:tcPr>
          <w:p w14:paraId="2F1F3848" w14:textId="77777777" w:rsidR="00280BED" w:rsidRDefault="00000000">
            <w:pPr>
              <w:pStyle w:val="covertext"/>
              <w:widowControl w:val="0"/>
              <w:rPr>
                <w:sz w:val="22"/>
              </w:rPr>
            </w:pPr>
            <w:r>
              <w:rPr>
                <w:sz w:val="24"/>
                <w:szCs w:val="22"/>
              </w:rPr>
              <w:t>IEEE P802.15 Working Group for Wireless Specialty Networks (WSNs)</w:t>
            </w:r>
          </w:p>
        </w:tc>
      </w:tr>
      <w:tr w:rsidR="00280BED" w14:paraId="2F1F384C" w14:textId="77777777">
        <w:tc>
          <w:tcPr>
            <w:tcW w:w="1257" w:type="dxa"/>
            <w:tcBorders>
              <w:top w:val="single" w:sz="6" w:space="0" w:color="000000"/>
            </w:tcBorders>
            <w:vAlign w:val="center"/>
          </w:tcPr>
          <w:p w14:paraId="2F1F384A" w14:textId="77777777" w:rsidR="00280BED" w:rsidRDefault="00000000">
            <w:pPr>
              <w:pStyle w:val="covertext"/>
              <w:widowControl w:val="0"/>
              <w:rPr>
                <w:sz w:val="24"/>
                <w:szCs w:val="22"/>
              </w:rPr>
            </w:pPr>
            <w:r>
              <w:rPr>
                <w:sz w:val="24"/>
                <w:szCs w:val="22"/>
              </w:rPr>
              <w:t>Title</w:t>
            </w:r>
          </w:p>
        </w:tc>
        <w:tc>
          <w:tcPr>
            <w:tcW w:w="8193" w:type="dxa"/>
            <w:gridSpan w:val="2"/>
            <w:tcBorders>
              <w:top w:val="single" w:sz="6" w:space="0" w:color="000000"/>
            </w:tcBorders>
            <w:vAlign w:val="center"/>
          </w:tcPr>
          <w:p w14:paraId="2F1F384B" w14:textId="0B174982" w:rsidR="00280BED" w:rsidRDefault="00000000">
            <w:pPr>
              <w:pStyle w:val="covertext"/>
              <w:widowControl w:val="0"/>
              <w:rPr>
                <w:b/>
                <w:sz w:val="24"/>
                <w:szCs w:val="22"/>
              </w:rPr>
            </w:pPr>
            <w:r>
              <w:rPr>
                <w:b/>
                <w:sz w:val="24"/>
                <w:szCs w:val="22"/>
              </w:rPr>
              <w:t>TG 802.15.</w:t>
            </w:r>
            <w:r w:rsidR="00C14FB4">
              <w:rPr>
                <w:b/>
                <w:sz w:val="24"/>
                <w:szCs w:val="22"/>
              </w:rPr>
              <w:t>4ad</w:t>
            </w:r>
            <w:r>
              <w:rPr>
                <w:b/>
                <w:sz w:val="24"/>
                <w:szCs w:val="22"/>
              </w:rPr>
              <w:t xml:space="preserve"> Call for Proposals</w:t>
            </w:r>
          </w:p>
        </w:tc>
      </w:tr>
      <w:tr w:rsidR="00280BED" w14:paraId="2F1F384F" w14:textId="77777777">
        <w:tc>
          <w:tcPr>
            <w:tcW w:w="1257" w:type="dxa"/>
            <w:tcBorders>
              <w:top w:val="single" w:sz="6" w:space="0" w:color="000000"/>
            </w:tcBorders>
            <w:vAlign w:val="center"/>
          </w:tcPr>
          <w:p w14:paraId="2F1F384D" w14:textId="77777777" w:rsidR="00280BED" w:rsidRDefault="00000000">
            <w:pPr>
              <w:pStyle w:val="covertext"/>
              <w:widowControl w:val="0"/>
              <w:rPr>
                <w:sz w:val="24"/>
                <w:szCs w:val="22"/>
              </w:rPr>
            </w:pPr>
            <w:r>
              <w:rPr>
                <w:sz w:val="24"/>
                <w:szCs w:val="22"/>
              </w:rPr>
              <w:t>Date Submitted</w:t>
            </w:r>
          </w:p>
        </w:tc>
        <w:tc>
          <w:tcPr>
            <w:tcW w:w="8193" w:type="dxa"/>
            <w:gridSpan w:val="2"/>
            <w:tcBorders>
              <w:top w:val="single" w:sz="6" w:space="0" w:color="000000"/>
              <w:bottom w:val="single" w:sz="4" w:space="0" w:color="000000"/>
            </w:tcBorders>
            <w:vAlign w:val="center"/>
          </w:tcPr>
          <w:p w14:paraId="2F1F384E" w14:textId="7D8B465D" w:rsidR="00280BED" w:rsidRDefault="00000000">
            <w:pPr>
              <w:pStyle w:val="covertext"/>
              <w:widowControl w:val="0"/>
            </w:pPr>
            <w:r>
              <w:rPr>
                <w:sz w:val="24"/>
                <w:szCs w:val="22"/>
              </w:rPr>
              <w:t>1</w:t>
            </w:r>
            <w:r w:rsidR="00C14FB4">
              <w:rPr>
                <w:sz w:val="24"/>
                <w:szCs w:val="22"/>
              </w:rPr>
              <w:t>4</w:t>
            </w:r>
            <w:r w:rsidR="00C14FB4" w:rsidRPr="00C14FB4">
              <w:rPr>
                <w:sz w:val="24"/>
                <w:szCs w:val="22"/>
                <w:vertAlign w:val="superscript"/>
              </w:rPr>
              <w:t>th</w:t>
            </w:r>
            <w:r w:rsidR="00C14FB4">
              <w:rPr>
                <w:sz w:val="24"/>
                <w:szCs w:val="22"/>
              </w:rPr>
              <w:t xml:space="preserve"> November</w:t>
            </w:r>
            <w:r>
              <w:rPr>
                <w:sz w:val="24"/>
                <w:szCs w:val="22"/>
              </w:rPr>
              <w:t xml:space="preserve"> 2024</w:t>
            </w:r>
          </w:p>
        </w:tc>
      </w:tr>
      <w:tr w:rsidR="00280BED" w:rsidRPr="00EF0162" w14:paraId="2F1F3857" w14:textId="77777777">
        <w:tc>
          <w:tcPr>
            <w:tcW w:w="1257" w:type="dxa"/>
            <w:tcBorders>
              <w:top w:val="single" w:sz="4" w:space="0" w:color="000000"/>
              <w:bottom w:val="single" w:sz="4" w:space="0" w:color="000000"/>
            </w:tcBorders>
            <w:vAlign w:val="center"/>
          </w:tcPr>
          <w:p w14:paraId="2F1F3850" w14:textId="77777777" w:rsidR="00280BED" w:rsidRDefault="00000000">
            <w:pPr>
              <w:pStyle w:val="covertext"/>
              <w:widowControl w:val="0"/>
              <w:rPr>
                <w:sz w:val="24"/>
                <w:szCs w:val="24"/>
              </w:rPr>
            </w:pPr>
            <w:r>
              <w:rPr>
                <w:sz w:val="24"/>
                <w:szCs w:val="24"/>
              </w:rPr>
              <w:t>Source</w:t>
            </w:r>
          </w:p>
        </w:tc>
        <w:tc>
          <w:tcPr>
            <w:tcW w:w="4052" w:type="dxa"/>
            <w:tcBorders>
              <w:top w:val="single" w:sz="4" w:space="0" w:color="000000"/>
            </w:tcBorders>
            <w:vAlign w:val="center"/>
          </w:tcPr>
          <w:p w14:paraId="2F1F3853" w14:textId="77519EFD" w:rsidR="00280BED" w:rsidRDefault="00C14FB4" w:rsidP="00C14FB4">
            <w:pPr>
              <w:pStyle w:val="covertext"/>
              <w:widowControl w:val="0"/>
              <w:spacing w:before="0" w:after="0"/>
              <w:rPr>
                <w:sz w:val="22"/>
                <w:szCs w:val="22"/>
                <w:highlight w:val="yellow"/>
                <w:lang w:val="fi-FI"/>
              </w:rPr>
            </w:pPr>
            <w:r w:rsidRPr="00C14FB4">
              <w:rPr>
                <w:sz w:val="22"/>
                <w:szCs w:val="22"/>
                <w:lang w:val="fi-FI"/>
              </w:rPr>
              <w:t>Phil Beecher</w:t>
            </w:r>
          </w:p>
        </w:tc>
        <w:tc>
          <w:tcPr>
            <w:tcW w:w="4141" w:type="dxa"/>
            <w:tcBorders>
              <w:top w:val="single" w:sz="4" w:space="0" w:color="000000"/>
            </w:tcBorders>
            <w:vAlign w:val="center"/>
          </w:tcPr>
          <w:p w14:paraId="2F1F3854" w14:textId="77777777" w:rsidR="00280BED" w:rsidRDefault="00280BED">
            <w:pPr>
              <w:pStyle w:val="covertext"/>
              <w:widowControl w:val="0"/>
              <w:tabs>
                <w:tab w:val="left" w:pos="1152"/>
              </w:tabs>
              <w:spacing w:before="0" w:after="0"/>
              <w:rPr>
                <w:sz w:val="22"/>
                <w:szCs w:val="22"/>
                <w:lang w:val="fi-FI"/>
              </w:rPr>
            </w:pPr>
          </w:p>
          <w:p w14:paraId="2F1F3855" w14:textId="52D2BEA1" w:rsidR="00280BED" w:rsidRDefault="00000000">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 xml:space="preserve">E-Mail: </w:t>
            </w:r>
            <w:r w:rsidR="0061173B">
              <w:rPr>
                <w:rStyle w:val="Hyperlink"/>
                <w:color w:val="000000" w:themeColor="text1"/>
                <w:sz w:val="22"/>
                <w:szCs w:val="22"/>
                <w:lang w:val="fi-FI" w:eastAsia="ja-JP"/>
              </w:rPr>
              <w:t>pbeecher@wi-sun.org</w:t>
            </w:r>
          </w:p>
          <w:p w14:paraId="2F1F3856" w14:textId="77777777" w:rsidR="00280BED" w:rsidRDefault="00280BED">
            <w:pPr>
              <w:pStyle w:val="covertext"/>
              <w:widowControl w:val="0"/>
              <w:tabs>
                <w:tab w:val="left" w:pos="1152"/>
              </w:tabs>
              <w:spacing w:before="0" w:after="0"/>
              <w:rPr>
                <w:sz w:val="22"/>
                <w:szCs w:val="22"/>
                <w:lang w:val="fi-FI"/>
              </w:rPr>
            </w:pPr>
          </w:p>
        </w:tc>
      </w:tr>
      <w:tr w:rsidR="00280BED" w14:paraId="2F1F385A" w14:textId="77777777">
        <w:tc>
          <w:tcPr>
            <w:tcW w:w="1257" w:type="dxa"/>
            <w:tcBorders>
              <w:top w:val="single" w:sz="6" w:space="0" w:color="000000"/>
            </w:tcBorders>
            <w:vAlign w:val="center"/>
          </w:tcPr>
          <w:p w14:paraId="2F1F3858" w14:textId="77777777" w:rsidR="00280BED" w:rsidRDefault="00000000">
            <w:pPr>
              <w:pStyle w:val="covertext"/>
              <w:widowControl w:val="0"/>
              <w:rPr>
                <w:sz w:val="22"/>
              </w:rPr>
            </w:pPr>
            <w:r>
              <w:rPr>
                <w:sz w:val="22"/>
              </w:rPr>
              <w:t>Abstract</w:t>
            </w:r>
          </w:p>
        </w:tc>
        <w:tc>
          <w:tcPr>
            <w:tcW w:w="8193" w:type="dxa"/>
            <w:gridSpan w:val="2"/>
            <w:tcBorders>
              <w:top w:val="single" w:sz="6" w:space="0" w:color="000000"/>
            </w:tcBorders>
            <w:vAlign w:val="center"/>
          </w:tcPr>
          <w:p w14:paraId="2F1F3859" w14:textId="77777777" w:rsidR="00280BED" w:rsidRDefault="00000000">
            <w:pPr>
              <w:pStyle w:val="covertext"/>
              <w:widowControl w:val="0"/>
              <w:rPr>
                <w:sz w:val="22"/>
              </w:rPr>
            </w:pPr>
            <w:r>
              <w:rPr>
                <w:sz w:val="22"/>
              </w:rPr>
              <w:t>Call for Proposals</w:t>
            </w:r>
          </w:p>
        </w:tc>
      </w:tr>
      <w:tr w:rsidR="00280BED" w14:paraId="2F1F385D" w14:textId="77777777">
        <w:tc>
          <w:tcPr>
            <w:tcW w:w="1257" w:type="dxa"/>
            <w:tcBorders>
              <w:top w:val="single" w:sz="6" w:space="0" w:color="000000"/>
            </w:tcBorders>
            <w:vAlign w:val="center"/>
          </w:tcPr>
          <w:p w14:paraId="2F1F385B" w14:textId="77777777" w:rsidR="00280BED" w:rsidRDefault="00000000">
            <w:pPr>
              <w:pStyle w:val="covertext"/>
              <w:widowControl w:val="0"/>
              <w:rPr>
                <w:sz w:val="22"/>
              </w:rPr>
            </w:pPr>
            <w:r>
              <w:rPr>
                <w:sz w:val="22"/>
              </w:rPr>
              <w:t>Purpose</w:t>
            </w:r>
          </w:p>
        </w:tc>
        <w:tc>
          <w:tcPr>
            <w:tcW w:w="8193" w:type="dxa"/>
            <w:gridSpan w:val="2"/>
            <w:tcBorders>
              <w:top w:val="single" w:sz="6" w:space="0" w:color="000000"/>
            </w:tcBorders>
            <w:vAlign w:val="center"/>
          </w:tcPr>
          <w:p w14:paraId="2F1F385C" w14:textId="7F10C733" w:rsidR="00280BED" w:rsidRDefault="00000000">
            <w:pPr>
              <w:pStyle w:val="covertext"/>
              <w:widowControl w:val="0"/>
              <w:rPr>
                <w:sz w:val="22"/>
                <w:szCs w:val="22"/>
              </w:rPr>
            </w:pPr>
            <w:r>
              <w:rPr>
                <w:sz w:val="22"/>
                <w:szCs w:val="22"/>
              </w:rPr>
              <w:t>Announce Call for Proposals to develop the IEEE 802.15.</w:t>
            </w:r>
            <w:r w:rsidR="00C14FB4">
              <w:rPr>
                <w:sz w:val="22"/>
                <w:szCs w:val="22"/>
              </w:rPr>
              <w:t>4</w:t>
            </w:r>
            <w:r w:rsidR="00EC13B5">
              <w:rPr>
                <w:sz w:val="22"/>
                <w:szCs w:val="22"/>
              </w:rPr>
              <w:t>ad</w:t>
            </w:r>
            <w:r>
              <w:rPr>
                <w:sz w:val="22"/>
                <w:szCs w:val="22"/>
              </w:rPr>
              <w:t xml:space="preserve"> standard specification.</w:t>
            </w:r>
          </w:p>
        </w:tc>
      </w:tr>
      <w:tr w:rsidR="00280BED" w14:paraId="2F1F3860" w14:textId="77777777">
        <w:tc>
          <w:tcPr>
            <w:tcW w:w="1257" w:type="dxa"/>
            <w:tcBorders>
              <w:top w:val="single" w:sz="6" w:space="0" w:color="000000"/>
              <w:bottom w:val="single" w:sz="6" w:space="0" w:color="000000"/>
            </w:tcBorders>
            <w:vAlign w:val="center"/>
          </w:tcPr>
          <w:p w14:paraId="2F1F385E" w14:textId="77777777" w:rsidR="00280BED" w:rsidRDefault="00000000">
            <w:pPr>
              <w:pStyle w:val="covertext"/>
              <w:widowControl w:val="0"/>
              <w:rPr>
                <w:sz w:val="22"/>
              </w:rPr>
            </w:pPr>
            <w:r>
              <w:rPr>
                <w:sz w:val="22"/>
              </w:rPr>
              <w:t>Notice</w:t>
            </w:r>
          </w:p>
        </w:tc>
        <w:tc>
          <w:tcPr>
            <w:tcW w:w="8193" w:type="dxa"/>
            <w:gridSpan w:val="2"/>
            <w:tcBorders>
              <w:top w:val="single" w:sz="6" w:space="0" w:color="000000"/>
              <w:bottom w:val="single" w:sz="6" w:space="0" w:color="000000"/>
            </w:tcBorders>
            <w:vAlign w:val="center"/>
          </w:tcPr>
          <w:p w14:paraId="2F1F385F" w14:textId="77777777" w:rsidR="00280BED" w:rsidRDefault="00000000">
            <w:pPr>
              <w:pStyle w:val="covertext"/>
              <w:widowControl w:val="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0BED" w14:paraId="2F1F3863" w14:textId="77777777">
        <w:tc>
          <w:tcPr>
            <w:tcW w:w="1257" w:type="dxa"/>
            <w:tcBorders>
              <w:top w:val="single" w:sz="6" w:space="0" w:color="000000"/>
              <w:bottom w:val="single" w:sz="6" w:space="0" w:color="000000"/>
            </w:tcBorders>
            <w:vAlign w:val="center"/>
          </w:tcPr>
          <w:p w14:paraId="2F1F3861" w14:textId="77777777" w:rsidR="00280BED" w:rsidRDefault="00000000">
            <w:pPr>
              <w:pStyle w:val="covertext"/>
              <w:widowControl w:val="0"/>
              <w:rPr>
                <w:sz w:val="22"/>
              </w:rPr>
            </w:pPr>
            <w:r>
              <w:rPr>
                <w:sz w:val="22"/>
              </w:rPr>
              <w:t>Release</w:t>
            </w:r>
          </w:p>
        </w:tc>
        <w:tc>
          <w:tcPr>
            <w:tcW w:w="8193" w:type="dxa"/>
            <w:gridSpan w:val="2"/>
            <w:tcBorders>
              <w:top w:val="single" w:sz="6" w:space="0" w:color="000000"/>
              <w:bottom w:val="single" w:sz="6" w:space="0" w:color="000000"/>
            </w:tcBorders>
            <w:vAlign w:val="center"/>
          </w:tcPr>
          <w:p w14:paraId="2F1F3862" w14:textId="77777777" w:rsidR="00280BED" w:rsidRDefault="00000000">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2F1F3864" w14:textId="77777777" w:rsidR="00280BED" w:rsidRDefault="00000000">
      <w:pPr>
        <w:pStyle w:val="Heading2"/>
        <w:numPr>
          <w:ilvl w:val="0"/>
          <w:numId w:val="0"/>
        </w:numPr>
        <w:ind w:left="576"/>
      </w:pPr>
      <w:bookmarkStart w:id="0" w:name="20150917012124-47969-hx41z00j"/>
      <w:bookmarkEnd w:id="0"/>
      <w:r>
        <w:br w:type="page"/>
      </w:r>
    </w:p>
    <w:p w14:paraId="2F1F3865" w14:textId="1D6E2DCB" w:rsidR="00280BED" w:rsidRDefault="00000000">
      <w:pPr>
        <w:jc w:val="center"/>
        <w:rPr>
          <w:sz w:val="36"/>
          <w:szCs w:val="22"/>
        </w:rPr>
      </w:pPr>
      <w:r>
        <w:rPr>
          <w:sz w:val="36"/>
          <w:szCs w:val="22"/>
        </w:rPr>
        <w:lastRenderedPageBreak/>
        <w:t>TG 802.15.</w:t>
      </w:r>
      <w:r w:rsidR="00EC13B5">
        <w:rPr>
          <w:sz w:val="36"/>
          <w:szCs w:val="22"/>
        </w:rPr>
        <w:t>4ad</w:t>
      </w:r>
      <w:r>
        <w:rPr>
          <w:sz w:val="36"/>
          <w:szCs w:val="22"/>
        </w:rPr>
        <w:t xml:space="preserve"> Call for Proposals </w:t>
      </w:r>
    </w:p>
    <w:p w14:paraId="2F1F3866" w14:textId="77777777" w:rsidR="00280BED" w:rsidRDefault="00280BED">
      <w:pPr>
        <w:jc w:val="center"/>
        <w:rPr>
          <w:sz w:val="24"/>
        </w:rPr>
      </w:pPr>
    </w:p>
    <w:p w14:paraId="2F1F3867" w14:textId="79E80379" w:rsidR="00280BED" w:rsidRDefault="00000000">
      <w:pPr>
        <w:pStyle w:val="PlainText"/>
        <w:rPr>
          <w:rFonts w:ascii="Times New Roman" w:hAnsi="Times New Roman"/>
          <w:sz w:val="22"/>
          <w:szCs w:val="22"/>
        </w:rPr>
      </w:pPr>
      <w:r>
        <w:rPr>
          <w:rFonts w:ascii="Times New Roman" w:hAnsi="Times New Roman"/>
          <w:sz w:val="22"/>
          <w:szCs w:val="22"/>
        </w:rPr>
        <w:t xml:space="preserve">The IEEE 802.15 </w:t>
      </w:r>
      <w:r>
        <w:rPr>
          <w:rFonts w:ascii="Times New Roman" w:hAnsi="Times New Roman"/>
          <w:sz w:val="22"/>
          <w:szCs w:val="22"/>
          <w:lang w:val="en-US"/>
        </w:rPr>
        <w:t xml:space="preserve">Task Group </w:t>
      </w:r>
      <w:r w:rsidR="00EC13B5">
        <w:rPr>
          <w:rFonts w:ascii="Times New Roman" w:hAnsi="Times New Roman"/>
          <w:sz w:val="22"/>
          <w:szCs w:val="22"/>
          <w:lang w:val="en-US"/>
        </w:rPr>
        <w:t>4ad</w:t>
      </w:r>
      <w:r>
        <w:rPr>
          <w:rFonts w:ascii="Times New Roman" w:hAnsi="Times New Roman"/>
          <w:sz w:val="22"/>
          <w:szCs w:val="22"/>
          <w:lang w:val="en-US"/>
        </w:rPr>
        <w:t xml:space="preserve"> </w:t>
      </w:r>
      <w:r>
        <w:rPr>
          <w:rFonts w:ascii="Times New Roman" w:hAnsi="Times New Roman"/>
          <w:sz w:val="22"/>
          <w:szCs w:val="22"/>
        </w:rPr>
        <w:t>issues a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sidR="00EC13B5">
        <w:rPr>
          <w:rFonts w:ascii="Times New Roman" w:hAnsi="Times New Roman"/>
          <w:sz w:val="22"/>
          <w:szCs w:val="22"/>
          <w:lang w:val="en-US"/>
        </w:rPr>
        <w:t>4ad</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14:paraId="2F1F3868" w14:textId="77777777" w:rsidR="00280BED" w:rsidRDefault="00280BED">
      <w:pPr>
        <w:pStyle w:val="PlainText"/>
        <w:rPr>
          <w:rFonts w:ascii="Times New Roman" w:hAnsi="Times New Roman"/>
          <w:sz w:val="22"/>
          <w:szCs w:val="22"/>
        </w:rPr>
      </w:pPr>
    </w:p>
    <w:p w14:paraId="2F1F3869" w14:textId="200AD991" w:rsidR="00280BED" w:rsidRDefault="00000000">
      <w:pPr>
        <w:pStyle w:val="PlainText"/>
        <w:rPr>
          <w:rFonts w:ascii="Times New Roman" w:hAnsi="Times New Roman"/>
          <w:sz w:val="22"/>
          <w:szCs w:val="22"/>
        </w:rPr>
      </w:pPr>
      <w:r>
        <w:rPr>
          <w:rFonts w:ascii="Times New Roman" w:hAnsi="Times New Roman"/>
          <w:sz w:val="22"/>
          <w:szCs w:val="22"/>
        </w:rPr>
        <w:t xml:space="preserve">The TG </w:t>
      </w:r>
      <w:r w:rsidR="00EC13B5">
        <w:rPr>
          <w:rFonts w:ascii="Times New Roman" w:hAnsi="Times New Roman"/>
          <w:sz w:val="22"/>
          <w:szCs w:val="22"/>
        </w:rPr>
        <w:t>802.</w:t>
      </w:r>
      <w:r>
        <w:rPr>
          <w:rFonts w:ascii="Times New Roman" w:hAnsi="Times New Roman"/>
          <w:sz w:val="22"/>
          <w:szCs w:val="22"/>
        </w:rPr>
        <w:t>15.</w:t>
      </w:r>
      <w:r w:rsidR="00EC13B5">
        <w:rPr>
          <w:rFonts w:ascii="Times New Roman" w:hAnsi="Times New Roman"/>
          <w:sz w:val="22"/>
          <w:szCs w:val="22"/>
        </w:rPr>
        <w:t>4ad</w:t>
      </w:r>
      <w:r>
        <w:rPr>
          <w:rFonts w:ascii="Times New Roman" w:hAnsi="Times New Roman"/>
          <w:sz w:val="22"/>
          <w:szCs w:val="22"/>
        </w:rPr>
        <w:t xml:space="preserve"> requests interested individuals to join the effort in specifying</w:t>
      </w:r>
      <w:r w:rsidR="00545D73">
        <w:rPr>
          <w:rFonts w:ascii="Times New Roman" w:hAnsi="Times New Roman"/>
          <w:sz w:val="22"/>
          <w:szCs w:val="22"/>
        </w:rPr>
        <w:t xml:space="preserve"> this standard.</w:t>
      </w:r>
      <w:r>
        <w:rPr>
          <w:rFonts w:ascii="Times New Roman" w:hAnsi="Times New Roman"/>
          <w:sz w:val="22"/>
          <w:szCs w:val="22"/>
        </w:rPr>
        <w:t xml:space="preserve"> </w:t>
      </w:r>
    </w:p>
    <w:p w14:paraId="2F1F386A" w14:textId="77777777" w:rsidR="00280BED" w:rsidRDefault="00000000">
      <w:pPr>
        <w:pStyle w:val="PlainText"/>
        <w:rPr>
          <w:rFonts w:ascii="Times New Roman" w:hAnsi="Times New Roman"/>
          <w:sz w:val="22"/>
          <w:szCs w:val="22"/>
          <w:lang w:eastAsia="ja-JP"/>
        </w:rPr>
      </w:pPr>
      <w:r>
        <w:rPr>
          <w:rFonts w:ascii="Times New Roman" w:hAnsi="Times New Roman"/>
          <w:sz w:val="22"/>
          <w:szCs w:val="22"/>
        </w:rPr>
        <w:t xml:space="preserve"> </w:t>
      </w:r>
    </w:p>
    <w:p w14:paraId="2F1F386B" w14:textId="03391F49" w:rsidR="00280BED" w:rsidRDefault="00F44AE7">
      <w:pPr>
        <w:pStyle w:val="PlainText"/>
        <w:rPr>
          <w:rFonts w:ascii="Times New Roman" w:hAnsi="Times New Roman"/>
          <w:sz w:val="22"/>
          <w:szCs w:val="22"/>
          <w:lang w:val="en-US"/>
        </w:rPr>
      </w:pPr>
      <w:r>
        <w:rPr>
          <w:rFonts w:ascii="Times New Roman" w:hAnsi="Times New Roman"/>
          <w:sz w:val="22"/>
          <w:szCs w:val="22"/>
        </w:rPr>
        <w:t>Proposal</w:t>
      </w:r>
      <w:r w:rsidR="00523E24">
        <w:rPr>
          <w:rFonts w:ascii="Times New Roman" w:hAnsi="Times New Roman"/>
          <w:sz w:val="22"/>
          <w:szCs w:val="22"/>
        </w:rPr>
        <w:t>s</w:t>
      </w:r>
      <w:r>
        <w:rPr>
          <w:rFonts w:ascii="Times New Roman" w:hAnsi="Times New Roman"/>
          <w:sz w:val="22"/>
          <w:szCs w:val="22"/>
        </w:rPr>
        <w:t xml:space="preserve"> shall</w:t>
      </w:r>
      <w:r w:rsidR="00523E24">
        <w:rPr>
          <w:rFonts w:ascii="Times New Roman" w:hAnsi="Times New Roman"/>
          <w:sz w:val="22"/>
          <w:szCs w:val="22"/>
        </w:rPr>
        <w:t xml:space="preserve"> meet the criteria </w:t>
      </w:r>
      <w:r>
        <w:rPr>
          <w:rFonts w:ascii="Times New Roman" w:hAnsi="Times New Roman"/>
          <w:sz w:val="22"/>
          <w:szCs w:val="22"/>
        </w:rPr>
        <w:t>described in the Project Authorization Request (PAR)</w:t>
      </w:r>
      <w:r w:rsidR="00590429">
        <w:rPr>
          <w:rFonts w:ascii="Times New Roman" w:hAnsi="Times New Roman"/>
          <w:sz w:val="22"/>
          <w:szCs w:val="22"/>
        </w:rPr>
        <w:t xml:space="preserve"> [1] </w:t>
      </w:r>
      <w:r>
        <w:rPr>
          <w:rFonts w:ascii="Times New Roman" w:hAnsi="Times New Roman"/>
          <w:sz w:val="22"/>
          <w:szCs w:val="22"/>
          <w:lang w:eastAsia="ja-JP"/>
        </w:rPr>
        <w:t xml:space="preserve">and </w:t>
      </w:r>
      <w:r w:rsidR="00590429">
        <w:rPr>
          <w:rFonts w:ascii="Times New Roman" w:hAnsi="Times New Roman"/>
          <w:sz w:val="22"/>
          <w:szCs w:val="22"/>
          <w:lang w:eastAsia="ja-JP"/>
        </w:rPr>
        <w:t xml:space="preserve">the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xml:space="preserve">, document number </w:t>
      </w:r>
      <w:r w:rsidR="00CD4DB2" w:rsidRPr="00CD4DB2">
        <w:rPr>
          <w:rFonts w:ascii="Times New Roman" w:hAnsi="Times New Roman"/>
          <w:sz w:val="22"/>
          <w:szCs w:val="22"/>
          <w:lang w:val="en-GB" w:eastAsia="ja-JP"/>
        </w:rPr>
        <w:t>15-23-0494-03-04ad</w:t>
      </w:r>
      <w:r w:rsidR="00A87E59">
        <w:rPr>
          <w:rFonts w:ascii="Times New Roman" w:hAnsi="Times New Roman"/>
          <w:sz w:val="22"/>
          <w:szCs w:val="22"/>
          <w:lang w:val="en-GB" w:eastAsia="ja-JP"/>
        </w:rPr>
        <w:t xml:space="preserve"> [2]</w:t>
      </w:r>
      <w:r w:rsidRPr="00CD4DB2">
        <w:rPr>
          <w:rFonts w:ascii="Times New Roman" w:hAnsi="Times New Roman"/>
          <w:sz w:val="22"/>
          <w:szCs w:val="22"/>
          <w:lang w:val="en-US"/>
        </w:rPr>
        <w:t xml:space="preserve"> </w:t>
      </w:r>
      <w:r>
        <w:rPr>
          <w:rFonts w:ascii="Times New Roman" w:hAnsi="Times New Roman"/>
          <w:sz w:val="22"/>
          <w:szCs w:val="22"/>
          <w:lang w:val="en-US"/>
        </w:rPr>
        <w:t xml:space="preserve">publicly available on the IEEE 802.15 Mentor archive. </w:t>
      </w:r>
      <w:r w:rsidR="00A87E59">
        <w:rPr>
          <w:rFonts w:ascii="Times New Roman" w:hAnsi="Times New Roman"/>
          <w:sz w:val="22"/>
          <w:szCs w:val="22"/>
          <w:lang w:val="en-US"/>
        </w:rPr>
        <w:t xml:space="preserve"> Proposers should also follow the guidance provided in the TG4ad Technical Guidance document</w:t>
      </w:r>
      <w:r w:rsidR="008175F2">
        <w:rPr>
          <w:rFonts w:ascii="Times New Roman" w:hAnsi="Times New Roman"/>
          <w:sz w:val="22"/>
          <w:szCs w:val="22"/>
          <w:lang w:val="en-US"/>
        </w:rPr>
        <w:t xml:space="preserve"> [3], which includes the information which should be provided as part of the proposal</w:t>
      </w:r>
      <w:r w:rsidR="006D41FC">
        <w:rPr>
          <w:rFonts w:ascii="Times New Roman" w:hAnsi="Times New Roman"/>
          <w:sz w:val="22"/>
          <w:szCs w:val="22"/>
          <w:lang w:val="en-US"/>
        </w:rPr>
        <w:t>.  Partial proposals will be accepted.</w:t>
      </w:r>
    </w:p>
    <w:p w14:paraId="2F1F386C" w14:textId="77777777" w:rsidR="00280BED" w:rsidRDefault="00280BED">
      <w:pPr>
        <w:jc w:val="both"/>
        <w:rPr>
          <w:sz w:val="22"/>
          <w:lang w:val="x-none"/>
        </w:rPr>
      </w:pPr>
    </w:p>
    <w:p w14:paraId="2F1F386D" w14:textId="67F22393" w:rsidR="00280BED" w:rsidRDefault="00000000">
      <w:pPr>
        <w:jc w:val="both"/>
        <w:rPr>
          <w:color w:val="auto"/>
          <w:sz w:val="22"/>
          <w:szCs w:val="22"/>
        </w:rPr>
      </w:pPr>
      <w:r>
        <w:rPr>
          <w:color w:val="auto"/>
          <w:sz w:val="22"/>
          <w:szCs w:val="22"/>
        </w:rPr>
        <w:t>Potential essential patents: if any proposer is holder of any patent claims that are potentially essential to implementation of the 802.15.</w:t>
      </w:r>
      <w:r w:rsidR="00166C8A">
        <w:rPr>
          <w:color w:val="auto"/>
          <w:sz w:val="22"/>
          <w:szCs w:val="22"/>
        </w:rPr>
        <w:t>4ad</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14:paraId="2F1F386E" w14:textId="77777777" w:rsidR="00280BED" w:rsidRDefault="00280BED">
      <w:pPr>
        <w:jc w:val="both"/>
        <w:rPr>
          <w:color w:val="auto"/>
          <w:sz w:val="22"/>
          <w:szCs w:val="22"/>
        </w:rPr>
      </w:pPr>
    </w:p>
    <w:p w14:paraId="2F1F386F" w14:textId="761561C1" w:rsidR="00280BED" w:rsidRDefault="00000000">
      <w:pPr>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sidR="00166C8A">
        <w:rPr>
          <w:sz w:val="22"/>
          <w:szCs w:val="22"/>
        </w:rPr>
        <w:t>Phil Beecher</w:t>
      </w:r>
      <w:r>
        <w:rPr>
          <w:sz w:val="22"/>
          <w:szCs w:val="22"/>
          <w:lang w:eastAsia="ja-JP"/>
        </w:rPr>
        <w:t xml:space="preserve"> no later than </w:t>
      </w:r>
      <w:r w:rsidR="009775AA">
        <w:rPr>
          <w:sz w:val="22"/>
          <w:szCs w:val="22"/>
          <w:lang w:eastAsia="ja-JP"/>
        </w:rPr>
        <w:t>6</w:t>
      </w:r>
      <w:r w:rsidR="009775AA" w:rsidRPr="009775AA">
        <w:rPr>
          <w:sz w:val="22"/>
          <w:szCs w:val="22"/>
          <w:vertAlign w:val="superscript"/>
          <w:lang w:eastAsia="ja-JP"/>
        </w:rPr>
        <w:t>th</w:t>
      </w:r>
      <w:r w:rsidR="009775AA">
        <w:rPr>
          <w:sz w:val="22"/>
          <w:szCs w:val="22"/>
          <w:lang w:eastAsia="ja-JP"/>
        </w:rPr>
        <w:t xml:space="preserve"> </w:t>
      </w:r>
      <w:r>
        <w:rPr>
          <w:sz w:val="22"/>
          <w:szCs w:val="22"/>
          <w:lang w:eastAsia="ja-JP"/>
        </w:rPr>
        <w:t>January 2025.</w:t>
      </w:r>
    </w:p>
    <w:p w14:paraId="2F1F3870" w14:textId="77777777" w:rsidR="00280BED" w:rsidRDefault="00280BED">
      <w:pPr>
        <w:jc w:val="both"/>
        <w:rPr>
          <w:color w:val="auto"/>
          <w:sz w:val="22"/>
          <w:szCs w:val="22"/>
        </w:rPr>
      </w:pPr>
    </w:p>
    <w:p w14:paraId="6FA9DB67" w14:textId="78EF4C8A" w:rsidR="00166C8A" w:rsidRDefault="00AF34B3">
      <w:pPr>
        <w:jc w:val="both"/>
        <w:rPr>
          <w:color w:val="auto"/>
          <w:sz w:val="22"/>
          <w:szCs w:val="22"/>
        </w:rPr>
      </w:pPr>
      <w:r>
        <w:rPr>
          <w:color w:val="auto"/>
          <w:sz w:val="22"/>
          <w:szCs w:val="22"/>
        </w:rPr>
        <w:t xml:space="preserve">Proposers should be ready to present </w:t>
      </w:r>
      <w:r w:rsidR="00166C8A">
        <w:rPr>
          <w:color w:val="auto"/>
          <w:sz w:val="22"/>
          <w:szCs w:val="22"/>
        </w:rPr>
        <w:t xml:space="preserve">Initial Proposals </w:t>
      </w:r>
      <w:r w:rsidR="00D70E5C">
        <w:rPr>
          <w:color w:val="auto"/>
          <w:sz w:val="22"/>
          <w:szCs w:val="22"/>
        </w:rPr>
        <w:t>at the January 2025 Interim Session</w:t>
      </w:r>
      <w:r w:rsidR="002433EE">
        <w:rPr>
          <w:color w:val="auto"/>
          <w:sz w:val="22"/>
          <w:szCs w:val="22"/>
        </w:rPr>
        <w:t>.</w:t>
      </w:r>
    </w:p>
    <w:p w14:paraId="05F493C6" w14:textId="0F585401" w:rsidR="00D70E5C" w:rsidRDefault="00D70E5C">
      <w:pPr>
        <w:jc w:val="both"/>
        <w:rPr>
          <w:color w:val="auto"/>
          <w:sz w:val="22"/>
          <w:szCs w:val="22"/>
        </w:rPr>
      </w:pPr>
      <w:r>
        <w:rPr>
          <w:color w:val="auto"/>
          <w:sz w:val="22"/>
          <w:szCs w:val="22"/>
        </w:rPr>
        <w:t>Final Proposals should be ready to present at the March 2025 Plenary Session</w:t>
      </w:r>
      <w:r w:rsidR="002433EE">
        <w:rPr>
          <w:color w:val="auto"/>
          <w:sz w:val="22"/>
          <w:szCs w:val="22"/>
        </w:rPr>
        <w:t>.</w:t>
      </w:r>
    </w:p>
    <w:p w14:paraId="46ADC44B" w14:textId="77777777" w:rsidR="002433EE" w:rsidRDefault="002433EE">
      <w:pPr>
        <w:jc w:val="both"/>
        <w:rPr>
          <w:sz w:val="22"/>
          <w:szCs w:val="22"/>
          <w:lang w:eastAsia="ja-JP"/>
        </w:rPr>
      </w:pPr>
    </w:p>
    <w:p w14:paraId="2F1F3871" w14:textId="4A9B663B" w:rsidR="00280BED" w:rsidRDefault="00000000">
      <w:pPr>
        <w:jc w:val="both"/>
        <w:rPr>
          <w:sz w:val="22"/>
          <w:szCs w:val="22"/>
          <w:lang w:eastAsia="ja-JP"/>
        </w:rPr>
      </w:pPr>
      <w:r>
        <w:rPr>
          <w:sz w:val="22"/>
          <w:szCs w:val="22"/>
          <w:lang w:eastAsia="ja-JP"/>
        </w:rPr>
        <w:t>Presentations and discussion of submitted proposals will start during the January 2025 Interim session.</w:t>
      </w:r>
    </w:p>
    <w:p w14:paraId="2F1F3872" w14:textId="77777777" w:rsidR="00280BED" w:rsidRDefault="00280BED">
      <w:pPr>
        <w:jc w:val="both"/>
        <w:rPr>
          <w:sz w:val="22"/>
          <w:szCs w:val="22"/>
          <w:lang w:eastAsia="ja-JP"/>
        </w:rPr>
      </w:pPr>
    </w:p>
    <w:p w14:paraId="2F1F3873" w14:textId="77777777" w:rsidR="00280BED" w:rsidRDefault="00280BED">
      <w:pPr>
        <w:jc w:val="both"/>
        <w:rPr>
          <w:sz w:val="22"/>
          <w:szCs w:val="22"/>
          <w:lang w:eastAsia="ja-JP"/>
        </w:rPr>
      </w:pPr>
    </w:p>
    <w:p w14:paraId="2F1F3874" w14:textId="77777777" w:rsidR="00280BED" w:rsidRDefault="00000000">
      <w:pPr>
        <w:jc w:val="both"/>
        <w:rPr>
          <w:sz w:val="22"/>
          <w:szCs w:val="22"/>
          <w:lang w:eastAsia="ja-JP"/>
        </w:rPr>
      </w:pPr>
      <w:r>
        <w:rPr>
          <w:sz w:val="22"/>
          <w:szCs w:val="22"/>
          <w:lang w:eastAsia="ja-JP"/>
        </w:rPr>
        <w:t xml:space="preserve">References: </w:t>
      </w:r>
    </w:p>
    <w:p w14:paraId="2F1F3875" w14:textId="77777777" w:rsidR="00280BED" w:rsidRDefault="00280BED">
      <w:pPr>
        <w:jc w:val="both"/>
        <w:rPr>
          <w:sz w:val="22"/>
          <w:szCs w:val="22"/>
          <w:lang w:eastAsia="ja-JP"/>
        </w:rPr>
      </w:pPr>
    </w:p>
    <w:p w14:paraId="2F1F3876" w14:textId="400CE7B4" w:rsidR="00280BED" w:rsidRPr="006D41FC" w:rsidRDefault="00000000">
      <w:pPr>
        <w:jc w:val="both"/>
        <w:rPr>
          <w:sz w:val="28"/>
          <w:szCs w:val="28"/>
          <w:lang w:eastAsia="ja-JP"/>
        </w:rPr>
      </w:pPr>
      <w:r>
        <w:rPr>
          <w:sz w:val="22"/>
          <w:szCs w:val="22"/>
          <w:lang w:eastAsia="ja-JP"/>
        </w:rPr>
        <w:t>[1]</w:t>
      </w:r>
      <w:r w:rsidRPr="006D41FC">
        <w:rPr>
          <w:sz w:val="28"/>
          <w:szCs w:val="28"/>
          <w:lang w:eastAsia="ja-JP"/>
        </w:rPr>
        <w:t xml:space="preserve"> </w:t>
      </w:r>
      <w:hyperlink r:id="rId8" w:history="1">
        <w:r w:rsidR="006D41FC" w:rsidRPr="006D41FC">
          <w:rPr>
            <w:rStyle w:val="Hyperlink"/>
            <w:sz w:val="22"/>
            <w:szCs w:val="22"/>
          </w:rPr>
          <w:t>https://mypr-nodejs.standards.ieee.org/mypr-file/par/11073/mypr</w:t>
        </w:r>
      </w:hyperlink>
    </w:p>
    <w:p w14:paraId="61D5FFD8" w14:textId="674837E0" w:rsidR="0006311D" w:rsidRDefault="00000000">
      <w:pPr>
        <w:jc w:val="both"/>
        <w:rPr>
          <w:sz w:val="22"/>
          <w:szCs w:val="22"/>
          <w:lang w:val="en-GB" w:eastAsia="ja-JP"/>
        </w:rPr>
      </w:pPr>
      <w:r>
        <w:rPr>
          <w:sz w:val="22"/>
          <w:szCs w:val="22"/>
          <w:lang w:eastAsia="ja-JP"/>
        </w:rPr>
        <w:t>[2]</w:t>
      </w:r>
      <w:r w:rsidR="0006311D">
        <w:rPr>
          <w:sz w:val="22"/>
          <w:szCs w:val="22"/>
          <w:lang w:eastAsia="ja-JP"/>
        </w:rPr>
        <w:t xml:space="preserve"> </w:t>
      </w:r>
      <w:hyperlink r:id="rId9" w:history="1">
        <w:r w:rsidR="0006311D" w:rsidRPr="009F0A69">
          <w:rPr>
            <w:rStyle w:val="Hyperlink"/>
            <w:sz w:val="22"/>
            <w:szCs w:val="22"/>
            <w:lang w:val="en-GB" w:eastAsia="ja-JP"/>
          </w:rPr>
          <w:t>https://mentor.ieee.org/802.15/dcn/23/15-23-0494-03-04ad-next-gen-sun-phys-draft-csd.docx</w:t>
        </w:r>
      </w:hyperlink>
    </w:p>
    <w:p w14:paraId="2F1F3877" w14:textId="17D392A8" w:rsidR="00280BED" w:rsidRDefault="0006311D">
      <w:pPr>
        <w:jc w:val="both"/>
        <w:rPr>
          <w:sz w:val="22"/>
          <w:szCs w:val="22"/>
          <w:lang w:eastAsia="ja-JP"/>
        </w:rPr>
      </w:pPr>
      <w:r>
        <w:rPr>
          <w:sz w:val="22"/>
          <w:szCs w:val="22"/>
          <w:lang w:val="en-GB" w:eastAsia="ja-JP"/>
        </w:rPr>
        <w:t>[3]</w:t>
      </w:r>
      <w:hyperlink r:id="rId10" w:history="1">
        <w:r w:rsidR="00F43087" w:rsidRPr="00F83C9C">
          <w:rPr>
            <w:rStyle w:val="Hyperlink"/>
            <w:sz w:val="22"/>
            <w:szCs w:val="22"/>
            <w:lang w:eastAsia="ja-JP"/>
          </w:rPr>
          <w:t>https://mentor.ieee.org/802.15/dcn/24/15-24-0061-16-04ad-draft-802-15-4-next-generation-sun-phy-technical-guidance-document.docx</w:t>
        </w:r>
      </w:hyperlink>
    </w:p>
    <w:p w14:paraId="77812F4F" w14:textId="77777777" w:rsidR="00E72F60" w:rsidRDefault="00E72F60">
      <w:pPr>
        <w:jc w:val="both"/>
        <w:rPr>
          <w:sz w:val="22"/>
          <w:szCs w:val="22"/>
          <w:lang w:eastAsia="ja-JP"/>
        </w:rPr>
      </w:pPr>
    </w:p>
    <w:p w14:paraId="2F1F3878" w14:textId="0AFBDAF2" w:rsidR="00280BED" w:rsidRDefault="00000000">
      <w:pPr>
        <w:jc w:val="both"/>
        <w:rPr>
          <w:sz w:val="22"/>
          <w:szCs w:val="22"/>
          <w:lang w:val="en-GB" w:eastAsia="ja-JP"/>
        </w:rPr>
      </w:pPr>
      <w:r>
        <w:br w:type="page"/>
      </w:r>
    </w:p>
    <w:p w14:paraId="2F1F3879" w14:textId="77777777" w:rsidR="00280BED" w:rsidRDefault="00000000">
      <w:pPr>
        <w:jc w:val="both"/>
        <w:rPr>
          <w:b/>
          <w:bCs/>
          <w:color w:val="auto"/>
          <w:sz w:val="28"/>
          <w:szCs w:val="28"/>
        </w:rPr>
      </w:pPr>
      <w:r>
        <w:rPr>
          <w:b/>
          <w:bCs/>
          <w:color w:val="auto"/>
          <w:sz w:val="28"/>
          <w:szCs w:val="28"/>
        </w:rPr>
        <w:lastRenderedPageBreak/>
        <w:t>Annex A</w:t>
      </w:r>
    </w:p>
    <w:p w14:paraId="2F1F387A" w14:textId="77777777" w:rsidR="00280BED" w:rsidRDefault="00280BED">
      <w:pPr>
        <w:jc w:val="both"/>
        <w:rPr>
          <w:color w:val="auto"/>
          <w:sz w:val="28"/>
          <w:szCs w:val="28"/>
        </w:rPr>
      </w:pPr>
    </w:p>
    <w:p w14:paraId="2F1F387B" w14:textId="77777777" w:rsidR="00280BED" w:rsidRDefault="00000000">
      <w:pPr>
        <w:jc w:val="both"/>
        <w:rPr>
          <w:b/>
          <w:bCs/>
          <w:sz w:val="24"/>
          <w:szCs w:val="24"/>
        </w:rPr>
      </w:pPr>
      <w:r>
        <w:rPr>
          <w:b/>
          <w:bCs/>
          <w:sz w:val="24"/>
          <w:szCs w:val="24"/>
        </w:rPr>
        <w:t>The IEEE SA Copyright Policy</w:t>
      </w:r>
    </w:p>
    <w:p w14:paraId="2F1F387C" w14:textId="77777777" w:rsidR="00280BED" w:rsidRDefault="00280BED">
      <w:pPr>
        <w:jc w:val="both"/>
        <w:rPr>
          <w:color w:val="auto"/>
          <w:sz w:val="22"/>
          <w:szCs w:val="22"/>
        </w:rPr>
      </w:pPr>
    </w:p>
    <w:p w14:paraId="2F1F387D" w14:textId="77777777" w:rsidR="00280BED" w:rsidRDefault="00000000">
      <w:pPr>
        <w:jc w:val="both"/>
        <w:rPr>
          <w:sz w:val="22"/>
          <w:szCs w:val="22"/>
        </w:rPr>
      </w:pPr>
      <w:r>
        <w:rPr>
          <w:sz w:val="22"/>
          <w:szCs w:val="22"/>
        </w:rPr>
        <w:t>The IEEE SA Copyright Policy is described in the IEEE SA Standards Board Bylaws and IEEE SA Standards Board Operations Manual.</w:t>
      </w:r>
    </w:p>
    <w:p w14:paraId="2F1F387E" w14:textId="77777777" w:rsidR="00280BED" w:rsidRDefault="00280BED">
      <w:pPr>
        <w:jc w:val="both"/>
        <w:rPr>
          <w:sz w:val="22"/>
          <w:szCs w:val="22"/>
        </w:rPr>
      </w:pPr>
    </w:p>
    <w:p w14:paraId="2F1F387F" w14:textId="77777777" w:rsidR="00280BED" w:rsidRDefault="00000000">
      <w:pPr>
        <w:rPr>
          <w:sz w:val="22"/>
          <w:szCs w:val="22"/>
        </w:rPr>
      </w:pPr>
      <w:r>
        <w:rPr>
          <w:sz w:val="22"/>
          <w:szCs w:val="22"/>
        </w:rPr>
        <w:t xml:space="preserve">IEEE SA Copyright Policy, see Clause 7 of the IEEE SA Standards Board Bylaws </w:t>
      </w:r>
      <w:hyperlink r:id="rId11" w:anchor="7" w:history="1">
        <w:r w:rsidR="00280BED">
          <w:rPr>
            <w:rStyle w:val="Hyperlink"/>
            <w:sz w:val="22"/>
            <w:szCs w:val="22"/>
          </w:rPr>
          <w:t>https://standards.ieee.org/about/policies/bylaws/sect6-7.html#7</w:t>
        </w:r>
      </w:hyperlink>
      <w:r>
        <w:rPr>
          <w:sz w:val="22"/>
          <w:szCs w:val="22"/>
        </w:rPr>
        <w:t xml:space="preserve"> </w:t>
      </w:r>
    </w:p>
    <w:p w14:paraId="2F1F3880" w14:textId="77777777" w:rsidR="00280BED" w:rsidRDefault="00280BED">
      <w:pPr>
        <w:jc w:val="both"/>
        <w:rPr>
          <w:sz w:val="22"/>
          <w:szCs w:val="22"/>
        </w:rPr>
      </w:pPr>
    </w:p>
    <w:p w14:paraId="2F1F3881" w14:textId="77777777" w:rsidR="00280BED" w:rsidRDefault="00000000">
      <w:pPr>
        <w:jc w:val="both"/>
        <w:rPr>
          <w:sz w:val="22"/>
          <w:szCs w:val="22"/>
        </w:rPr>
      </w:pPr>
      <w:r>
        <w:rPr>
          <w:sz w:val="22"/>
          <w:szCs w:val="22"/>
        </w:rPr>
        <w:t>Clause 6.1 of the IEEE SA Standards Board Operations Manual</w:t>
      </w:r>
    </w:p>
    <w:p w14:paraId="2F1F3882" w14:textId="77777777" w:rsidR="00280BED" w:rsidRDefault="00000000">
      <w:pPr>
        <w:jc w:val="both"/>
        <w:rPr>
          <w:sz w:val="22"/>
          <w:szCs w:val="22"/>
        </w:rPr>
      </w:pPr>
      <w:r>
        <w:rPr>
          <w:sz w:val="22"/>
          <w:szCs w:val="22"/>
        </w:rPr>
        <w:t xml:space="preserve"> </w:t>
      </w:r>
      <w:hyperlink r:id="rId12">
        <w:r w:rsidR="00280BED">
          <w:rPr>
            <w:rStyle w:val="Hyperlink"/>
            <w:sz w:val="22"/>
            <w:szCs w:val="22"/>
          </w:rPr>
          <w:t>https://standards.ieee.org/about/policies/opman/sect6.html</w:t>
        </w:r>
      </w:hyperlink>
    </w:p>
    <w:p w14:paraId="2F1F3883" w14:textId="77777777" w:rsidR="00280BED" w:rsidRDefault="00280BED">
      <w:pPr>
        <w:jc w:val="both"/>
        <w:rPr>
          <w:color w:val="auto"/>
          <w:sz w:val="22"/>
          <w:szCs w:val="22"/>
        </w:rPr>
      </w:pPr>
    </w:p>
    <w:p w14:paraId="2F1F3884" w14:textId="77777777" w:rsidR="00280BED" w:rsidRDefault="00000000">
      <w:pPr>
        <w:jc w:val="both"/>
        <w:rPr>
          <w:color w:val="auto"/>
          <w:sz w:val="22"/>
          <w:szCs w:val="22"/>
        </w:rPr>
      </w:pPr>
      <w:r>
        <w:rPr>
          <w:color w:val="auto"/>
          <w:sz w:val="22"/>
          <w:szCs w:val="22"/>
        </w:rPr>
        <w:t>IEEE SA Copyright FAQs</w:t>
      </w:r>
    </w:p>
    <w:p w14:paraId="2F1F3885" w14:textId="77777777" w:rsidR="00280BED" w:rsidRDefault="00280BED">
      <w:pPr>
        <w:jc w:val="both"/>
        <w:rPr>
          <w:color w:val="auto"/>
          <w:sz w:val="22"/>
          <w:szCs w:val="22"/>
        </w:rPr>
      </w:pPr>
      <w:hyperlink r:id="rId13">
        <w:r>
          <w:rPr>
            <w:rStyle w:val="Hyperlink"/>
            <w:sz w:val="22"/>
            <w:szCs w:val="22"/>
          </w:rPr>
          <w:t>https://standards.ieee.org/faqs/copyrights/</w:t>
        </w:r>
      </w:hyperlink>
    </w:p>
    <w:p w14:paraId="2F1F3886" w14:textId="77777777" w:rsidR="00280BED" w:rsidRDefault="00280BED">
      <w:pPr>
        <w:jc w:val="both"/>
        <w:rPr>
          <w:color w:val="auto"/>
          <w:sz w:val="22"/>
          <w:szCs w:val="22"/>
        </w:rPr>
      </w:pPr>
    </w:p>
    <w:p w14:paraId="2F1F3887" w14:textId="77777777" w:rsidR="00280BED" w:rsidRDefault="00280BED">
      <w:pPr>
        <w:jc w:val="both"/>
        <w:rPr>
          <w:sz w:val="24"/>
          <w:szCs w:val="24"/>
        </w:rPr>
      </w:pPr>
    </w:p>
    <w:p w14:paraId="2F1F3888" w14:textId="77777777" w:rsidR="00280BED" w:rsidRDefault="00000000">
      <w:pPr>
        <w:jc w:val="both"/>
        <w:rPr>
          <w:b/>
          <w:bCs/>
          <w:sz w:val="24"/>
          <w:szCs w:val="24"/>
        </w:rPr>
      </w:pPr>
      <w:r>
        <w:rPr>
          <w:b/>
          <w:bCs/>
          <w:sz w:val="24"/>
          <w:szCs w:val="24"/>
        </w:rPr>
        <w:t>The IEEE SA Patent Policy</w:t>
      </w:r>
    </w:p>
    <w:p w14:paraId="2F1F3889" w14:textId="77777777" w:rsidR="00280BED" w:rsidRDefault="00280BED">
      <w:pPr>
        <w:jc w:val="both"/>
        <w:rPr>
          <w:color w:val="auto"/>
          <w:sz w:val="22"/>
          <w:szCs w:val="22"/>
        </w:rPr>
      </w:pPr>
    </w:p>
    <w:p w14:paraId="2F1F388A" w14:textId="77777777" w:rsidR="00280BED" w:rsidRDefault="00000000">
      <w:pPr>
        <w:jc w:val="both"/>
        <w:rPr>
          <w:color w:val="auto"/>
          <w:sz w:val="22"/>
          <w:szCs w:val="22"/>
        </w:rPr>
      </w:pPr>
      <w:r>
        <w:rPr>
          <w:color w:val="auto"/>
          <w:sz w:val="22"/>
          <w:szCs w:val="22"/>
        </w:rPr>
        <w:t xml:space="preserve">The patent policy and the procedures used to execute that policy are documented in the IEEE SA Standards Board Bylaws: </w:t>
      </w:r>
    </w:p>
    <w:p w14:paraId="2F1F388B" w14:textId="77777777" w:rsidR="00280BED" w:rsidRDefault="00280BED">
      <w:pPr>
        <w:jc w:val="both"/>
        <w:rPr>
          <w:color w:val="auto"/>
          <w:sz w:val="22"/>
          <w:szCs w:val="22"/>
        </w:rPr>
      </w:pPr>
      <w:hyperlink r:id="rId14" w:anchor="6" w:history="1">
        <w:r>
          <w:rPr>
            <w:rStyle w:val="Hyperlink"/>
            <w:sz w:val="22"/>
            <w:szCs w:val="22"/>
          </w:rPr>
          <w:t>https://standards.ieee.org/develop/policies/bylaws/sect6-7.html#6</w:t>
        </w:r>
      </w:hyperlink>
    </w:p>
    <w:p w14:paraId="2F1F388C" w14:textId="77777777" w:rsidR="00280BED" w:rsidRDefault="00280BED">
      <w:pPr>
        <w:jc w:val="both"/>
        <w:rPr>
          <w:color w:val="auto"/>
          <w:sz w:val="22"/>
          <w:szCs w:val="22"/>
        </w:rPr>
      </w:pPr>
    </w:p>
    <w:p w14:paraId="2F1F388D" w14:textId="77777777" w:rsidR="00280BED" w:rsidRDefault="00000000">
      <w:pPr>
        <w:jc w:val="both"/>
        <w:rPr>
          <w:color w:val="auto"/>
          <w:sz w:val="22"/>
          <w:szCs w:val="22"/>
        </w:rPr>
      </w:pPr>
      <w:r>
        <w:rPr>
          <w:color w:val="auto"/>
          <w:sz w:val="22"/>
          <w:szCs w:val="22"/>
        </w:rPr>
        <w:t>IEEE SA Standards Board Operations Manual</w:t>
      </w:r>
    </w:p>
    <w:p w14:paraId="2F1F388E" w14:textId="77777777" w:rsidR="00280BED" w:rsidRDefault="00280BED">
      <w:pPr>
        <w:jc w:val="both"/>
        <w:rPr>
          <w:color w:val="auto"/>
          <w:sz w:val="22"/>
          <w:szCs w:val="22"/>
        </w:rPr>
      </w:pPr>
      <w:hyperlink r:id="rId15" w:anchor="6.3" w:history="1">
        <w:r>
          <w:rPr>
            <w:rStyle w:val="Hyperlink"/>
            <w:sz w:val="22"/>
            <w:szCs w:val="22"/>
          </w:rPr>
          <w:t>https://standards.ieee.org/develop/policies/opman/sect6.html#6.3</w:t>
        </w:r>
      </w:hyperlink>
    </w:p>
    <w:p w14:paraId="2F1F388F" w14:textId="77777777" w:rsidR="00280BED" w:rsidRDefault="00280BED">
      <w:pPr>
        <w:jc w:val="both"/>
        <w:rPr>
          <w:color w:val="auto"/>
          <w:sz w:val="22"/>
          <w:szCs w:val="22"/>
        </w:rPr>
      </w:pPr>
    </w:p>
    <w:p w14:paraId="2F1F3890" w14:textId="77777777" w:rsidR="00280BED" w:rsidRDefault="00000000">
      <w:pPr>
        <w:jc w:val="both"/>
        <w:rPr>
          <w:color w:val="auto"/>
          <w:sz w:val="22"/>
          <w:szCs w:val="22"/>
        </w:rPr>
      </w:pPr>
      <w:r>
        <w:rPr>
          <w:color w:val="auto"/>
          <w:sz w:val="22"/>
          <w:szCs w:val="22"/>
        </w:rPr>
        <w:t xml:space="preserve">Material about the patent policy is available at </w:t>
      </w:r>
    </w:p>
    <w:p w14:paraId="2F1F3891" w14:textId="77777777" w:rsidR="00280BED" w:rsidRDefault="00280BED">
      <w:pPr>
        <w:jc w:val="both"/>
        <w:rPr>
          <w:color w:val="auto"/>
          <w:sz w:val="22"/>
          <w:szCs w:val="22"/>
        </w:rPr>
      </w:pPr>
      <w:hyperlink r:id="rId16">
        <w:r>
          <w:rPr>
            <w:rStyle w:val="Hyperlink"/>
            <w:sz w:val="22"/>
            <w:szCs w:val="22"/>
          </w:rPr>
          <w:t>https://standards.ieee.org/about/sasb/patcom/materials.html</w:t>
        </w:r>
      </w:hyperlink>
    </w:p>
    <w:p w14:paraId="2F1F3892" w14:textId="77777777" w:rsidR="00280BED" w:rsidRDefault="00280BED">
      <w:pPr>
        <w:jc w:val="both"/>
        <w:rPr>
          <w:color w:val="auto"/>
          <w:sz w:val="22"/>
          <w:szCs w:val="22"/>
        </w:rPr>
      </w:pPr>
    </w:p>
    <w:p w14:paraId="2F1F3893" w14:textId="77777777" w:rsidR="00280BED" w:rsidRDefault="00000000">
      <w:pPr>
        <w:rPr>
          <w:color w:val="auto"/>
          <w:sz w:val="22"/>
          <w:szCs w:val="22"/>
        </w:rPr>
      </w:pPr>
      <w:r>
        <w:rPr>
          <w:color w:val="auto"/>
          <w:sz w:val="22"/>
          <w:szCs w:val="22"/>
        </w:rPr>
        <w:t xml:space="preserve">If you have questions, contact the IEEE SA Standards Board Patent Committee Administrator at </w:t>
      </w:r>
      <w:hyperlink r:id="rId17">
        <w:r w:rsidR="00280BED">
          <w:rPr>
            <w:rStyle w:val="Hyperlink"/>
            <w:sz w:val="22"/>
            <w:szCs w:val="22"/>
          </w:rPr>
          <w:t>patcom@ieee.org</w:t>
        </w:r>
      </w:hyperlink>
    </w:p>
    <w:p w14:paraId="2F1F3894" w14:textId="77777777" w:rsidR="00280BED" w:rsidRDefault="00280BED">
      <w:pPr>
        <w:rPr>
          <w:color w:val="auto"/>
          <w:sz w:val="22"/>
          <w:szCs w:val="22"/>
        </w:rPr>
      </w:pPr>
    </w:p>
    <w:p w14:paraId="2F1F3895" w14:textId="77777777" w:rsidR="00280BED" w:rsidRDefault="00000000">
      <w:pPr>
        <w:tabs>
          <w:tab w:val="left" w:pos="5253"/>
        </w:tabs>
        <w:rPr>
          <w:color w:val="auto"/>
          <w:sz w:val="22"/>
          <w:szCs w:val="22"/>
        </w:rPr>
      </w:pPr>
      <w:r>
        <w:rPr>
          <w:color w:val="auto"/>
          <w:sz w:val="22"/>
          <w:szCs w:val="22"/>
        </w:rPr>
        <w:tab/>
      </w:r>
    </w:p>
    <w:sectPr w:rsidR="00280BED">
      <w:headerReference w:type="default" r:id="rId18"/>
      <w:footerReference w:type="default" r:id="rId19"/>
      <w:pgSz w:w="12240" w:h="15840"/>
      <w:pgMar w:top="1800" w:right="1440" w:bottom="1800" w:left="1440" w:header="1296" w:footer="1296"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6477" w14:textId="77777777" w:rsidR="004502A6" w:rsidRDefault="004502A6">
      <w:r>
        <w:separator/>
      </w:r>
    </w:p>
  </w:endnote>
  <w:endnote w:type="continuationSeparator" w:id="0">
    <w:p w14:paraId="0FEBDA45" w14:textId="77777777" w:rsidR="004502A6" w:rsidRDefault="0045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w:altName w:val="Palatino Linotype"/>
    <w:charset w:val="00"/>
    <w:family w:val="roman"/>
    <w:pitch w:val="variable"/>
  </w:font>
  <w:font w:name="New Century Schlbk">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3897" w14:textId="291F2AF6" w:rsidR="00280BED" w:rsidRDefault="00000000">
    <w:pPr>
      <w:pStyle w:val="Footer"/>
      <w:widowControl w:val="0"/>
      <w:pBdr>
        <w:top w:val="single" w:sz="6" w:space="0" w:color="000000"/>
      </w:pBdr>
      <w:tabs>
        <w:tab w:val="clear" w:pos="4320"/>
        <w:tab w:val="clear" w:pos="8640"/>
        <w:tab w:val="center" w:pos="4680"/>
        <w:tab w:val="right" w:pos="9360"/>
      </w:tabs>
      <w:spacing w:before="240"/>
      <w:jc w:val="both"/>
    </w:pPr>
    <w:r>
      <w:t>Submission</w:t>
    </w:r>
    <w:r>
      <w:tab/>
      <w:t xml:space="preserve">                    Page </w:t>
    </w:r>
    <w:r>
      <w:fldChar w:fldCharType="begin"/>
    </w:r>
    <w:r>
      <w:instrText xml:space="preserve"> PAGE </w:instrText>
    </w:r>
    <w:r>
      <w:fldChar w:fldCharType="separate"/>
    </w:r>
    <w:r>
      <w:t>3</w:t>
    </w:r>
    <w:r>
      <w:fldChar w:fldCharType="end"/>
    </w:r>
    <w:r>
      <w:t xml:space="preserve"> of </w:t>
    </w:r>
    <w:fldSimple w:instr=" NUMPAGES ">
      <w:r w:rsidR="00280BED">
        <w:t>3</w:t>
      </w:r>
    </w:fldSimple>
    <w:r>
      <w:t xml:space="preserve">               </w:t>
    </w:r>
    <w:r>
      <w:tab/>
      <w:t xml:space="preserve"> </w:t>
    </w:r>
    <w:r w:rsidR="00EC13B5">
      <w:t xml:space="preserve">Phil Beecher </w:t>
    </w:r>
    <w:r>
      <w:t>(Wi-SUN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AFB6" w14:textId="77777777" w:rsidR="004502A6" w:rsidRDefault="004502A6">
      <w:r>
        <w:separator/>
      </w:r>
    </w:p>
  </w:footnote>
  <w:footnote w:type="continuationSeparator" w:id="0">
    <w:p w14:paraId="212C9A7E" w14:textId="77777777" w:rsidR="004502A6" w:rsidRDefault="0045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3896" w14:textId="14405E94" w:rsidR="00280BED" w:rsidRDefault="00000000">
    <w:pPr>
      <w:pStyle w:val="Header"/>
      <w:widowControl w:val="0"/>
      <w:pBdr>
        <w:bottom w:val="single" w:sz="6" w:space="0" w:color="000000"/>
      </w:pBdr>
      <w:tabs>
        <w:tab w:val="clear" w:pos="4320"/>
        <w:tab w:val="clear" w:pos="8640"/>
        <w:tab w:val="right" w:pos="9270"/>
      </w:tabs>
      <w:spacing w:after="360"/>
      <w:jc w:val="both"/>
      <w:rPr>
        <w:b/>
        <w:sz w:val="28"/>
      </w:rPr>
    </w:pPr>
    <w:r>
      <w:rPr>
        <w:b/>
        <w:sz w:val="28"/>
      </w:rPr>
      <w:t>November 2024</w:t>
    </w:r>
    <w:r>
      <w:rPr>
        <w:b/>
        <w:sz w:val="28"/>
      </w:rPr>
      <w:tab/>
      <w:t xml:space="preserve"> IEEE P802.15-24-04</w:t>
    </w:r>
    <w:r w:rsidR="00C14FB4">
      <w:rPr>
        <w:b/>
        <w:sz w:val="28"/>
      </w:rPr>
      <w:t>88-0</w:t>
    </w:r>
    <w:r w:rsidR="00EF0162">
      <w:rPr>
        <w:b/>
        <w:sz w:val="28"/>
      </w:rPr>
      <w:t>1</w:t>
    </w:r>
    <w:r w:rsidR="00C14FB4">
      <w:rPr>
        <w:b/>
        <w:sz w:val="28"/>
      </w:rPr>
      <w:t>-04ad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D21B7"/>
    <w:multiLevelType w:val="multilevel"/>
    <w:tmpl w:val="2D9634C0"/>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5987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ED"/>
    <w:rsid w:val="0006311D"/>
    <w:rsid w:val="00122713"/>
    <w:rsid w:val="00143621"/>
    <w:rsid w:val="00166C8A"/>
    <w:rsid w:val="002433EE"/>
    <w:rsid w:val="00280BED"/>
    <w:rsid w:val="003B568D"/>
    <w:rsid w:val="004502A6"/>
    <w:rsid w:val="004F7AC5"/>
    <w:rsid w:val="00523E24"/>
    <w:rsid w:val="00545D73"/>
    <w:rsid w:val="00590429"/>
    <w:rsid w:val="0061173B"/>
    <w:rsid w:val="006D41FC"/>
    <w:rsid w:val="00751AF7"/>
    <w:rsid w:val="007B19AE"/>
    <w:rsid w:val="008175F2"/>
    <w:rsid w:val="009775AA"/>
    <w:rsid w:val="009F7493"/>
    <w:rsid w:val="00A24770"/>
    <w:rsid w:val="00A87E59"/>
    <w:rsid w:val="00AF34B3"/>
    <w:rsid w:val="00C14FB4"/>
    <w:rsid w:val="00CD4DB2"/>
    <w:rsid w:val="00D70E5C"/>
    <w:rsid w:val="00DB2E20"/>
    <w:rsid w:val="00E72F60"/>
    <w:rsid w:val="00EC13B5"/>
    <w:rsid w:val="00ED0239"/>
    <w:rsid w:val="00EF0162"/>
    <w:rsid w:val="00F119ED"/>
    <w:rsid w:val="00F43087"/>
    <w:rsid w:val="00F44A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3842"/>
  <w15:docId w15:val="{F789720C-52C9-456C-B4DC-EAACF544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rFonts w:eastAsia="MS Mincho"/>
      <w:color w:val="000000"/>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sz w:val="24"/>
      <w:lang w:eastAsia="zh-CN"/>
    </w:rPr>
  </w:style>
  <w:style w:type="paragraph" w:styleId="PlainText">
    <w:name w:val="Plain Text"/>
    <w:basedOn w:val="Normal"/>
    <w:link w:val="PlainTextChar"/>
    <w:uiPriority w:val="99"/>
    <w:qFormat/>
    <w:rsid w:val="00A70E99"/>
    <w:rPr>
      <w:rFonts w:ascii="Courier New" w:hAnsi="Courier New"/>
      <w:color w:val="auto"/>
      <w:lang w:val="x-none" w:eastAsia="x-none"/>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pr-nodejs.standards.ieee.org/mypr-file/par/11073/mypr" TargetMode="External"/><Relationship Id="rId13" Type="http://schemas.openxmlformats.org/officeDocument/2006/relationships/hyperlink" Target="https://standards.ieee.org/faqs/copyrigh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about/policies/opman/sect6.html" TargetMode="External"/><Relationship Id="rId17" Type="http://schemas.openxmlformats.org/officeDocument/2006/relationships/hyperlink" Target="mailto:https://standards.ieee.org/about/policies/opman/sect6/" TargetMode="External"/><Relationship Id="rId2" Type="http://schemas.openxmlformats.org/officeDocument/2006/relationships/numbering" Target="numbering.xml"/><Relationship Id="rId16" Type="http://schemas.openxmlformats.org/officeDocument/2006/relationships/hyperlink" Target="https://standards.ieee.org/about/sasb/patcom/materi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bylaws/sect6-7.html" TargetMode="External"/><Relationship Id="rId5" Type="http://schemas.openxmlformats.org/officeDocument/2006/relationships/webSettings" Target="webSettings.xml"/><Relationship Id="rId15" Type="http://schemas.openxmlformats.org/officeDocument/2006/relationships/hyperlink" Target="https://standards.ieee.org/develop/policies/opman/sect6.html" TargetMode="External"/><Relationship Id="rId10" Type="http://schemas.openxmlformats.org/officeDocument/2006/relationships/hyperlink" Target="https://mentor.ieee.org/802.15/dcn/24/15-24-0061-16-04ad-draft-802-15-4-next-generation-sun-phy-technical-guidance-document.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5/dcn/23/15-23-0494-03-04ad-next-gen-sun-phys-draft-csd.docx" TargetMode="External"/><Relationship Id="rId14" Type="http://schemas.openxmlformats.org/officeDocument/2006/relationships/hyperlink" Target="https://standards.ieee.org/develop/polici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Company>&lt;Kinney Consulting&gt;</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Call for Proposals</dc:title>
  <dc:subject/>
  <dc:creator>kivinen@iki.fi;phil@beecher.co.uk</dc:creator>
  <dc:description/>
  <cp:lastModifiedBy>Phil Beecher</cp:lastModifiedBy>
  <cp:revision>3</cp:revision>
  <cp:lastPrinted>1900-01-01T10:00:00Z</cp:lastPrinted>
  <dcterms:created xsi:type="dcterms:W3CDTF">2024-12-04T12:26:00Z</dcterms:created>
  <dcterms:modified xsi:type="dcterms:W3CDTF">2024-12-04T12:26:00Z</dcterms:modified>
  <cp:category>&lt;15-15-0760-00-0llc&gt;</cp:category>
  <dc:language>en-US</dc:language>
</cp:coreProperties>
</file>