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rPr>
      </w:pPr>
      <w:r>
        <w:rPr>
          <w:b/>
          <w:sz w:val="28"/>
        </w:rPr>
        <w:t>IEEE P802.15</w:t>
      </w:r>
    </w:p>
    <w:p>
      <w:pPr>
        <w:pStyle w:val="Normal"/>
        <w:jc w:val="center"/>
        <w:rPr>
          <w:b/>
          <w:b/>
          <w:sz w:val="28"/>
        </w:rPr>
      </w:pPr>
      <w:r>
        <w:rPr>
          <w:b/>
          <w:sz w:val="28"/>
        </w:rPr>
      </w:r>
    </w:p>
    <w:p>
      <w:pPr>
        <w:pStyle w:val="Normal"/>
        <w:jc w:val="center"/>
        <w:rPr>
          <w:b/>
          <w:b/>
          <w:sz w:val="28"/>
        </w:rPr>
      </w:pPr>
      <w:r>
        <w:rPr>
          <w:b/>
          <w:sz w:val="28"/>
        </w:rPr>
        <w:t>Wireless Specialty Networks</w:t>
      </w:r>
    </w:p>
    <w:p>
      <w:pPr>
        <w:pStyle w:val="Normal"/>
        <w:jc w:val="center"/>
        <w:rPr>
          <w:b/>
          <w:b/>
          <w:sz w:val="28"/>
        </w:rPr>
      </w:pPr>
      <w:r>
        <w:rPr>
          <w:b/>
          <w:sz w:val="28"/>
        </w:rPr>
      </w:r>
    </w:p>
    <w:p>
      <w:pPr>
        <w:pStyle w:val="Normal"/>
        <w:jc w:val="center"/>
        <w:rPr>
          <w:b/>
          <w:b/>
          <w:sz w:val="28"/>
        </w:rPr>
      </w:pPr>
      <w:r>
        <w:rPr>
          <w:b/>
          <w:sz w:val="28"/>
        </w:rPr>
      </w:r>
    </w:p>
    <w:tbl>
      <w:tblPr>
        <w:tblW w:w="945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257"/>
        <w:gridCol w:w="4052"/>
        <w:gridCol w:w="4141"/>
      </w:tblGrid>
      <w:tr>
        <w:trPr/>
        <w:tc>
          <w:tcPr>
            <w:tcW w:w="1257" w:type="dxa"/>
            <w:tcBorders>
              <w:top w:val="single" w:sz="6" w:space="0" w:color="000000"/>
            </w:tcBorders>
            <w:vAlign w:val="center"/>
          </w:tcPr>
          <w:p>
            <w:pPr>
              <w:pStyle w:val="Covertext"/>
              <w:widowControl w:val="false"/>
              <w:spacing w:before="120" w:after="120"/>
              <w:rPr>
                <w:sz w:val="22"/>
              </w:rPr>
            </w:pPr>
            <w:r>
              <w:rPr>
                <w:sz w:val="22"/>
              </w:rPr>
              <w:t>Project</w:t>
            </w:r>
          </w:p>
        </w:tc>
        <w:tc>
          <w:tcPr>
            <w:tcW w:w="8193" w:type="dxa"/>
            <w:gridSpan w:val="2"/>
            <w:tcBorders>
              <w:top w:val="single" w:sz="6" w:space="0" w:color="000000"/>
            </w:tcBorders>
            <w:vAlign w:val="center"/>
          </w:tcPr>
          <w:p>
            <w:pPr>
              <w:pStyle w:val="Covertext"/>
              <w:widowControl w:val="false"/>
              <w:spacing w:before="120" w:after="120"/>
              <w:rPr>
                <w:sz w:val="22"/>
              </w:rPr>
            </w:pPr>
            <w:r>
              <w:rPr>
                <w:sz w:val="24"/>
                <w:szCs w:val="22"/>
              </w:rPr>
              <w:t>IEEE P802.15 Working Group for Wireless Specialty Networks (WSNs)</w:t>
            </w:r>
          </w:p>
        </w:tc>
      </w:tr>
      <w:tr>
        <w:trPr/>
        <w:tc>
          <w:tcPr>
            <w:tcW w:w="1257" w:type="dxa"/>
            <w:tcBorders>
              <w:top w:val="single" w:sz="6" w:space="0" w:color="000000"/>
            </w:tcBorders>
            <w:vAlign w:val="center"/>
          </w:tcPr>
          <w:p>
            <w:pPr>
              <w:pStyle w:val="Covertext"/>
              <w:widowControl w:val="false"/>
              <w:spacing w:before="120" w:after="120"/>
              <w:rPr>
                <w:sz w:val="24"/>
                <w:szCs w:val="22"/>
              </w:rPr>
            </w:pPr>
            <w:r>
              <w:rPr>
                <w:sz w:val="24"/>
                <w:szCs w:val="22"/>
              </w:rPr>
              <w:t>Title</w:t>
            </w:r>
          </w:p>
        </w:tc>
        <w:tc>
          <w:tcPr>
            <w:tcW w:w="8193" w:type="dxa"/>
            <w:gridSpan w:val="2"/>
            <w:tcBorders>
              <w:top w:val="single" w:sz="6" w:space="0" w:color="000000"/>
            </w:tcBorders>
            <w:vAlign w:val="center"/>
          </w:tcPr>
          <w:p>
            <w:pPr>
              <w:pStyle w:val="Covertext"/>
              <w:widowControl w:val="false"/>
              <w:spacing w:before="120" w:after="120"/>
              <w:rPr>
                <w:b/>
                <w:b/>
                <w:sz w:val="24"/>
                <w:szCs w:val="22"/>
              </w:rPr>
            </w:pPr>
            <w:r>
              <w:rPr>
                <w:b/>
                <w:sz w:val="24"/>
                <w:szCs w:val="22"/>
              </w:rPr>
              <w:t>TG 802.15.4ae Call for Participation and Call for Proposals</w:t>
            </w:r>
          </w:p>
        </w:tc>
      </w:tr>
      <w:tr>
        <w:trPr/>
        <w:tc>
          <w:tcPr>
            <w:tcW w:w="1257" w:type="dxa"/>
            <w:tcBorders>
              <w:top w:val="single" w:sz="6" w:space="0" w:color="000000"/>
            </w:tcBorders>
            <w:vAlign w:val="center"/>
          </w:tcPr>
          <w:p>
            <w:pPr>
              <w:pStyle w:val="Covertext"/>
              <w:widowControl w:val="false"/>
              <w:spacing w:before="120" w:after="120"/>
              <w:rPr>
                <w:sz w:val="24"/>
                <w:szCs w:val="22"/>
              </w:rPr>
            </w:pPr>
            <w:r>
              <w:rPr>
                <w:sz w:val="24"/>
                <w:szCs w:val="22"/>
              </w:rPr>
              <w:t>Date Submitted</w:t>
            </w:r>
          </w:p>
        </w:tc>
        <w:tc>
          <w:tcPr>
            <w:tcW w:w="8193" w:type="dxa"/>
            <w:gridSpan w:val="2"/>
            <w:tcBorders>
              <w:top w:val="single" w:sz="6" w:space="0" w:color="000000"/>
              <w:bottom w:val="single" w:sz="4" w:space="0" w:color="000000"/>
            </w:tcBorders>
            <w:vAlign w:val="center"/>
          </w:tcPr>
          <w:p>
            <w:pPr>
              <w:pStyle w:val="Covertext"/>
              <w:widowControl w:val="false"/>
              <w:spacing w:before="120" w:after="120"/>
              <w:rPr>
                <w:sz w:val="24"/>
                <w:szCs w:val="22"/>
              </w:rPr>
            </w:pPr>
            <w:r>
              <w:rPr>
                <w:sz w:val="24"/>
                <w:szCs w:val="22"/>
              </w:rPr>
              <w:t>9</w:t>
            </w:r>
            <w:r>
              <w:rPr>
                <w:sz w:val="24"/>
                <w:szCs w:val="22"/>
                <w:vertAlign w:val="superscript"/>
              </w:rPr>
              <w:t>th</w:t>
            </w:r>
            <w:r>
              <w:rPr>
                <w:sz w:val="24"/>
                <w:szCs w:val="22"/>
              </w:rPr>
              <w:t xml:space="preserve"> September 2024</w:t>
            </w:r>
          </w:p>
        </w:tc>
      </w:tr>
      <w:tr>
        <w:trPr/>
        <w:tc>
          <w:tcPr>
            <w:tcW w:w="1257" w:type="dxa"/>
            <w:tcBorders>
              <w:top w:val="single" w:sz="4" w:space="0" w:color="000000"/>
              <w:bottom w:val="single" w:sz="4" w:space="0" w:color="000000"/>
            </w:tcBorders>
            <w:vAlign w:val="center"/>
          </w:tcPr>
          <w:p>
            <w:pPr>
              <w:pStyle w:val="Covertext"/>
              <w:widowControl w:val="false"/>
              <w:spacing w:before="120" w:after="120"/>
              <w:rPr>
                <w:sz w:val="24"/>
                <w:szCs w:val="24"/>
              </w:rPr>
            </w:pPr>
            <w:r>
              <w:rPr>
                <w:sz w:val="24"/>
                <w:szCs w:val="24"/>
              </w:rPr>
              <w:t>Source</w:t>
            </w:r>
          </w:p>
        </w:tc>
        <w:tc>
          <w:tcPr>
            <w:tcW w:w="4052" w:type="dxa"/>
            <w:tcBorders>
              <w:top w:val="single" w:sz="4" w:space="0" w:color="000000"/>
            </w:tcBorders>
            <w:vAlign w:val="center"/>
          </w:tcPr>
          <w:p>
            <w:pPr>
              <w:pStyle w:val="Covertext"/>
              <w:widowControl w:val="false"/>
              <w:spacing w:before="0" w:after="0"/>
              <w:rPr>
                <w:sz w:val="22"/>
                <w:szCs w:val="22"/>
                <w:lang w:val="fi-FI"/>
              </w:rPr>
            </w:pPr>
            <w:r>
              <w:rPr>
                <w:sz w:val="22"/>
                <w:szCs w:val="22"/>
                <w:lang w:val="fi-FI"/>
              </w:rPr>
            </w:r>
          </w:p>
          <w:p>
            <w:pPr>
              <w:pStyle w:val="Covertext"/>
              <w:widowControl w:val="false"/>
              <w:spacing w:before="0" w:after="0"/>
              <w:rPr>
                <w:sz w:val="22"/>
                <w:szCs w:val="22"/>
                <w:lang w:val="fi-FI"/>
              </w:rPr>
            </w:pPr>
            <w:r>
              <w:rPr>
                <w:sz w:val="22"/>
                <w:szCs w:val="22"/>
                <w:lang w:val="fi-FI"/>
              </w:rPr>
              <w:t>Tero Kivinen</w:t>
            </w:r>
          </w:p>
          <w:p>
            <w:pPr>
              <w:pStyle w:val="Covertext"/>
              <w:widowControl w:val="false"/>
              <w:spacing w:before="0" w:after="0"/>
              <w:rPr>
                <w:sz w:val="22"/>
                <w:szCs w:val="22"/>
                <w:lang w:val="fi-FI"/>
              </w:rPr>
            </w:pPr>
            <w:r>
              <w:rPr>
                <w:sz w:val="22"/>
                <w:szCs w:val="22"/>
                <w:lang w:val="fi-FI"/>
              </w:rPr>
            </w:r>
          </w:p>
        </w:tc>
        <w:tc>
          <w:tcPr>
            <w:tcW w:w="4141" w:type="dxa"/>
            <w:tcBorders>
              <w:top w:val="single" w:sz="4" w:space="0" w:color="000000"/>
            </w:tcBorders>
            <w:vAlign w:val="center"/>
          </w:tcPr>
          <w:p>
            <w:pPr>
              <w:pStyle w:val="Covertext"/>
              <w:widowControl w:val="false"/>
              <w:tabs>
                <w:tab w:val="clear" w:pos="720"/>
                <w:tab w:val="left" w:pos="1152" w:leader="none"/>
              </w:tabs>
              <w:spacing w:before="0" w:after="0"/>
              <w:rPr>
                <w:sz w:val="22"/>
                <w:szCs w:val="22"/>
                <w:lang w:val="fi-FI"/>
              </w:rPr>
            </w:pPr>
            <w:r>
              <w:rPr>
                <w:sz w:val="22"/>
                <w:szCs w:val="22"/>
                <w:lang w:val="fi-FI"/>
              </w:rPr>
            </w:r>
          </w:p>
          <w:p>
            <w:pPr>
              <w:pStyle w:val="Covertext"/>
              <w:widowControl w:val="false"/>
              <w:tabs>
                <w:tab w:val="clear" w:pos="720"/>
                <w:tab w:val="left" w:pos="1152" w:leader="none"/>
              </w:tabs>
              <w:spacing w:before="0" w:after="0"/>
              <w:rPr>
                <w:color w:val="000000" w:themeColor="text1"/>
                <w:sz w:val="22"/>
                <w:szCs w:val="22"/>
                <w:lang w:val="fi-FI" w:eastAsia="ja-JP"/>
              </w:rPr>
            </w:pPr>
            <w:r>
              <w:rPr>
                <w:rStyle w:val="InternetLink"/>
                <w:color w:val="000000" w:themeColor="text1"/>
                <w:sz w:val="22"/>
                <w:szCs w:val="22"/>
                <w:u w:val="none"/>
                <w:lang w:val="fi-FI" w:eastAsia="ja-JP"/>
              </w:rPr>
              <w:t>E-Mail: kivinen@iki.fi</w:t>
            </w:r>
          </w:p>
          <w:p>
            <w:pPr>
              <w:pStyle w:val="Covertext"/>
              <w:widowControl w:val="false"/>
              <w:tabs>
                <w:tab w:val="clear" w:pos="720"/>
                <w:tab w:val="left" w:pos="1152" w:leader="none"/>
              </w:tabs>
              <w:spacing w:before="0" w:after="0"/>
              <w:rPr>
                <w:sz w:val="22"/>
                <w:szCs w:val="22"/>
                <w:lang w:val="fi-FI"/>
              </w:rPr>
            </w:pPr>
            <w:r>
              <w:rPr>
                <w:sz w:val="22"/>
                <w:szCs w:val="22"/>
                <w:lang w:val="fi-FI"/>
              </w:rPr>
            </w:r>
          </w:p>
        </w:tc>
      </w:tr>
      <w:tr>
        <w:trPr/>
        <w:tc>
          <w:tcPr>
            <w:tcW w:w="1257" w:type="dxa"/>
            <w:tcBorders>
              <w:top w:val="single" w:sz="6" w:space="0" w:color="000000"/>
            </w:tcBorders>
            <w:vAlign w:val="center"/>
          </w:tcPr>
          <w:p>
            <w:pPr>
              <w:pStyle w:val="Covertext"/>
              <w:widowControl w:val="false"/>
              <w:spacing w:before="120" w:after="120"/>
              <w:rPr>
                <w:sz w:val="22"/>
              </w:rPr>
            </w:pPr>
            <w:r>
              <w:rPr>
                <w:sz w:val="22"/>
              </w:rPr>
              <w:t>Abstract</w:t>
            </w:r>
          </w:p>
        </w:tc>
        <w:tc>
          <w:tcPr>
            <w:tcW w:w="8193" w:type="dxa"/>
            <w:gridSpan w:val="2"/>
            <w:tcBorders>
              <w:top w:val="single" w:sz="6" w:space="0" w:color="000000"/>
            </w:tcBorders>
            <w:vAlign w:val="center"/>
          </w:tcPr>
          <w:p>
            <w:pPr>
              <w:pStyle w:val="Covertext"/>
              <w:widowControl w:val="false"/>
              <w:spacing w:before="120" w:after="120"/>
              <w:rPr>
                <w:sz w:val="22"/>
              </w:rPr>
            </w:pPr>
            <w:r>
              <w:rPr>
                <w:sz w:val="22"/>
              </w:rPr>
              <w:t>Call for Proposals</w:t>
            </w:r>
          </w:p>
        </w:tc>
      </w:tr>
      <w:tr>
        <w:trPr/>
        <w:tc>
          <w:tcPr>
            <w:tcW w:w="1257" w:type="dxa"/>
            <w:tcBorders>
              <w:top w:val="single" w:sz="6" w:space="0" w:color="000000"/>
            </w:tcBorders>
            <w:vAlign w:val="center"/>
          </w:tcPr>
          <w:p>
            <w:pPr>
              <w:pStyle w:val="Covertext"/>
              <w:widowControl w:val="false"/>
              <w:spacing w:before="120" w:after="120"/>
              <w:rPr>
                <w:sz w:val="22"/>
              </w:rPr>
            </w:pPr>
            <w:r>
              <w:rPr>
                <w:sz w:val="22"/>
              </w:rPr>
              <w:t>Purpose</w:t>
            </w:r>
          </w:p>
        </w:tc>
        <w:tc>
          <w:tcPr>
            <w:tcW w:w="8193" w:type="dxa"/>
            <w:gridSpan w:val="2"/>
            <w:tcBorders>
              <w:top w:val="single" w:sz="6" w:space="0" w:color="000000"/>
            </w:tcBorders>
            <w:vAlign w:val="center"/>
          </w:tcPr>
          <w:p>
            <w:pPr>
              <w:pStyle w:val="Covertext"/>
              <w:widowControl w:val="false"/>
              <w:spacing w:before="120" w:after="120"/>
              <w:rPr>
                <w:sz w:val="22"/>
                <w:szCs w:val="22"/>
              </w:rPr>
            </w:pPr>
            <w:r>
              <w:rPr>
                <w:sz w:val="22"/>
                <w:szCs w:val="22"/>
              </w:rPr>
              <w:t>Announce Call for Participation and call for Proposals to develop the IEEE 802.15.4ae standard specification.</w:t>
            </w:r>
          </w:p>
        </w:tc>
      </w:tr>
      <w:tr>
        <w:trPr/>
        <w:tc>
          <w:tcPr>
            <w:tcW w:w="1257"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Notice</w:t>
            </w:r>
          </w:p>
        </w:tc>
        <w:tc>
          <w:tcPr>
            <w:tcW w:w="8193"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7"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Release</w:t>
            </w:r>
          </w:p>
        </w:tc>
        <w:tc>
          <w:tcPr>
            <w:tcW w:w="8193"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The contributor acknowledges and accepts that this contribution becomes the property of IEEE and may be made publicly available by P802.15.</w:t>
            </w:r>
          </w:p>
        </w:tc>
      </w:tr>
    </w:tbl>
    <w:p>
      <w:pPr>
        <w:pStyle w:val="Heading2"/>
        <w:numPr>
          <w:ilvl w:val="0"/>
          <w:numId w:val="0"/>
        </w:numPr>
        <w:ind w:left="576" w:hanging="0"/>
        <w:rPr/>
      </w:pPr>
      <w:r>
        <w:rPr/>
      </w:r>
      <w:bookmarkStart w:id="0" w:name="20150917012124-47969-hx41z00j"/>
      <w:bookmarkStart w:id="1" w:name="20150917012124-47969-hx41z00j"/>
      <w:bookmarkEnd w:id="1"/>
      <w:r>
        <w:br w:type="page"/>
      </w:r>
    </w:p>
    <w:p>
      <w:pPr>
        <w:pStyle w:val="Normal"/>
        <w:jc w:val="center"/>
        <w:rPr>
          <w:sz w:val="36"/>
          <w:szCs w:val="22"/>
        </w:rPr>
      </w:pPr>
      <w:r>
        <w:rPr>
          <w:sz w:val="36"/>
          <w:szCs w:val="22"/>
        </w:rPr>
        <w:t xml:space="preserve">TG 802.15.4ae Call for Participation and Call for Proposals </w:t>
      </w:r>
    </w:p>
    <w:p>
      <w:pPr>
        <w:pStyle w:val="Normal"/>
        <w:jc w:val="center"/>
        <w:rPr>
          <w:sz w:val="24"/>
        </w:rPr>
      </w:pPr>
      <w:r>
        <w:rPr>
          <w:sz w:val="24"/>
        </w:rPr>
      </w:r>
    </w:p>
    <w:p>
      <w:pPr>
        <w:pStyle w:val="PlainText"/>
        <w:rPr>
          <w:rFonts w:ascii="Times New Roman" w:hAnsi="Times New Roman"/>
          <w:sz w:val="22"/>
          <w:szCs w:val="22"/>
        </w:rPr>
      </w:pPr>
      <w:r>
        <w:rPr>
          <w:rFonts w:ascii="Times New Roman" w:hAnsi="Times New Roman"/>
          <w:sz w:val="22"/>
          <w:szCs w:val="22"/>
        </w:rPr>
        <w:t xml:space="preserve">The </w:t>
      </w:r>
      <w:r>
        <w:rPr>
          <w:rFonts w:ascii="Times New Roman" w:hAnsi="Times New Roman"/>
          <w:sz w:val="22"/>
          <w:szCs w:val="22"/>
          <w:lang w:val="en-US"/>
        </w:rPr>
        <w:t xml:space="preserve">Task Group 15.4ae </w:t>
      </w:r>
      <w:r>
        <w:rPr>
          <w:rFonts w:ascii="Times New Roman" w:hAnsi="Times New Roman"/>
          <w:sz w:val="22"/>
          <w:szCs w:val="22"/>
        </w:rPr>
        <w:t>issu</w:t>
      </w:r>
      <w:r>
        <w:rPr>
          <w:rFonts w:ascii="Times New Roman" w:hAnsi="Times New Roman"/>
          <w:sz w:val="22"/>
          <w:szCs w:val="22"/>
          <w:lang w:val="en-US"/>
        </w:rPr>
        <w:t>es</w:t>
      </w:r>
      <w:r>
        <w:rPr>
          <w:rFonts w:ascii="Times New Roman" w:hAnsi="Times New Roman"/>
          <w:sz w:val="22"/>
          <w:szCs w:val="22"/>
        </w:rPr>
        <w:t xml:space="preserve"> a Call for Participation and Call for Proposals for</w:t>
      </w:r>
      <w:r>
        <w:rPr>
          <w:rFonts w:ascii="Times New Roman" w:hAnsi="Times New Roman"/>
          <w:sz w:val="22"/>
          <w:szCs w:val="22"/>
          <w:lang w:val="en-US"/>
        </w:rPr>
        <w:t xml:space="preserve"> the</w:t>
      </w:r>
      <w:r>
        <w:rPr>
          <w:rFonts w:ascii="Times New Roman" w:hAnsi="Times New Roman"/>
          <w:sz w:val="22"/>
          <w:szCs w:val="22"/>
        </w:rPr>
        <w:t xml:space="preserve"> development of the IEEE </w:t>
      </w:r>
      <w:r>
        <w:rPr>
          <w:rFonts w:ascii="Times New Roman" w:hAnsi="Times New Roman"/>
          <w:sz w:val="22"/>
          <w:szCs w:val="22"/>
          <w:lang w:val="en-US"/>
        </w:rPr>
        <w:t xml:space="preserve">802.15.4ae </w:t>
      </w:r>
      <w:r>
        <w:rPr>
          <w:rFonts w:ascii="Times New Roman" w:hAnsi="Times New Roman"/>
          <w:sz w:val="22"/>
          <w:szCs w:val="22"/>
        </w:rPr>
        <w:t>standard</w:t>
      </w:r>
      <w:r>
        <w:rPr>
          <w:rFonts w:ascii="Times New Roman" w:hAnsi="Times New Roman"/>
          <w:sz w:val="22"/>
          <w:szCs w:val="22"/>
          <w:lang w:val="en-US"/>
        </w:rPr>
        <w:t xml:space="preserve"> specification</w:t>
      </w:r>
      <w:r>
        <w:rPr>
          <w:rFonts w:ascii="Times New Roman" w:hAnsi="Times New Roman"/>
          <w:sz w:val="22"/>
          <w:szCs w:val="22"/>
        </w:rPr>
        <w:t>.</w:t>
      </w:r>
    </w:p>
    <w:p>
      <w:pPr>
        <w:pStyle w:val="PlainText"/>
        <w:rPr>
          <w:rFonts w:ascii="Times New Roman" w:hAnsi="Times New Roman"/>
          <w:sz w:val="22"/>
          <w:szCs w:val="22"/>
        </w:rPr>
      </w:pPr>
      <w:r>
        <w:rPr>
          <w:rFonts w:ascii="Times New Roman" w:hAnsi="Times New Roman"/>
          <w:sz w:val="22"/>
          <w:szCs w:val="22"/>
        </w:rPr>
      </w:r>
    </w:p>
    <w:p>
      <w:pPr>
        <w:pStyle w:val="PlainText"/>
        <w:rPr>
          <w:rFonts w:ascii="Times New Roman" w:hAnsi="Times New Roman"/>
          <w:sz w:val="22"/>
          <w:szCs w:val="22"/>
        </w:rPr>
      </w:pPr>
      <w:r>
        <w:rPr>
          <w:rFonts w:ascii="Times New Roman" w:hAnsi="Times New Roman"/>
          <w:sz w:val="22"/>
          <w:szCs w:val="22"/>
        </w:rPr>
        <w:t>The TG 15.4ae requests interested parties join the effort in specifying the ASCON cryptographic algorithm [1] for IEEE Std 802.15.4.</w:t>
      </w:r>
    </w:p>
    <w:p>
      <w:pPr>
        <w:pStyle w:val="PlainText"/>
        <w:rPr>
          <w:rFonts w:ascii="Times New Roman" w:hAnsi="Times New Roman"/>
          <w:sz w:val="22"/>
          <w:szCs w:val="22"/>
          <w:lang w:eastAsia="ja-JP"/>
        </w:rPr>
      </w:pPr>
      <w:r>
        <w:rPr>
          <w:rFonts w:ascii="Times New Roman" w:hAnsi="Times New Roman"/>
          <w:sz w:val="22"/>
          <w:szCs w:val="22"/>
        </w:rPr>
        <w:t xml:space="preserve"> </w:t>
      </w:r>
    </w:p>
    <w:p>
      <w:pPr>
        <w:pStyle w:val="PlainText"/>
        <w:rPr>
          <w:rFonts w:ascii="Times New Roman" w:hAnsi="Times New Roman"/>
          <w:sz w:val="22"/>
          <w:szCs w:val="22"/>
          <w:lang w:val="en-US"/>
        </w:rPr>
      </w:pPr>
      <w:r>
        <w:rPr>
          <w:rFonts w:ascii="Times New Roman" w:hAnsi="Times New Roman"/>
          <w:sz w:val="22"/>
          <w:szCs w:val="22"/>
        </w:rPr>
        <w:t>The scope of proposals is strictly limited to those described in the Project Authorization Request (PAR)</w:t>
      </w:r>
      <w:r>
        <w:rPr>
          <w:rFonts w:ascii="Times New Roman" w:hAnsi="Times New Roman"/>
          <w:sz w:val="22"/>
          <w:szCs w:val="22"/>
          <w:lang w:eastAsia="ja-JP"/>
        </w:rPr>
        <w:t>,</w:t>
      </w:r>
      <w:r>
        <w:rPr>
          <w:rFonts w:ascii="Times New Roman" w:hAnsi="Times New Roman"/>
          <w:sz w:val="22"/>
          <w:szCs w:val="22"/>
        </w:rPr>
        <w:t xml:space="preserve"> document number 15-24-0267-02 [2]</w:t>
      </w:r>
      <w:r>
        <w:rPr>
          <w:rFonts w:ascii="Times New Roman" w:hAnsi="Times New Roman"/>
          <w:sz w:val="22"/>
          <w:szCs w:val="22"/>
          <w:lang w:val="en-US" w:eastAsia="ja-JP"/>
        </w:rPr>
        <w:t>,</w:t>
      </w:r>
      <w:r>
        <w:rPr>
          <w:rFonts w:ascii="Times New Roman" w:hAnsi="Times New Roman"/>
          <w:sz w:val="22"/>
          <w:szCs w:val="22"/>
          <w:lang w:eastAsia="ja-JP"/>
        </w:rPr>
        <w:t xml:space="preserve"> and </w:t>
      </w:r>
      <w:r>
        <w:rPr>
          <w:rFonts w:ascii="Times New Roman" w:hAnsi="Times New Roman"/>
          <w:bCs/>
          <w:sz w:val="22"/>
          <w:szCs w:val="22"/>
        </w:rPr>
        <w:t>Criteria for Standards Developmen</w:t>
      </w:r>
      <w:r>
        <w:rPr>
          <w:rFonts w:ascii="Times New Roman" w:hAnsi="Times New Roman"/>
          <w:bCs/>
          <w:sz w:val="22"/>
          <w:szCs w:val="22"/>
          <w:lang w:val="en-US"/>
        </w:rPr>
        <w:t>t (CSD)</w:t>
      </w:r>
      <w:r>
        <w:rPr>
          <w:rFonts w:ascii="Times New Roman" w:hAnsi="Times New Roman"/>
          <w:sz w:val="22"/>
          <w:szCs w:val="22"/>
          <w:lang w:eastAsia="ja-JP"/>
        </w:rPr>
        <w:t>, document number 15-</w:t>
      </w:r>
      <w:r>
        <w:rPr>
          <w:rFonts w:ascii="Times New Roman" w:hAnsi="Times New Roman"/>
          <w:sz w:val="22"/>
          <w:szCs w:val="22"/>
          <w:lang w:val="en-US" w:eastAsia="ja-JP"/>
        </w:rPr>
        <w:t>24</w:t>
      </w:r>
      <w:r>
        <w:rPr>
          <w:rFonts w:ascii="Times New Roman" w:hAnsi="Times New Roman"/>
          <w:sz w:val="22"/>
          <w:szCs w:val="22"/>
          <w:lang w:eastAsia="ja-JP"/>
        </w:rPr>
        <w:t>-0268</w:t>
      </w:r>
      <w:r>
        <w:rPr>
          <w:rFonts w:ascii="Times New Roman" w:hAnsi="Times New Roman"/>
          <w:sz w:val="22"/>
          <w:szCs w:val="22"/>
          <w:lang w:val="en-US" w:eastAsia="ja-JP"/>
        </w:rPr>
        <w:t>-02</w:t>
      </w:r>
      <w:r>
        <w:rPr>
          <w:rFonts w:ascii="Times New Roman" w:hAnsi="Times New Roman"/>
          <w:sz w:val="22"/>
          <w:szCs w:val="22"/>
          <w:lang w:val="en-US"/>
        </w:rPr>
        <w:t xml:space="preserve"> [3] publicly available on the IEEE 802.15 Mentor archive. </w:t>
      </w:r>
    </w:p>
    <w:p>
      <w:pPr>
        <w:pStyle w:val="Normal"/>
        <w:jc w:val="both"/>
        <w:rPr>
          <w:sz w:val="22"/>
          <w:lang w:val="x-none"/>
        </w:rPr>
      </w:pPr>
      <w:r>
        <w:rPr>
          <w:sz w:val="22"/>
          <w:lang w:val="x-none"/>
        </w:rPr>
      </w:r>
    </w:p>
    <w:p>
      <w:pPr>
        <w:pStyle w:val="Normal"/>
        <w:jc w:val="both"/>
        <w:rPr>
          <w:color w:val="auto"/>
          <w:sz w:val="22"/>
          <w:szCs w:val="22"/>
        </w:rPr>
      </w:pPr>
      <w:r>
        <w:rPr>
          <w:color w:val="auto"/>
          <w:sz w:val="22"/>
          <w:szCs w:val="22"/>
        </w:rPr>
        <w:t>Potential essential patents: if any proposer is holder of any patent claims that are potentially essential to implementation of the 802.15.4ae standard under the submitted proposal that are not already subject of an Accepted Letter of Assurance, please provide the relevant information to the 802.15 WG Chair. Please consult the IEEE Patent Policy and IEEE Copyright Policy (Annex A).</w:t>
      </w:r>
    </w:p>
    <w:p>
      <w:pPr>
        <w:pStyle w:val="Normal"/>
        <w:jc w:val="both"/>
        <w:rPr>
          <w:color w:val="auto"/>
          <w:sz w:val="22"/>
          <w:szCs w:val="22"/>
        </w:rPr>
      </w:pPr>
      <w:r>
        <w:rPr>
          <w:color w:val="auto"/>
          <w:sz w:val="22"/>
          <w:szCs w:val="22"/>
        </w:rPr>
      </w:r>
    </w:p>
    <w:p>
      <w:pPr>
        <w:pStyle w:val="Normal"/>
        <w:jc w:val="both"/>
        <w:rPr>
          <w:color w:val="auto"/>
        </w:rPr>
      </w:pPr>
      <w:r>
        <w:rPr>
          <w:sz w:val="22"/>
          <w:szCs w:val="22"/>
        </w:rPr>
        <w:t>Please submit proposals (and supporting technical material) using the approved IEEE SA document templates to the IEEE 802.15 Mentor archive and send a notification email to the TG Chair, Tero Kivinen</w:t>
      </w:r>
      <w:r>
        <w:rPr>
          <w:sz w:val="22"/>
          <w:szCs w:val="22"/>
          <w:lang w:eastAsia="ja-JP"/>
        </w:rPr>
        <w:t xml:space="preserve"> no later than </w:t>
      </w:r>
      <w:r>
        <w:rPr>
          <w:sz w:val="22"/>
          <w:szCs w:val="22"/>
          <w:lang w:eastAsia="ja-JP"/>
        </w:rPr>
        <w:t>January</w:t>
      </w:r>
      <w:r>
        <w:rPr>
          <w:sz w:val="22"/>
          <w:szCs w:val="22"/>
          <w:lang w:eastAsia="ja-JP"/>
        </w:rPr>
        <w:t xml:space="preserve"> 1</w:t>
      </w:r>
      <w:r>
        <w:rPr>
          <w:sz w:val="22"/>
          <w:szCs w:val="22"/>
          <w:vertAlign w:val="superscript"/>
          <w:lang w:eastAsia="ja-JP"/>
        </w:rPr>
        <w:t>st</w:t>
      </w:r>
      <w:r>
        <w:rPr>
          <w:sz w:val="22"/>
          <w:szCs w:val="22"/>
          <w:lang w:eastAsia="ja-JP"/>
        </w:rPr>
        <w:t>, 202</w:t>
      </w:r>
      <w:r>
        <w:rPr>
          <w:sz w:val="22"/>
          <w:szCs w:val="22"/>
          <w:lang w:eastAsia="ja-JP"/>
        </w:rPr>
        <w:t>5</w:t>
      </w:r>
      <w:r>
        <w:rPr>
          <w:sz w:val="22"/>
          <w:szCs w:val="22"/>
          <w:lang w:eastAsia="ja-JP"/>
        </w:rPr>
        <w:t xml:space="preserve">. </w:t>
      </w:r>
    </w:p>
    <w:p>
      <w:pPr>
        <w:pStyle w:val="Normal"/>
        <w:jc w:val="both"/>
        <w:rPr>
          <w:color w:val="auto"/>
          <w:sz w:val="22"/>
          <w:szCs w:val="22"/>
        </w:rPr>
      </w:pPr>
      <w:r>
        <w:rPr>
          <w:color w:val="auto"/>
          <w:sz w:val="22"/>
          <w:szCs w:val="22"/>
        </w:rPr>
      </w:r>
    </w:p>
    <w:p>
      <w:pPr>
        <w:pStyle w:val="Normal"/>
        <w:jc w:val="both"/>
        <w:rPr>
          <w:sz w:val="22"/>
          <w:szCs w:val="22"/>
          <w:lang w:eastAsia="ja-JP"/>
        </w:rPr>
      </w:pPr>
      <w:r>
        <w:rPr>
          <w:sz w:val="22"/>
          <w:szCs w:val="22"/>
          <w:lang w:eastAsia="ja-JP"/>
        </w:rPr>
        <w:t xml:space="preserve">Presentations and discussion of submitted proposals will start during the </w:t>
      </w:r>
      <w:r>
        <w:rPr>
          <w:sz w:val="22"/>
          <w:szCs w:val="22"/>
          <w:lang w:eastAsia="ja-JP"/>
        </w:rPr>
        <w:t>January</w:t>
      </w:r>
      <w:r>
        <w:rPr>
          <w:sz w:val="22"/>
          <w:szCs w:val="22"/>
          <w:lang w:eastAsia="ja-JP"/>
        </w:rPr>
        <w:t xml:space="preserve"> 202</w:t>
      </w:r>
      <w:r>
        <w:rPr>
          <w:sz w:val="22"/>
          <w:szCs w:val="22"/>
          <w:lang w:eastAsia="ja-JP"/>
        </w:rPr>
        <w:t>5</w:t>
      </w:r>
      <w:r>
        <w:rPr>
          <w:sz w:val="22"/>
          <w:szCs w:val="22"/>
          <w:lang w:eastAsia="ja-JP"/>
        </w:rPr>
        <w:t xml:space="preserve"> </w:t>
      </w:r>
      <w:r>
        <w:rPr>
          <w:sz w:val="22"/>
          <w:szCs w:val="22"/>
          <w:lang w:eastAsia="ja-JP"/>
        </w:rPr>
        <w:t>Interm</w:t>
      </w:r>
      <w:r>
        <w:rPr>
          <w:sz w:val="22"/>
          <w:szCs w:val="22"/>
          <w:lang w:eastAsia="ja-JP"/>
        </w:rPr>
        <w:t xml:space="preserve"> session.</w:t>
      </w:r>
    </w:p>
    <w:p>
      <w:pPr>
        <w:pStyle w:val="Normal"/>
        <w:jc w:val="both"/>
        <w:rPr>
          <w:sz w:val="22"/>
          <w:szCs w:val="22"/>
          <w:lang w:eastAsia="ja-JP"/>
        </w:rPr>
      </w:pPr>
      <w:r>
        <w:rPr>
          <w:sz w:val="22"/>
          <w:szCs w:val="22"/>
          <w:lang w:eastAsia="ja-JP"/>
        </w:rPr>
      </w:r>
    </w:p>
    <w:p>
      <w:pPr>
        <w:pStyle w:val="Normal"/>
        <w:jc w:val="both"/>
        <w:rPr>
          <w:sz w:val="22"/>
          <w:szCs w:val="22"/>
          <w:lang w:eastAsia="ja-JP"/>
        </w:rPr>
      </w:pPr>
      <w:r>
        <w:rPr>
          <w:sz w:val="22"/>
          <w:szCs w:val="22"/>
          <w:lang w:eastAsia="ja-JP"/>
        </w:rPr>
      </w:r>
    </w:p>
    <w:p>
      <w:pPr>
        <w:pStyle w:val="Normal"/>
        <w:jc w:val="both"/>
        <w:rPr>
          <w:sz w:val="22"/>
          <w:szCs w:val="22"/>
          <w:lang w:eastAsia="ja-JP"/>
        </w:rPr>
      </w:pPr>
      <w:r>
        <w:rPr>
          <w:sz w:val="22"/>
          <w:szCs w:val="22"/>
          <w:lang w:eastAsia="ja-JP"/>
        </w:rPr>
        <w:t xml:space="preserve">References: </w:t>
      </w:r>
    </w:p>
    <w:p>
      <w:pPr>
        <w:pStyle w:val="Normal"/>
        <w:jc w:val="both"/>
        <w:rPr>
          <w:sz w:val="22"/>
          <w:szCs w:val="22"/>
          <w:lang w:eastAsia="ja-JP"/>
        </w:rPr>
      </w:pPr>
      <w:r>
        <w:rPr>
          <w:sz w:val="22"/>
          <w:szCs w:val="22"/>
          <w:lang w:eastAsia="ja-JP"/>
        </w:rPr>
      </w:r>
    </w:p>
    <w:p>
      <w:pPr>
        <w:pStyle w:val="Normal"/>
        <w:jc w:val="both"/>
        <w:rPr>
          <w:sz w:val="22"/>
          <w:szCs w:val="22"/>
          <w:lang w:eastAsia="ja-JP"/>
        </w:rPr>
      </w:pPr>
      <w:r>
        <w:rPr>
          <w:sz w:val="22"/>
          <w:szCs w:val="22"/>
          <w:lang w:eastAsia="ja-JP"/>
        </w:rPr>
        <w:t xml:space="preserve">[1] </w:t>
      </w:r>
      <w:hyperlink r:id="rId2">
        <w:r>
          <w:rPr>
            <w:rStyle w:val="InternetLink"/>
            <w:sz w:val="22"/>
            <w:szCs w:val="22"/>
            <w:lang w:eastAsia="ja-JP"/>
          </w:rPr>
          <w:t>https://csrc.nist.gov/CSRC/media/Projects/lightweight-cryptography/documents/round-2/spec-doc-rnd2/ascon-spec-round2.pdf</w:t>
        </w:r>
      </w:hyperlink>
    </w:p>
    <w:p>
      <w:pPr>
        <w:pStyle w:val="Normal"/>
        <w:jc w:val="both"/>
        <w:rPr>
          <w:sz w:val="22"/>
          <w:szCs w:val="22"/>
          <w:lang w:eastAsia="ja-JP"/>
        </w:rPr>
      </w:pPr>
      <w:r>
        <w:rPr>
          <w:sz w:val="22"/>
          <w:szCs w:val="22"/>
          <w:lang w:eastAsia="ja-JP"/>
        </w:rPr>
        <w:t xml:space="preserve">[2] </w:t>
      </w:r>
      <w:hyperlink r:id="rId3">
        <w:r>
          <w:rPr>
            <w:rStyle w:val="InternetLink"/>
            <w:sz w:val="22"/>
            <w:szCs w:val="22"/>
            <w:lang w:eastAsia="ja-JP"/>
          </w:rPr>
          <w:t>https://mentor.ieee.org/802.15/dcn/24/15-24-0267-02-cryp-par-for-tg4ae-ascon-for-802-15-4.pdf</w:t>
        </w:r>
      </w:hyperlink>
    </w:p>
    <w:p>
      <w:pPr>
        <w:pStyle w:val="Normal"/>
        <w:jc w:val="both"/>
        <w:rPr>
          <w:sz w:val="22"/>
          <w:szCs w:val="22"/>
          <w:lang w:eastAsia="ja-JP"/>
        </w:rPr>
      </w:pPr>
      <w:r>
        <w:rPr>
          <w:sz w:val="22"/>
          <w:szCs w:val="22"/>
          <w:lang w:eastAsia="ja-JP"/>
        </w:rPr>
        <w:t xml:space="preserve">[3] </w:t>
      </w:r>
      <w:hyperlink r:id="rId4">
        <w:r>
          <w:rPr>
            <w:rStyle w:val="InternetLink"/>
            <w:sz w:val="22"/>
            <w:szCs w:val="22"/>
            <w:lang w:eastAsia="ja-JP"/>
          </w:rPr>
          <w:t>https://mentor.ieee.org/802.15/dcn/24/15-24-0268-02-cryp-csd-for-tg4ae.docx</w:t>
        </w:r>
      </w:hyperlink>
    </w:p>
    <w:p>
      <w:pPr>
        <w:pStyle w:val="Normal"/>
        <w:jc w:val="both"/>
        <w:rPr>
          <w:sz w:val="22"/>
          <w:szCs w:val="22"/>
          <w:lang w:eastAsia="ja-JP"/>
        </w:rPr>
      </w:pPr>
      <w:r>
        <w:rPr>
          <w:sz w:val="22"/>
          <w:szCs w:val="22"/>
          <w:lang w:eastAsia="ja-JP"/>
        </w:rPr>
      </w:r>
      <w:r>
        <w:br w:type="page"/>
      </w:r>
    </w:p>
    <w:p>
      <w:pPr>
        <w:pStyle w:val="Normal"/>
        <w:jc w:val="both"/>
        <w:rPr>
          <w:b/>
          <w:b/>
          <w:bCs/>
          <w:color w:val="auto"/>
          <w:sz w:val="28"/>
          <w:szCs w:val="28"/>
        </w:rPr>
      </w:pPr>
      <w:r>
        <w:rPr>
          <w:b/>
          <w:bCs/>
          <w:color w:val="auto"/>
          <w:sz w:val="28"/>
          <w:szCs w:val="28"/>
        </w:rPr>
        <w:t>Annex A</w:t>
      </w:r>
    </w:p>
    <w:p>
      <w:pPr>
        <w:pStyle w:val="Normal"/>
        <w:jc w:val="both"/>
        <w:rPr>
          <w:color w:val="auto"/>
          <w:sz w:val="28"/>
          <w:szCs w:val="28"/>
        </w:rPr>
      </w:pPr>
      <w:r>
        <w:rPr>
          <w:color w:val="auto"/>
          <w:sz w:val="28"/>
          <w:szCs w:val="28"/>
        </w:rPr>
      </w:r>
    </w:p>
    <w:p>
      <w:pPr>
        <w:pStyle w:val="Normal"/>
        <w:jc w:val="both"/>
        <w:rPr>
          <w:b/>
          <w:b/>
          <w:bCs/>
          <w:sz w:val="24"/>
          <w:szCs w:val="24"/>
        </w:rPr>
      </w:pPr>
      <w:r>
        <w:rPr>
          <w:b/>
          <w:bCs/>
          <w:sz w:val="24"/>
          <w:szCs w:val="24"/>
        </w:rPr>
        <w:t>The IEEE SA Copyright Policy</w:t>
      </w:r>
    </w:p>
    <w:p>
      <w:pPr>
        <w:pStyle w:val="Normal"/>
        <w:jc w:val="both"/>
        <w:rPr>
          <w:color w:val="auto"/>
          <w:sz w:val="22"/>
          <w:szCs w:val="22"/>
        </w:rPr>
      </w:pPr>
      <w:r>
        <w:rPr>
          <w:color w:val="auto"/>
          <w:sz w:val="22"/>
          <w:szCs w:val="22"/>
        </w:rPr>
      </w:r>
    </w:p>
    <w:p>
      <w:pPr>
        <w:pStyle w:val="Normal"/>
        <w:jc w:val="both"/>
        <w:rPr>
          <w:sz w:val="22"/>
          <w:szCs w:val="22"/>
        </w:rPr>
      </w:pPr>
      <w:r>
        <w:rPr>
          <w:sz w:val="22"/>
          <w:szCs w:val="22"/>
        </w:rPr>
        <w:t>The IEEE SA Copyright Policy is described in the IEEE SA Standards Board Bylaws and IEEE SA Standards Board Operations Manual.</w:t>
      </w:r>
    </w:p>
    <w:p>
      <w:pPr>
        <w:pStyle w:val="Normal"/>
        <w:jc w:val="both"/>
        <w:rPr>
          <w:sz w:val="22"/>
          <w:szCs w:val="22"/>
        </w:rPr>
      </w:pPr>
      <w:r>
        <w:rPr>
          <w:sz w:val="22"/>
          <w:szCs w:val="22"/>
        </w:rPr>
      </w:r>
    </w:p>
    <w:p>
      <w:pPr>
        <w:pStyle w:val="Normal"/>
        <w:rPr>
          <w:sz w:val="22"/>
          <w:szCs w:val="22"/>
        </w:rPr>
      </w:pPr>
      <w:r>
        <w:rPr>
          <w:sz w:val="22"/>
          <w:szCs w:val="22"/>
        </w:rPr>
        <w:t xml:space="preserve">IEEE SA Copyright Policy, see Clause 7 of the IEEE SA Standards Board Bylaws </w:t>
      </w:r>
      <w:r>
        <w:fldChar w:fldCharType="begin"/>
      </w:r>
      <w:r>
        <w:rPr>
          <w:rStyle w:val="InternetLink"/>
          <w:sz w:val="22"/>
          <w:szCs w:val="22"/>
        </w:rPr>
        <w:instrText xml:space="preserve"> HYPERLINK "https://standards.ieee.org/about/policies/bylaws/sect6-7.html" \l "7"</w:instrText>
      </w:r>
      <w:r>
        <w:rPr>
          <w:rStyle w:val="InternetLink"/>
          <w:sz w:val="22"/>
          <w:szCs w:val="22"/>
        </w:rPr>
        <w:fldChar w:fldCharType="separate"/>
      </w:r>
      <w:r>
        <w:rPr>
          <w:rStyle w:val="InternetLink"/>
          <w:sz w:val="22"/>
          <w:szCs w:val="22"/>
        </w:rPr>
        <w:t>https://standards.ieee.org/about/policies/bylaws/sect6-7.html#7</w:t>
      </w:r>
      <w:r>
        <w:rPr>
          <w:rStyle w:val="InternetLink"/>
          <w:sz w:val="22"/>
          <w:szCs w:val="22"/>
        </w:rPr>
        <w:fldChar w:fldCharType="end"/>
      </w: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t>Clause 6.1 of the IEEE SA Standards Board Operations Manual</w:t>
      </w:r>
    </w:p>
    <w:p>
      <w:pPr>
        <w:pStyle w:val="Normal"/>
        <w:jc w:val="both"/>
        <w:rPr>
          <w:sz w:val="22"/>
          <w:szCs w:val="22"/>
        </w:rPr>
      </w:pPr>
      <w:r>
        <w:rPr>
          <w:sz w:val="22"/>
          <w:szCs w:val="22"/>
        </w:rPr>
        <w:t xml:space="preserve"> </w:t>
      </w:r>
      <w:hyperlink r:id="rId5">
        <w:r>
          <w:rPr>
            <w:rStyle w:val="InternetLink"/>
            <w:sz w:val="22"/>
            <w:szCs w:val="22"/>
          </w:rPr>
          <w:t>https://standards.ieee.org/about/policies/opman/sect6.html</w:t>
        </w:r>
      </w:hyperlink>
    </w:p>
    <w:p>
      <w:pPr>
        <w:pStyle w:val="Normal"/>
        <w:jc w:val="both"/>
        <w:rPr>
          <w:color w:val="auto"/>
          <w:sz w:val="22"/>
          <w:szCs w:val="22"/>
        </w:rPr>
      </w:pPr>
      <w:r>
        <w:rPr>
          <w:color w:val="auto"/>
          <w:sz w:val="22"/>
          <w:szCs w:val="22"/>
        </w:rPr>
      </w:r>
    </w:p>
    <w:p>
      <w:pPr>
        <w:pStyle w:val="Normal"/>
        <w:jc w:val="both"/>
        <w:rPr>
          <w:color w:val="auto"/>
          <w:sz w:val="22"/>
          <w:szCs w:val="22"/>
        </w:rPr>
      </w:pPr>
      <w:r>
        <w:rPr>
          <w:color w:val="auto"/>
          <w:sz w:val="22"/>
          <w:szCs w:val="22"/>
        </w:rPr>
        <w:t>IEEE SA Copyright FAQs</w:t>
      </w:r>
    </w:p>
    <w:p>
      <w:pPr>
        <w:pStyle w:val="Normal"/>
        <w:jc w:val="both"/>
        <w:rPr>
          <w:color w:val="auto"/>
          <w:sz w:val="22"/>
          <w:szCs w:val="22"/>
        </w:rPr>
      </w:pPr>
      <w:hyperlink r:id="rId6">
        <w:r>
          <w:rPr>
            <w:rStyle w:val="InternetLink"/>
            <w:sz w:val="22"/>
            <w:szCs w:val="22"/>
          </w:rPr>
          <w:t>https://standards.ieee.org/faqs/copyrights/</w:t>
        </w:r>
      </w:hyperlink>
    </w:p>
    <w:p>
      <w:pPr>
        <w:pStyle w:val="Normal"/>
        <w:jc w:val="both"/>
        <w:rPr>
          <w:color w:val="auto"/>
          <w:sz w:val="22"/>
          <w:szCs w:val="22"/>
        </w:rPr>
      </w:pPr>
      <w:r>
        <w:rPr>
          <w:color w:val="auto"/>
          <w:sz w:val="22"/>
          <w:szCs w:val="22"/>
        </w:rPr>
      </w:r>
    </w:p>
    <w:p>
      <w:pPr>
        <w:pStyle w:val="Normal"/>
        <w:jc w:val="both"/>
        <w:rPr>
          <w:sz w:val="24"/>
          <w:szCs w:val="24"/>
        </w:rPr>
      </w:pPr>
      <w:r>
        <w:rPr>
          <w:sz w:val="24"/>
          <w:szCs w:val="24"/>
        </w:rPr>
      </w:r>
    </w:p>
    <w:p>
      <w:pPr>
        <w:pStyle w:val="Normal"/>
        <w:jc w:val="both"/>
        <w:rPr>
          <w:b/>
          <w:b/>
          <w:bCs/>
          <w:sz w:val="24"/>
          <w:szCs w:val="24"/>
        </w:rPr>
      </w:pPr>
      <w:r>
        <w:rPr>
          <w:b/>
          <w:bCs/>
          <w:sz w:val="24"/>
          <w:szCs w:val="24"/>
        </w:rPr>
        <w:t>The IEEE SA Patent Policy</w:t>
      </w:r>
    </w:p>
    <w:p>
      <w:pPr>
        <w:pStyle w:val="Normal"/>
        <w:jc w:val="both"/>
        <w:rPr>
          <w:color w:val="auto"/>
          <w:sz w:val="22"/>
          <w:szCs w:val="22"/>
        </w:rPr>
      </w:pPr>
      <w:r>
        <w:rPr>
          <w:color w:val="auto"/>
          <w:sz w:val="22"/>
          <w:szCs w:val="22"/>
        </w:rPr>
      </w:r>
    </w:p>
    <w:p>
      <w:pPr>
        <w:pStyle w:val="Normal"/>
        <w:jc w:val="both"/>
        <w:rPr>
          <w:color w:val="auto"/>
          <w:sz w:val="22"/>
          <w:szCs w:val="22"/>
        </w:rPr>
      </w:pPr>
      <w:r>
        <w:rPr>
          <w:color w:val="auto"/>
          <w:sz w:val="22"/>
          <w:szCs w:val="22"/>
        </w:rPr>
        <w:t xml:space="preserve">The patent policy and the procedures used to execute that policy are documented in the IEEE SA Standards Board Bylaws: </w:t>
      </w:r>
    </w:p>
    <w:p>
      <w:pPr>
        <w:pStyle w:val="Normal"/>
        <w:jc w:val="both"/>
        <w:rPr>
          <w:color w:val="auto"/>
          <w:sz w:val="22"/>
          <w:szCs w:val="22"/>
        </w:rPr>
      </w:pPr>
      <w:r>
        <w:fldChar w:fldCharType="begin"/>
      </w:r>
      <w:r>
        <w:rPr>
          <w:rStyle w:val="InternetLink"/>
          <w:sz w:val="22"/>
          <w:szCs w:val="22"/>
        </w:rPr>
        <w:instrText xml:space="preserve"> HYPERLINK "https://standards.ieee.org/develop/policies/bylaws/sect6-7.html" \l "6"</w:instrText>
      </w:r>
      <w:r>
        <w:rPr>
          <w:rStyle w:val="InternetLink"/>
          <w:sz w:val="22"/>
          <w:szCs w:val="22"/>
        </w:rPr>
        <w:fldChar w:fldCharType="separate"/>
      </w:r>
      <w:r>
        <w:rPr>
          <w:rStyle w:val="InternetLink"/>
          <w:sz w:val="22"/>
          <w:szCs w:val="22"/>
        </w:rPr>
        <w:t>https://standards.ieee.org/develop/policies/bylaws/sect6-7.html#6</w:t>
      </w:r>
      <w:r>
        <w:rPr>
          <w:rStyle w:val="InternetLink"/>
          <w:sz w:val="22"/>
          <w:szCs w:val="22"/>
        </w:rPr>
        <w:fldChar w:fldCharType="end"/>
      </w:r>
    </w:p>
    <w:p>
      <w:pPr>
        <w:pStyle w:val="Normal"/>
        <w:jc w:val="both"/>
        <w:rPr>
          <w:color w:val="auto"/>
          <w:sz w:val="22"/>
          <w:szCs w:val="22"/>
        </w:rPr>
      </w:pPr>
      <w:r>
        <w:rPr>
          <w:color w:val="auto"/>
          <w:sz w:val="22"/>
          <w:szCs w:val="22"/>
        </w:rPr>
      </w:r>
    </w:p>
    <w:p>
      <w:pPr>
        <w:pStyle w:val="Normal"/>
        <w:jc w:val="both"/>
        <w:rPr>
          <w:color w:val="auto"/>
          <w:sz w:val="22"/>
          <w:szCs w:val="22"/>
        </w:rPr>
      </w:pPr>
      <w:r>
        <w:rPr>
          <w:color w:val="auto"/>
          <w:sz w:val="22"/>
          <w:szCs w:val="22"/>
        </w:rPr>
        <w:t>IEEE SA Standards Board Operations Manual</w:t>
      </w:r>
    </w:p>
    <w:p>
      <w:pPr>
        <w:pStyle w:val="Normal"/>
        <w:jc w:val="both"/>
        <w:rPr>
          <w:color w:val="auto"/>
          <w:sz w:val="22"/>
          <w:szCs w:val="22"/>
        </w:rPr>
      </w:pPr>
      <w:r>
        <w:fldChar w:fldCharType="begin"/>
      </w:r>
      <w:r>
        <w:rPr>
          <w:rStyle w:val="InternetLink"/>
          <w:sz w:val="22"/>
          <w:szCs w:val="22"/>
        </w:rPr>
        <w:instrText xml:space="preserve"> HYPERLINK "https://standards.ieee.org/develop/policies/opman/sect6.html" \l "6.3"</w:instrText>
      </w:r>
      <w:r>
        <w:rPr>
          <w:rStyle w:val="InternetLink"/>
          <w:sz w:val="22"/>
          <w:szCs w:val="22"/>
        </w:rPr>
        <w:fldChar w:fldCharType="separate"/>
      </w:r>
      <w:r>
        <w:rPr>
          <w:rStyle w:val="InternetLink"/>
          <w:sz w:val="22"/>
          <w:szCs w:val="22"/>
        </w:rPr>
        <w:t>https://standards.ieee.org/develop/policies/opman/sect6.html#6.3</w:t>
      </w:r>
      <w:r>
        <w:rPr>
          <w:rStyle w:val="InternetLink"/>
          <w:sz w:val="22"/>
          <w:szCs w:val="22"/>
        </w:rPr>
        <w:fldChar w:fldCharType="end"/>
      </w:r>
    </w:p>
    <w:p>
      <w:pPr>
        <w:pStyle w:val="Normal"/>
        <w:jc w:val="both"/>
        <w:rPr>
          <w:color w:val="auto"/>
          <w:sz w:val="22"/>
          <w:szCs w:val="22"/>
        </w:rPr>
      </w:pPr>
      <w:r>
        <w:rPr>
          <w:color w:val="auto"/>
          <w:sz w:val="22"/>
          <w:szCs w:val="22"/>
        </w:rPr>
      </w:r>
    </w:p>
    <w:p>
      <w:pPr>
        <w:pStyle w:val="Normal"/>
        <w:jc w:val="both"/>
        <w:rPr>
          <w:color w:val="auto"/>
          <w:sz w:val="22"/>
          <w:szCs w:val="22"/>
        </w:rPr>
      </w:pPr>
      <w:r>
        <w:rPr>
          <w:color w:val="auto"/>
          <w:sz w:val="22"/>
          <w:szCs w:val="22"/>
        </w:rPr>
        <w:t xml:space="preserve">Material about the patent policy is available at </w:t>
      </w:r>
    </w:p>
    <w:p>
      <w:pPr>
        <w:pStyle w:val="Normal"/>
        <w:jc w:val="both"/>
        <w:rPr>
          <w:color w:val="auto"/>
          <w:sz w:val="22"/>
          <w:szCs w:val="22"/>
        </w:rPr>
      </w:pPr>
      <w:hyperlink r:id="rId7">
        <w:r>
          <w:rPr>
            <w:rStyle w:val="InternetLink"/>
            <w:sz w:val="22"/>
            <w:szCs w:val="22"/>
          </w:rPr>
          <w:t>https://standards.ieee.org/about/sasb/patcom/materials.html</w:t>
        </w:r>
      </w:hyperlink>
    </w:p>
    <w:p>
      <w:pPr>
        <w:pStyle w:val="Normal"/>
        <w:jc w:val="both"/>
        <w:rPr>
          <w:color w:val="auto"/>
          <w:sz w:val="22"/>
          <w:szCs w:val="22"/>
        </w:rPr>
      </w:pPr>
      <w:r>
        <w:rPr>
          <w:color w:val="auto"/>
          <w:sz w:val="22"/>
          <w:szCs w:val="22"/>
        </w:rPr>
      </w:r>
    </w:p>
    <w:p>
      <w:pPr>
        <w:pStyle w:val="Normal"/>
        <w:rPr>
          <w:color w:val="auto"/>
          <w:sz w:val="22"/>
          <w:szCs w:val="22"/>
        </w:rPr>
      </w:pPr>
      <w:r>
        <w:rPr>
          <w:color w:val="auto"/>
          <w:sz w:val="22"/>
          <w:szCs w:val="22"/>
        </w:rPr>
        <w:t xml:space="preserve">If you have questions, contact the IEEE SA Standards Board Patent Committee Administrator at </w:t>
      </w:r>
      <w:hyperlink r:id="rId8">
        <w:r>
          <w:rPr>
            <w:rStyle w:val="InternetLink"/>
            <w:sz w:val="22"/>
            <w:szCs w:val="22"/>
          </w:rPr>
          <w:t>patcom@ieee.org</w:t>
        </w:r>
      </w:hyperlink>
    </w:p>
    <w:p>
      <w:pPr>
        <w:pStyle w:val="Normal"/>
        <w:rPr>
          <w:color w:val="auto"/>
          <w:sz w:val="22"/>
          <w:szCs w:val="22"/>
        </w:rPr>
      </w:pPr>
      <w:r>
        <w:rPr>
          <w:color w:val="auto"/>
          <w:sz w:val="22"/>
          <w:szCs w:val="22"/>
        </w:rPr>
      </w:r>
    </w:p>
    <w:p>
      <w:pPr>
        <w:pStyle w:val="Normal"/>
        <w:rPr>
          <w:color w:val="auto"/>
          <w:sz w:val="22"/>
          <w:szCs w:val="22"/>
        </w:rPr>
      </w:pPr>
      <w:r>
        <w:rPr/>
      </w:r>
    </w:p>
    <w:sectPr>
      <w:headerReference w:type="default" r:id="rId9"/>
      <w:footerReference w:type="default" r:id="rId10"/>
      <w:type w:val="nextPage"/>
      <w:pgSz w:w="12240" w:h="15840"/>
      <w:pgMar w:left="1440" w:right="1440" w:gutter="0" w:header="1296" w:top="1800" w:footer="1296" w:bottom="180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Segoe UI">
    <w:charset w:val="00"/>
    <w:family w:val="roman"/>
    <w:pitch w:val="variable"/>
  </w:font>
  <w:font w:name="Courier New">
    <w:charset w:val="00"/>
    <w:family w:val="roman"/>
    <w:pitch w:val="variable"/>
  </w:font>
  <w:font w:name="Liberation Sans">
    <w:altName w:val="Arial"/>
    <w:charset w:val="00"/>
    <w:family w:val="roman"/>
    <w:pitch w:val="variable"/>
  </w:font>
  <w:font w:name="Palatino">
    <w:charset w:val="00"/>
    <w:family w:val="roman"/>
    <w:pitch w:val="variable"/>
  </w:font>
  <w:font w:name="New Century Schlbk">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val="false"/>
      <w:pBdr>
        <w:top w:val="single" w:sz="6" w:space="0" w:color="000000"/>
      </w:pBdr>
      <w:tabs>
        <w:tab w:val="clear" w:pos="4320"/>
        <w:tab w:val="clear" w:pos="8640"/>
        <w:tab w:val="center" w:pos="4680" w:leader="none"/>
        <w:tab w:val="right" w:pos="9360" w:leader="none"/>
      </w:tabs>
      <w:spacing w:before="240" w:after="0"/>
      <w:jc w:val="center"/>
      <w:rPr/>
    </w:pPr>
    <w:r>
      <w:rPr/>
      <w:t>Submission</w:t>
      <w:tab/>
      <w:t xml:space="preserve">                                                         Page                          Tero Kivinen (Wi-SUN Alliance)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t>November</w:t>
    </w:r>
    <w:r>
      <w:rPr>
        <w:b/>
        <w:sz w:val="28"/>
      </w:rPr>
      <w:t xml:space="preserve"> 2024</w:t>
      <w:tab/>
      <w:t xml:space="preserve"> IEEE P802.15-24-0482-0</w:t>
    </w:r>
    <w:r>
      <w:rPr>
        <w:b/>
        <w:sz w:val="28"/>
      </w:rPr>
      <w:t>3</w:t>
    </w:r>
    <w:r>
      <w:rPr>
        <w:b/>
        <w:sz w:val="28"/>
      </w:rPr>
      <w:t>-04ae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b/>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num w:numId="1">
    <w:abstractNumId w:val="1"/>
  </w:num>
</w:numbering>
</file>

<file path=word/settings.xml><?xml version="1.0" encoding="utf-8"?>
<w:settings xmlns:w="http://schemas.openxmlformats.org/wordprocessingml/2006/main">
  <w:zoom w:percent="18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687d"/>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Heading1">
    <w:name w:val="Heading 1"/>
    <w:basedOn w:val="Normal"/>
    <w:next w:val="Normal"/>
    <w:uiPriority w:val="1"/>
    <w:qFormat/>
    <w:pPr>
      <w:keepNext w:val="true"/>
      <w:numPr>
        <w:ilvl w:val="0"/>
        <w:numId w:val="1"/>
      </w:numPr>
      <w:spacing w:before="240" w:after="60"/>
      <w:outlineLvl w:val="0"/>
    </w:pPr>
    <w:rPr>
      <w:rFonts w:ascii="Arial" w:hAnsi="Arial"/>
      <w:b/>
      <w:kern w:val="2"/>
      <w:sz w:val="28"/>
      <w:u w:val="double"/>
    </w:rPr>
  </w:style>
  <w:style w:type="paragraph" w:styleId="Heading2">
    <w:name w:val="Heading 2"/>
    <w:basedOn w:val="Normal"/>
    <w:next w:val="Normal"/>
    <w:qFormat/>
    <w:pPr>
      <w:keepNext w:val="true"/>
      <w:numPr>
        <w:ilvl w:val="1"/>
        <w:numId w:val="1"/>
      </w:numPr>
      <w:spacing w:before="240" w:after="60"/>
      <w:outlineLvl w:val="1"/>
    </w:pPr>
    <w:rPr>
      <w:rFonts w:ascii="Arial" w:hAnsi="Arial"/>
      <w:b/>
      <w:i/>
      <w:sz w:val="28"/>
      <w:u w:val="wave"/>
    </w:rPr>
  </w:style>
  <w:style w:type="paragraph" w:styleId="Heading3">
    <w:name w:val="Heading 3"/>
    <w:basedOn w:val="Normal"/>
    <w:next w:val="Normal"/>
    <w:qFormat/>
    <w:pPr>
      <w:keepNext w:val="true"/>
      <w:numPr>
        <w:ilvl w:val="2"/>
        <w:numId w:val="1"/>
      </w:numPr>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Internet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qFormat/>
    <w:rsid w:val="00cb4625"/>
    <w:rPr>
      <w:color w:val="605E5C"/>
      <w:shd w:fill="E1DFDD" w:val="clear"/>
    </w:rPr>
  </w:style>
  <w:style w:type="character" w:styleId="Annotationreference">
    <w:name w:val="annotation reference"/>
    <w:basedOn w:val="DefaultParagraphFont"/>
    <w:uiPriority w:val="99"/>
    <w:semiHidden/>
    <w:unhideWhenUsed/>
    <w:qFormat/>
    <w:rsid w:val="00107fe7"/>
    <w:rPr>
      <w:sz w:val="16"/>
      <w:szCs w:val="16"/>
    </w:rPr>
  </w:style>
  <w:style w:type="character" w:styleId="Style5" w:customStyle="1">
    <w:name w:val="コメント文字列 (文字)"/>
    <w:basedOn w:val="DefaultParagraphFont"/>
    <w:link w:val="Annotationtext"/>
    <w:uiPriority w:val="99"/>
    <w:semiHidden/>
    <w:qFormat/>
    <w:rsid w:val="00107fe7"/>
    <w:rPr>
      <w:color w:val="000000"/>
    </w:rPr>
  </w:style>
  <w:style w:type="character" w:styleId="Style6" w:customStyle="1">
    <w:name w:val="コメント内容 (文字)"/>
    <w:basedOn w:val="Style5"/>
    <w:link w:val="Annotationsubject"/>
    <w:uiPriority w:val="99"/>
    <w:semiHidden/>
    <w:qFormat/>
    <w:rsid w:val="00107fe7"/>
    <w:rPr>
      <w:b/>
      <w:bCs/>
      <w:color w:val="000000"/>
    </w:rPr>
  </w:style>
  <w:style w:type="character" w:styleId="Style7" w:customStyle="1">
    <w:name w:val="吹き出し (文字)"/>
    <w:basedOn w:val="DefaultParagraphFont"/>
    <w:link w:val="BalloonText"/>
    <w:uiPriority w:val="99"/>
    <w:semiHidden/>
    <w:qFormat/>
    <w:rsid w:val="00107fe7"/>
    <w:rPr>
      <w:rFonts w:ascii="Segoe UI" w:hAnsi="Segoe UI" w:cs="Segoe UI"/>
      <w:color w:val="000000"/>
      <w:sz w:val="18"/>
      <w:szCs w:val="18"/>
    </w:rPr>
  </w:style>
  <w:style w:type="character" w:styleId="Style8" w:customStyle="1">
    <w:name w:val="書式なし (文字)"/>
    <w:basedOn w:val="DefaultParagraphFont"/>
    <w:link w:val="PlainText"/>
    <w:uiPriority w:val="99"/>
    <w:qFormat/>
    <w:rsid w:val="00a70e99"/>
    <w:rPr>
      <w:rFonts w:ascii="Courier New" w:hAnsi="Courier New" w:eastAsia="ＭＳ 明朝"/>
      <w:lang w:val="x-none" w:eastAsia="x-none"/>
    </w:rPr>
  </w:style>
  <w:style w:type="character" w:styleId="VisitedInternetLink">
    <w:name w:val="FollowedHyperlink"/>
    <w:basedOn w:val="DefaultParagraphFont"/>
    <w:uiPriority w:val="99"/>
    <w:semiHidden/>
    <w:unhideWhenUsed/>
    <w:rsid w:val="00a87983"/>
    <w:rPr>
      <w:color w:val="800080" w:themeColor="followedHyperlink"/>
      <w:u w:val="single"/>
    </w:rPr>
  </w:style>
  <w:style w:type="character" w:styleId="LineNumbering">
    <w:name w:val="Line Number"/>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uiPriority w:val="1"/>
    <w:qFormat/>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semiHidden/>
    <w:pPr>
      <w:tabs>
        <w:tab w:val="clear" w:pos="720"/>
        <w:tab w:val="center" w:pos="4320" w:leader="none"/>
        <w:tab w:val="right" w:pos="8640" w:leader="none"/>
      </w:tabs>
    </w:pPr>
    <w:rPr/>
  </w:style>
  <w:style w:type="paragraph" w:styleId="Header">
    <w:name w:val="Header"/>
    <w:basedOn w:val="Normal"/>
    <w:semiHidden/>
    <w:pPr>
      <w:tabs>
        <w:tab w:val="clear" w:pos="720"/>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i/>
    </w:rPr>
  </w:style>
  <w:style w:type="paragraph" w:styleId="BlockParagraph" w:customStyle="1">
    <w:name w:val="BlockParagraph"/>
    <w:basedOn w:val="Normal"/>
    <w:qFormat/>
    <w:pPr>
      <w:spacing w:before="120" w:after="0"/>
    </w:pPr>
    <w:rPr>
      <w:rFonts w:ascii="Palatino" w:hAnsi="Palatino"/>
    </w:rPr>
  </w:style>
  <w:style w:type="paragraph" w:styleId="Definition" w:customStyle="1">
    <w:name w:val="Definition"/>
    <w:basedOn w:val="Normal"/>
    <w:qFormat/>
    <w:pPr>
      <w:spacing w:before="0" w:after="200"/>
      <w:ind w:right="-720" w:hanging="0"/>
      <w:jc w:val="both"/>
    </w:pPr>
    <w:rPr>
      <w:rFonts w:ascii="New Century Schlbk" w:hAnsi="New Century Schlbk"/>
    </w:rPr>
  </w:style>
  <w:style w:type="paragraph" w:styleId="DocumentMap">
    <w:name w:val="Document Map"/>
    <w:basedOn w:val="Normal"/>
    <w:semiHidden/>
    <w:qFormat/>
    <w:pPr>
      <w:shd w:val="clear" w:color="auto" w:fill="000080"/>
    </w:pPr>
    <w:rPr>
      <w:rFonts w:ascii="Tahoma" w:hAnsi="Tahoma"/>
    </w:rPr>
  </w:style>
  <w:style w:type="paragraph" w:styleId="Covertext" w:customStyle="1">
    <w:name w:val="cover text"/>
    <w:basedOn w:val="Normal"/>
    <w:qFormat/>
    <w:pPr>
      <w:spacing w:before="120" w:after="120"/>
    </w:pPr>
    <w:rPr/>
  </w:style>
  <w:style w:type="paragraph" w:styleId="ListParagraph">
    <w:name w:val="List Paragraph"/>
    <w:basedOn w:val="Normal"/>
    <w:uiPriority w:val="34"/>
    <w:qFormat/>
    <w:rsid w:val="00467c10"/>
    <w:pPr>
      <w:spacing w:before="0" w:after="0"/>
      <w:contextualSpacing/>
    </w:pPr>
    <w:rPr>
      <w:rFonts w:ascii="Times" w:hAnsi="Times"/>
      <w:sz w:val="28"/>
      <w:szCs w:val="24"/>
    </w:rPr>
  </w:style>
  <w:style w:type="paragraph" w:styleId="Annotationtext">
    <w:name w:val="annotation text"/>
    <w:basedOn w:val="Normal"/>
    <w:link w:val="Style5"/>
    <w:uiPriority w:val="99"/>
    <w:semiHidden/>
    <w:unhideWhenUsed/>
    <w:qFormat/>
    <w:rsid w:val="00107fe7"/>
    <w:pPr/>
    <w:rPr/>
  </w:style>
  <w:style w:type="paragraph" w:styleId="Annotationsubject">
    <w:name w:val="annotation subject"/>
    <w:basedOn w:val="Annotationtext"/>
    <w:next w:val="Annotationtext"/>
    <w:link w:val="Style6"/>
    <w:uiPriority w:val="99"/>
    <w:semiHidden/>
    <w:unhideWhenUsed/>
    <w:qFormat/>
    <w:rsid w:val="00107fe7"/>
    <w:pPr/>
    <w:rPr>
      <w:b/>
      <w:bCs/>
    </w:rPr>
  </w:style>
  <w:style w:type="paragraph" w:styleId="BalloonText">
    <w:name w:val="Balloon Text"/>
    <w:basedOn w:val="Normal"/>
    <w:link w:val="Style7"/>
    <w:uiPriority w:val="99"/>
    <w:semiHidden/>
    <w:unhideWhenUsed/>
    <w:qFormat/>
    <w:rsid w:val="00107fe7"/>
    <w:pPr/>
    <w:rPr>
      <w:rFonts w:ascii="Segoe UI" w:hAnsi="Segoe UI" w:cs="Segoe UI"/>
      <w:sz w:val="18"/>
      <w:szCs w:val="18"/>
    </w:rPr>
  </w:style>
  <w:style w:type="paragraph" w:styleId="Revision">
    <w:name w:val="Revision"/>
    <w:uiPriority w:val="99"/>
    <w:semiHidden/>
    <w:qFormat/>
    <w:rsid w:val="00b06bbe"/>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LetteredList1" w:customStyle="1">
    <w:name w:val="Lettered List 1"/>
    <w:basedOn w:val="Normal"/>
    <w:qFormat/>
    <w:rsid w:val="00210b54"/>
    <w:pPr>
      <w:tabs>
        <w:tab w:val="left" w:pos="0" w:leader="none"/>
        <w:tab w:val="left" w:pos="720" w:leader="none"/>
      </w:tabs>
      <w:suppressAutoHyphens w:val="true"/>
      <w:ind w:left="720" w:hanging="720"/>
    </w:pPr>
    <w:rPr>
      <w:rFonts w:eastAsia="ＭＳ 明朝"/>
      <w:color w:val="00000A"/>
      <w:sz w:val="24"/>
      <w:lang w:eastAsia="zh-CN"/>
    </w:rPr>
  </w:style>
  <w:style w:type="paragraph" w:styleId="PlainText">
    <w:name w:val="Plain Text"/>
    <w:basedOn w:val="Normal"/>
    <w:link w:val="Style8"/>
    <w:uiPriority w:val="99"/>
    <w:qFormat/>
    <w:rsid w:val="00a70e99"/>
    <w:pPr/>
    <w:rPr>
      <w:rFonts w:ascii="Courier New" w:hAnsi="Courier New" w:eastAsia="ＭＳ 明朝"/>
      <w:color w:val="auto"/>
      <w:lang w:val="x-none" w:eastAsia="x-none"/>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rsid w:val="00ed19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src.nist.gov/CSRC/media/Projects/lightweight-cryptography/documents/round-2/spec-doc-rnd2/ascon-spec-round2.pdf" TargetMode="External"/><Relationship Id="rId3" Type="http://schemas.openxmlformats.org/officeDocument/2006/relationships/hyperlink" Target="https://mentor.ieee.org/802.15/dcn/24/15-24-0267-02-cryp-par-for-tg4ae-ascon-for-802-15-4.pdf" TargetMode="External"/><Relationship Id="rId4" Type="http://schemas.openxmlformats.org/officeDocument/2006/relationships/hyperlink" Target="https://mentor.ieee.org/802.15/dcn/24/15-24-0268-02-cryp-csd-for-tg4ae.docx" TargetMode="External"/><Relationship Id="rId5" Type="http://schemas.openxmlformats.org/officeDocument/2006/relationships/hyperlink" Target="https://standards.ieee.org/about/policies/opman/sect6.html" TargetMode="External"/><Relationship Id="rId6" Type="http://schemas.openxmlformats.org/officeDocument/2006/relationships/hyperlink" Target="https://standards.ieee.org/faqs/copyrights/" TargetMode="External"/><Relationship Id="rId7" Type="http://schemas.openxmlformats.org/officeDocument/2006/relationships/hyperlink" Target="https://standards.ieee.org/about/sasb/patcom/materials.html" TargetMode="External"/><Relationship Id="rId8" Type="http://schemas.openxmlformats.org/officeDocument/2006/relationships/hyperlink" Target="mailto:https://standards.ieee.org/about/policies/opman/sect6/"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LibreOffice/7.4.7.2$Linux_X86_64 LibreOffice_project/40$Build-2</Application>
  <AppVersion>15.0000</AppVersion>
  <Pages>3</Pages>
  <Words>467</Words>
  <Characters>3216</Characters>
  <CharactersWithSpaces>3727</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2024-09-10T09:11:45Z</dcterms:created>
  <dc:creator>Tero Kivinen</dc:creator>
  <dc:description/>
  <dc:language>en-US</dc:language>
  <cp:lastModifiedBy>Tero Kivinen</cp:lastModifiedBy>
  <dcterms:modified xsi:type="dcterms:W3CDTF">2024-11-11T16:07:31Z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