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3"/>
        </w:numPr>
        <w:rPr/>
      </w:pPr>
      <w:r>
        <w:rPr/>
        <w:t xml:space="preserve">MLME </w:t>
      </w:r>
      <w:r>
        <w:rPr/>
        <w:t>p</w:t>
      </w:r>
      <w:r>
        <w:rPr/>
        <w:t>rimitives</w:t>
      </w:r>
    </w:p>
    <w:p>
      <w:pPr>
        <w:pStyle w:val="IEEEheading"/>
        <w:numPr>
          <w:ilvl w:val="1"/>
          <w:numId w:val="3"/>
        </w:numPr>
        <w:rPr/>
      </w:pPr>
      <w:r>
        <w:rPr/>
        <w:t>MLME-PRIV-ADDR-LIST (Address List MAC Command frame)</w:t>
      </w:r>
    </w:p>
    <w:p>
      <w:pPr>
        <w:pStyle w:val="IEEEheading"/>
        <w:numPr>
          <w:ilvl w:val="2"/>
          <w:numId w:val="3"/>
        </w:numPr>
        <w:rPr/>
      </w:pPr>
      <w:r>
        <w:rPr/>
        <w:t>Sending address list with confirmation</w:t>
      </w:r>
    </w:p>
    <w:p>
      <w:pPr>
        <w:pStyle w:val="IEEEText"/>
        <w:rPr/>
      </w:pPr>
      <w:r>
        <w:rPr/>
        <w:t xml:space="preserve">When the device wants to send updated list of addresses to the another device it can use Address List MAC Command frame to do that by issuing MLME-PRIV-ADDR-LIST primitives. The MLME-PRIV-ADDR-LIST.request sends the list to the other device, and returns a  MLME-PRIV-ADDR-LIST.confirm immediately after the Address List MAC Command frame has been transmitted. </w:t>
      </w:r>
    </w:p>
    <w:p>
      <w:pPr>
        <w:pStyle w:val="IEEEText"/>
        <w:rPr/>
      </w:pPr>
      <w:r>
        <w:rPr/>
        <w:t>When the device receivers the Address List MAC Command frame it will issue MLME-PRIV-ADDR-LIST.indication primitive to the device higher layer. The device higher layer may then send a confirmation message back by issuing MLME-PRIV-ADDR-LIST.response primitive.</w:t>
      </w:r>
    </w:p>
    <w:p>
      <w:pPr>
        <w:pStyle w:val="IEEEText"/>
        <w:rPr/>
      </w:pPr>
      <w:r>
        <w:rPr/>
        <w:t>When the MLME-PRIV-ADDR-LIST.response is issues the MAC shall send Address List Confirm MAC Command frame. When the device receives that frame it will issue MLME-PRIV-ADDR-LIST-CONFIRM.indication to indicate that the confirmation has been received.</w:t>
      </w:r>
    </w:p>
    <w:p>
      <w:pPr>
        <w:pStyle w:val="IEEEText"/>
        <w:rPr/>
      </w:pPr>
      <w:r>
        <w:rPr/>
      </w:r>
      <w: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3600" cy="2766060"/>
                <wp:effectExtent l="0" t="0" r="0" b="0"/>
                <wp:wrapSquare wrapText="largest"/>
                <wp:docPr id="1" name="Frame1"/>
                <a:graphic xmlns:a="http://schemas.openxmlformats.org/drawingml/2006/main">
                  <a:graphicData uri="http://schemas.microsoft.com/office/word/2010/wordprocessingShape">
                    <wps:wsp>
                      <wps:cNvSpPr txBox="1"/>
                      <wps:spPr>
                        <a:xfrm>
                          <a:off x="0" y="0"/>
                          <a:ext cx="5943600" cy="2766060"/>
                        </a:xfrm>
                        <a:prstGeom prst="rect"/>
                        <a:solidFill>
                          <a:srgbClr val="FFFFFF"/>
                        </a:solidFill>
                      </wps:spPr>
                      <wps:txbx>
                        <w:txbxContent>
                          <w:p>
                            <w:pPr>
                              <w:pStyle w:val="Figure"/>
                              <w:spacing w:before="120" w:after="120"/>
                              <w:rPr/>
                            </w:pPr>
                            <w:r>
                              <w:rPr/>
                              <w:drawing>
                                <wp:inline distT="0" distB="0" distL="0" distR="0">
                                  <wp:extent cx="5943600" cy="243840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1</w:t>
                            </w:r>
                            <w:r>
                              <w:rPr/>
                              <w:fldChar w:fldCharType="end"/>
                            </w:r>
                            <w:r>
                              <w:rPr/>
                              <w:t>—Sending Address List MAC Command frame when requesting confirmation</w:t>
                            </w:r>
                          </w:p>
                        </w:txbxContent>
                      </wps:txbx>
                      <wps:bodyPr anchor="t" lIns="0" tIns="0" rIns="0" bIns="0">
                        <a:noAutofit/>
                      </wps:bodyPr>
                    </wps:wsp>
                  </a:graphicData>
                </a:graphic>
              </wp:anchor>
            </w:drawing>
          </mc:Choice>
          <mc:Fallback>
            <w:pict>
              <v:rect style="position:absolute;rotation:-0;width:468pt;height:217.8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943600" cy="243840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1</w:t>
                      </w:r>
                      <w:r>
                        <w:rPr/>
                        <w:fldChar w:fldCharType="end"/>
                      </w:r>
                      <w:r>
                        <w:rPr/>
                        <w:t>—Sending Address List MAC Command frame when requesting confirmation</w:t>
                      </w:r>
                    </w:p>
                  </w:txbxContent>
                </v:textbox>
                <w10:wrap type="square" side="largest"/>
              </v:rect>
            </w:pict>
          </mc:Fallback>
        </mc:AlternateContent>
      </w:r>
    </w:p>
    <w:p>
      <w:pPr>
        <w:pStyle w:val="IEEEheading"/>
        <w:numPr>
          <w:ilvl w:val="2"/>
          <w:numId w:val="3"/>
        </w:numPr>
        <w:rPr/>
      </w:pPr>
      <w:r>
        <w:rPr/>
        <w:t>Sending address list without confirmation</w:t>
      </w:r>
      <w:r>
        <mc:AlternateContent>
          <mc:Choice Requires="wps">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943600" cy="1958975"/>
                <wp:effectExtent l="0" t="0" r="0" b="0"/>
                <wp:wrapSquare wrapText="largest"/>
                <wp:docPr id="4" name="Frame2"/>
                <a:graphic xmlns:a="http://schemas.openxmlformats.org/drawingml/2006/main">
                  <a:graphicData uri="http://schemas.microsoft.com/office/word/2010/wordprocessingShape">
                    <wps:wsp>
                      <wps:cNvSpPr txBox="1"/>
                      <wps:spPr>
                        <a:xfrm>
                          <a:off x="0" y="0"/>
                          <a:ext cx="5943600" cy="1958975"/>
                        </a:xfrm>
                        <a:prstGeom prst="rect"/>
                        <a:solidFill>
                          <a:srgbClr val="FFFFFF"/>
                        </a:solidFill>
                      </wps:spPr>
                      <wps:txbx>
                        <w:txbxContent>
                          <w:p>
                            <w:pPr>
                              <w:pStyle w:val="Figure"/>
                              <w:spacing w:before="120" w:after="120"/>
                              <w:rPr/>
                            </w:pPr>
                            <w:r>
                              <w:rPr/>
                              <w:drawing>
                                <wp:inline distT="0" distB="0" distL="0" distR="0">
                                  <wp:extent cx="5943600" cy="163131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5943600" cy="1631315"/>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2</w:t>
                            </w:r>
                            <w:r>
                              <w:rPr/>
                              <w:fldChar w:fldCharType="end"/>
                            </w:r>
                            <w:r>
                              <w:rPr/>
                              <w:t>—Sending Address List MAC Command frame when not requesting confirmation</w:t>
                            </w:r>
                          </w:p>
                        </w:txbxContent>
                      </wps:txbx>
                      <wps:bodyPr anchor="t" lIns="0" tIns="0" rIns="0" bIns="0">
                        <a:noAutofit/>
                      </wps:bodyPr>
                    </wps:wsp>
                  </a:graphicData>
                </a:graphic>
              </wp:anchor>
            </w:drawing>
          </mc:Choice>
          <mc:Fallback>
            <w:pict>
              <v:rect style="position:absolute;rotation:-0;width:468pt;height:154.2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943600" cy="1631315"/>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5"/>
                                    <a:stretch>
                                      <a:fillRect/>
                                    </a:stretch>
                                  </pic:blipFill>
                                  <pic:spPr bwMode="auto">
                                    <a:xfrm>
                                      <a:off x="0" y="0"/>
                                      <a:ext cx="5943600" cy="1631315"/>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2</w:t>
                      </w:r>
                      <w:r>
                        <w:rPr/>
                        <w:fldChar w:fldCharType="end"/>
                      </w:r>
                      <w:r>
                        <w:rPr/>
                        <w:t>—Sending Address List MAC Command frame when not requesting confirmation</w:t>
                      </w:r>
                    </w:p>
                  </w:txbxContent>
                </v:textbox>
                <w10:wrap type="square" side="largest"/>
              </v:rect>
            </w:pict>
          </mc:Fallback>
        </mc:AlternateContent>
      </w:r>
    </w:p>
    <w:p>
      <w:pPr>
        <w:pStyle w:val="IEEEheading"/>
        <w:numPr>
          <w:ilvl w:val="2"/>
          <w:numId w:val="3"/>
        </w:numPr>
        <w:rPr/>
      </w:pPr>
      <w:r>
        <w:rPr/>
        <w:t>MLME-PRIV-ADDR-LIST.request (Address List MAC Command frame)</w:t>
      </w:r>
    </w:p>
    <w:p>
      <w:pPr>
        <w:pStyle w:val="IEEEText"/>
        <w:rPr/>
      </w:pPr>
      <w:r>
        <w:rPr/>
        <w:t>This primitive is used by the device to send Address List MAC Command frame.</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DstPanId</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w:t>
            </w:r>
          </w:p>
        </w:tc>
        <w:tc>
          <w:tcPr>
            <w:tcW w:w="1145" w:type="dxa"/>
            <w:tcBorders>
              <w:left w:val="single" w:sz="4" w:space="0" w:color="000000"/>
              <w:bottom w:val="single" w:sz="4" w:space="0" w:color="000000"/>
            </w:tcBorders>
          </w:tcPr>
          <w:p>
            <w:pPr>
              <w:pStyle w:val="IEEETable"/>
              <w:spacing w:before="115" w:after="0"/>
              <w:rPr>
                <w:sz w:val="20"/>
                <w:szCs w:val="20"/>
              </w:rPr>
            </w:pPr>
            <w:r>
              <w:rPr/>
              <w:t>—</w:t>
            </w:r>
          </w:p>
        </w:tc>
        <w:tc>
          <w:tcPr>
            <w:tcW w:w="1964"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45" w:type="dxa"/>
            <w:tcBorders>
              <w:left w:val="single" w:sz="4" w:space="0" w:color="000000"/>
              <w:bottom w:val="single" w:sz="4" w:space="0" w:color="000000"/>
            </w:tcBorders>
          </w:tcPr>
          <w:p>
            <w:pPr>
              <w:pStyle w:val="IEEETable"/>
              <w:spacing w:before="115" w:after="0"/>
              <w:rPr>
                <w:sz w:val="20"/>
                <w:szCs w:val="20"/>
              </w:rPr>
            </w:pPr>
            <w:r>
              <w:rPr/>
              <w:t>Structure</w:t>
            </w:r>
          </w:p>
        </w:tc>
        <w:tc>
          <w:tcPr>
            <w:tcW w:w="1964"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SenderId</w:t>
            </w:r>
          </w:p>
        </w:tc>
        <w:tc>
          <w:tcPr>
            <w:tcW w:w="1145" w:type="dxa"/>
            <w:tcBorders>
              <w:left w:val="single" w:sz="4" w:space="0" w:color="000000"/>
              <w:bottom w:val="single" w:sz="4" w:space="0" w:color="000000"/>
            </w:tcBorders>
          </w:tcPr>
          <w:p>
            <w:pPr>
              <w:pStyle w:val="IEEETable"/>
              <w:spacing w:before="115" w:after="0"/>
              <w:rPr>
                <w:sz w:val="20"/>
                <w:szCs w:val="20"/>
              </w:rPr>
            </w:pPr>
            <w:r>
              <w:rPr/>
              <w:t>64-bit Id</w:t>
            </w:r>
          </w:p>
        </w:tc>
        <w:tc>
          <w:tcPr>
            <w:tcW w:w="1964" w:type="dxa"/>
            <w:tcBorders>
              <w:left w:val="single" w:sz="4" w:space="0" w:color="000000"/>
              <w:bottom w:val="single" w:sz="4" w:space="0" w:color="000000"/>
            </w:tcBorders>
          </w:tcPr>
          <w:p>
            <w:pPr>
              <w:pStyle w:val="IEEETabl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Id of the sender. Ignored if the IncludeSenderId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NewPanId</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spacing w:before="115" w:after="0"/>
              <w:rPr>
                <w:sz w:val="20"/>
                <w:szCs w:val="20"/>
              </w:rPr>
            </w:pPr>
            <w:r>
              <w:rPr/>
              <w:t>Boolean</w:t>
            </w:r>
          </w:p>
        </w:tc>
        <w:tc>
          <w:tcPr>
            <w:tcW w:w="1964" w:type="dxa"/>
            <w:tcBorders>
              <w:left w:val="single" w:sz="4" w:space="0" w:color="000000"/>
              <w:bottom w:val="single" w:sz="12" w:space="0" w:color="000000"/>
            </w:tcBorders>
          </w:tcPr>
          <w:p>
            <w:pPr>
              <w:pStyle w:val="IEEETabl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spacing w:before="115" w:after="0"/>
              <w:rPr>
                <w:sz w:val="20"/>
                <w:szCs w:val="20"/>
              </w:rPr>
            </w:pPr>
            <w:r>
              <w:rPr/>
              <w:t>Specifies whether the confirmation from the is requested.</w:t>
            </w:r>
          </w:p>
        </w:tc>
      </w:tr>
    </w:tbl>
    <w:p>
      <w:pPr>
        <w:pStyle w:val="IEEEText"/>
        <w:rPr/>
      </w:pPr>
      <w:r>
        <w:rPr/>
        <w:t xml:space="preserve">When MLME-PRIV-ADDR-LIST.request primitive is issued the MAC will send Address List MAC Command frame to the destination. </w:t>
      </w:r>
    </w:p>
    <w:p>
      <w:pPr>
        <w:pStyle w:val="IEEEText"/>
        <w:rPr/>
      </w:pPr>
      <w:r>
        <w:rPr/>
        <w:t xml:space="preserve">If the IncludeSenderId parameter is TRUE, then Address List MAC Command frame shall include Sender id field indicating the actual sender of the frame. Omitting Sender id field is useful when it is assumed that recipients already know it from the source addresses. If SrcAddrMode is NONE, and the IncludeSenderId is FALSE, then MAC shall fail the transmission with Status set to INVALID_PARAMETER. </w:t>
      </w:r>
    </w:p>
    <w:p>
      <w:pPr>
        <w:pStyle w:val="IEEEText"/>
        <w:rPr/>
      </w:pPr>
      <w:r>
        <w:rPr/>
        <w:t>NOTE—Including SenderId is often needed when DstAddr is broadcast address, as sender does not know which of the recipients are up to date with its source addresses.</w:t>
      </w:r>
    </w:p>
    <w:p>
      <w:pPr>
        <w:pStyle w:val="IEEEText"/>
        <w:rPr/>
      </w:pPr>
      <w:r>
        <w:rPr/>
        <w:t xml:space="preserve">If the IncludeAddressListSequenceNumber is FALSE, then the Address list sequence number field is omitted from the frame. </w:t>
      </w:r>
    </w:p>
    <w:p>
      <w:pPr>
        <w:pStyle w:val="IEEEText"/>
        <w:rPr/>
      </w:pPr>
      <w:r>
        <w:rPr/>
        <w:t xml:space="preserve">If the IncludeNewPanId is FALSE, then PAN ID of the Address List Mac Command shall be omitted, and PAN ID from the MAC header is used. </w:t>
      </w:r>
    </w:p>
    <w:p>
      <w:pPr>
        <w:pStyle w:val="IEEEText"/>
        <w:rPr/>
      </w:pPr>
      <w:r>
        <w:rPr/>
        <w:t>If the IncludeShortAddresses list is FALSE, then the short address list is not present in the frame, meaning there is no changes in the the short addresses of the sender.</w:t>
      </w:r>
    </w:p>
    <w:p>
      <w:pPr>
        <w:pStyle w:val="IEEEText"/>
        <w:rPr/>
      </w:pPr>
      <w:r>
        <w:rPr/>
        <w:t>If the IncludeExtendedAddress</w:t>
      </w:r>
      <w:r>
        <w:rPr/>
        <w:t>es</w:t>
      </w:r>
      <w:r>
        <w:rPr/>
        <w:t xml:space="preserve"> is FALSE, then the extended address list is not present in the frame, meaning there is no changes in the list of extended address of the sender.</w:t>
      </w:r>
    </w:p>
    <w:p>
      <w:pPr>
        <w:pStyle w:val="IEEEText"/>
        <w:rPr/>
      </w:pPr>
      <w:r>
        <w:rPr/>
        <w:t>Using IncludeShortAddresses and IncludeExtendedAddresses allows device to update its lists of addresses separately.</w:t>
      </w:r>
    </w:p>
    <w:p>
      <w:pPr>
        <w:pStyle w:val="IEEEText"/>
        <w:rPr/>
      </w:pPr>
      <w:r>
        <w:rPr/>
        <w:t>If the ListOfShortAddresses is empty then device does not use short addresses.</w:t>
      </w:r>
    </w:p>
    <w:p>
      <w:pPr>
        <w:pStyle w:val="IEEEText"/>
        <w:rPr/>
      </w:pPr>
      <w:r>
        <w:rPr/>
        <w:t>If the ListOfExtendedAddresses is empty then the device does not use extended addresses.</w:t>
      </w:r>
    </w:p>
    <w:p>
      <w:pPr>
        <w:pStyle w:val="IEEEheading"/>
        <w:numPr>
          <w:ilvl w:val="2"/>
          <w:numId w:val="3"/>
        </w:numPr>
        <w:rPr/>
      </w:pPr>
      <w:r>
        <w:rPr/>
        <w:t>MLME-PRIV-ADDR-LIST.indication (Address List MAC Command)</w:t>
      </w:r>
    </w:p>
    <w:p>
      <w:pPr>
        <w:pStyle w:val="IEEEText"/>
        <w:rPr/>
      </w:pPr>
      <w:r>
        <w:rPr/>
        <w:t>This primitive reports the reception of the Address List MAC Command.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The primitive parameters are defined in Table 1-2.</w:t>
      </w:r>
    </w:p>
    <w:p>
      <w:pPr>
        <w:pStyle w:val="IEEEFigureTitle"/>
        <w:rPr/>
      </w:pPr>
      <w:r>
        <w:rPr/>
        <w:t>Table 1-</w:t>
      </w:r>
      <w:r>
        <w:rPr/>
        <w:t>2</w:t>
      </w:r>
      <w:r>
        <w:rPr>
          <w:rFonts w:eastAsia="DejaVu Sans" w:cs="DejaVu Sans" w:ascii="DejaVu Sans" w:hAnsi="DejaVu Sans"/>
        </w:rPr>
        <w:t>‒</w:t>
      </w:r>
      <w:r>
        <w:rPr>
          <w:rFonts w:eastAsia="Times New Roman" w:cs="Times New Roman"/>
        </w:rPr>
        <w:t>MLME-PRIV-ADDR-LIST.</w:t>
      </w:r>
      <w:r>
        <w:rPr>
          <w:rFonts w:eastAsia="Times New Roman" w:cs="Times New Roman"/>
        </w:rPr>
        <w:t>indication</w:t>
      </w:r>
      <w:r>
        <w:rPr>
          <w:rFonts w:eastAsia="Times New Roman" w:cs="Times New Roman"/>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SrcAddr</w:t>
            </w:r>
          </w:p>
        </w:tc>
        <w:tc>
          <w:tcPr>
            <w:tcW w:w="1191" w:type="dxa"/>
            <w:tcBorders>
              <w:left w:val="single" w:sz="4" w:space="0" w:color="000000"/>
              <w:bottom w:val="single" w:sz="4" w:space="0" w:color="000000"/>
            </w:tcBorders>
          </w:tcPr>
          <w:p>
            <w:pPr>
              <w:pStyle w:val="IEEETable"/>
              <w:spacing w:before="115" w:after="0"/>
              <w:rPr>
                <w:sz w:val="20"/>
                <w:szCs w:val="20"/>
              </w:rPr>
            </w:pPr>
            <w:r>
              <w:rPr/>
              <w:t>—</w:t>
            </w:r>
          </w:p>
        </w:tc>
        <w:tc>
          <w:tcPr>
            <w:tcW w:w="1770" w:type="dxa"/>
            <w:tcBorders>
              <w:left w:val="single" w:sz="4" w:space="0" w:color="000000"/>
              <w:bottom w:val="single" w:sz="4" w:space="0" w:color="000000"/>
            </w:tcBorders>
          </w:tcPr>
          <w:p>
            <w:pPr>
              <w:pStyle w:val="IEEETabl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DstPanId</w:t>
            </w:r>
          </w:p>
        </w:tc>
        <w:tc>
          <w:tcPr>
            <w:tcW w:w="1191" w:type="dxa"/>
            <w:tcBorders>
              <w:left w:val="single" w:sz="4" w:space="0" w:color="000000"/>
              <w:bottom w:val="single" w:sz="4" w:space="0" w:color="000000"/>
            </w:tcBorders>
          </w:tcPr>
          <w:p>
            <w:pPr>
              <w:pStyle w:val="IEEETable"/>
              <w:spacing w:before="115" w:after="0"/>
              <w:rPr>
                <w:sz w:val="20"/>
                <w:szCs w:val="20"/>
              </w:rPr>
            </w:pPr>
            <w:r>
              <w:rPr/>
              <w:t>Integer</w:t>
            </w:r>
          </w:p>
        </w:tc>
        <w:tc>
          <w:tcPr>
            <w:tcW w:w="1770" w:type="dxa"/>
            <w:tcBorders>
              <w:left w:val="single" w:sz="4" w:space="0" w:color="000000"/>
              <w:bottom w:val="single" w:sz="4" w:space="0" w:color="000000"/>
            </w:tcBorders>
          </w:tcPr>
          <w:p>
            <w:pPr>
              <w:pStyle w:val="IEEETabl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DstAddr</w:t>
            </w:r>
          </w:p>
        </w:tc>
        <w:tc>
          <w:tcPr>
            <w:tcW w:w="1191" w:type="dxa"/>
            <w:tcBorders>
              <w:left w:val="single" w:sz="4" w:space="0" w:color="000000"/>
              <w:bottom w:val="single" w:sz="4" w:space="0" w:color="000000"/>
            </w:tcBorders>
          </w:tcPr>
          <w:p>
            <w:pPr>
              <w:pStyle w:val="IEEETable"/>
              <w:spacing w:before="115" w:after="0"/>
              <w:rPr>
                <w:sz w:val="20"/>
                <w:szCs w:val="20"/>
              </w:rPr>
            </w:pPr>
            <w:r>
              <w:rPr/>
              <w:t>—</w:t>
            </w:r>
          </w:p>
        </w:tc>
        <w:tc>
          <w:tcPr>
            <w:tcW w:w="1770"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91" w:type="dxa"/>
            <w:tcBorders>
              <w:left w:val="single" w:sz="4" w:space="0" w:color="000000"/>
              <w:bottom w:val="single" w:sz="4" w:space="0" w:color="000000"/>
            </w:tcBorders>
          </w:tcPr>
          <w:p>
            <w:pPr>
              <w:pStyle w:val="IEEETable"/>
              <w:spacing w:before="115" w:after="0"/>
              <w:rPr>
                <w:sz w:val="20"/>
                <w:szCs w:val="20"/>
              </w:rPr>
            </w:pPr>
            <w:r>
              <w:rPr/>
              <w:t>Structure</w:t>
            </w:r>
          </w:p>
        </w:tc>
        <w:tc>
          <w:tcPr>
            <w:tcW w:w="1770"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SenderId</w:t>
            </w:r>
          </w:p>
        </w:tc>
        <w:tc>
          <w:tcPr>
            <w:tcW w:w="1191" w:type="dxa"/>
            <w:tcBorders>
              <w:left w:val="single" w:sz="4" w:space="0" w:color="000000"/>
              <w:bottom w:val="single" w:sz="4" w:space="0" w:color="000000"/>
            </w:tcBorders>
          </w:tcPr>
          <w:p>
            <w:pPr>
              <w:pStyle w:val="IEEETable"/>
              <w:spacing w:before="115" w:after="0"/>
              <w:rPr>
                <w:sz w:val="20"/>
                <w:szCs w:val="20"/>
              </w:rPr>
            </w:pPr>
            <w:r>
              <w:rPr/>
              <w:t>64-bit Id</w:t>
            </w:r>
          </w:p>
        </w:tc>
        <w:tc>
          <w:tcPr>
            <w:tcW w:w="1770" w:type="dxa"/>
            <w:tcBorders>
              <w:left w:val="single" w:sz="4" w:space="0" w:color="000000"/>
              <w:bottom w:val="single" w:sz="4" w:space="0" w:color="000000"/>
            </w:tcBorders>
          </w:tcPr>
          <w:p>
            <w:pPr>
              <w:pStyle w:val="IEEETable"/>
              <w:spacing w:before="115" w:after="0"/>
              <w:rPr>
                <w:sz w:val="20"/>
                <w:szCs w:val="20"/>
              </w:rPr>
            </w:pPr>
            <w:r>
              <w:rPr/>
              <w:t>An Id</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Id of the sender. Valid only of SenderIdPresent is TRUE.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spacing w:before="115" w:after="0"/>
              <w:rPr>
                <w:sz w:val="20"/>
                <w:szCs w:val="20"/>
              </w:rPr>
            </w:pPr>
            <w:r>
              <w:rPr/>
              <w:t>Integer</w:t>
            </w:r>
          </w:p>
        </w:tc>
        <w:tc>
          <w:tcPr>
            <w:tcW w:w="1770" w:type="dxa"/>
            <w:tcBorders>
              <w:left w:val="single" w:sz="4" w:space="0" w:color="000000"/>
              <w:bottom w:val="single" w:sz="4" w:space="0" w:color="000000"/>
            </w:tcBorders>
          </w:tcPr>
          <w:p>
            <w:pPr>
              <w:pStyle w:val="IEEETabl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NewPanId</w:t>
            </w:r>
          </w:p>
        </w:tc>
        <w:tc>
          <w:tcPr>
            <w:tcW w:w="1191" w:type="dxa"/>
            <w:tcBorders>
              <w:left w:val="single" w:sz="4" w:space="0" w:color="000000"/>
              <w:bottom w:val="single" w:sz="4" w:space="0" w:color="000000"/>
            </w:tcBorders>
          </w:tcPr>
          <w:p>
            <w:pPr>
              <w:pStyle w:val="IEEETable"/>
              <w:spacing w:before="115" w:after="0"/>
              <w:rPr>
                <w:sz w:val="20"/>
                <w:szCs w:val="20"/>
              </w:rPr>
            </w:pPr>
            <w:r>
              <w:rPr/>
              <w:t>Integer</w:t>
            </w:r>
          </w:p>
        </w:tc>
        <w:tc>
          <w:tcPr>
            <w:tcW w:w="1770" w:type="dxa"/>
            <w:tcBorders>
              <w:left w:val="single" w:sz="4" w:space="0" w:color="000000"/>
              <w:bottom w:val="single" w:sz="4" w:space="0" w:color="000000"/>
            </w:tcBorders>
          </w:tcPr>
          <w:p>
            <w:pPr>
              <w:pStyle w:val="IEEETabl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spacing w:before="115" w:after="0"/>
              <w:rPr>
                <w:sz w:val="20"/>
                <w:szCs w:val="20"/>
              </w:rPr>
            </w:pPr>
            <w:r>
              <w:rPr/>
              <w:t>Boolean</w:t>
            </w:r>
          </w:p>
        </w:tc>
        <w:tc>
          <w:tcPr>
            <w:tcW w:w="1770" w:type="dxa"/>
            <w:tcBorders>
              <w:left w:val="single" w:sz="4" w:space="0" w:color="000000"/>
              <w:bottom w:val="single" w:sz="12" w:space="0" w:color="000000"/>
            </w:tcBorders>
          </w:tcPr>
          <w:p>
            <w:pPr>
              <w:pStyle w:val="IEEETabl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spacing w:before="115" w:after="0"/>
              <w:rPr>
                <w:sz w:val="20"/>
                <w:szCs w:val="20"/>
              </w:rPr>
            </w:pPr>
            <w:r>
              <w:rPr/>
              <w:t>Specifies whether the confirmation from the is requested.</w:t>
            </w:r>
          </w:p>
        </w:tc>
      </w:tr>
    </w:tbl>
    <w:p>
      <w:pPr>
        <w:pStyle w:val="IEEEText"/>
        <w:rPr/>
      </w:pPr>
      <w:r>
        <w:rPr/>
        <w:t>The MLME-PRIV-ADDR-LIST.indication primitive is issued from the MAC when the Address List MAC Command is received.</w:t>
      </w:r>
    </w:p>
    <w:p>
      <w:pPr>
        <w:pStyle w:val="IEEEText"/>
        <w:rPr/>
      </w:pPr>
      <w:r>
        <w:rPr/>
        <w:t>If the ConfirmationRequested is TRUE, then MLME-PRIV-ADDR-LIST.response is used to send Address List Confirm MAC Command frame back.</w:t>
      </w:r>
    </w:p>
    <w:p>
      <w:pPr>
        <w:pStyle w:val="IEEEheading"/>
        <w:numPr>
          <w:ilvl w:val="2"/>
          <w:numId w:val="3"/>
        </w:numPr>
        <w:rPr/>
      </w:pPr>
      <w:r>
        <w:rPr/>
        <w:t>MLME-PRIV-ADDR-LIST.response (Address List MAC Command)</w:t>
      </w:r>
    </w:p>
    <w:p>
      <w:pPr>
        <w:pStyle w:val="IEEEText"/>
        <w:rPr/>
      </w:pPr>
      <w:r>
        <w:rPr/>
        <w:t>This primitive responds to the Address List MAC Command frame by sending Address List Confirm MAC Command frame.</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IncludeAddressListSequenceNumber,</w:t>
        <w:br/>
        <w:tab/>
        <w:t>AddressListSequenceNumber</w:t>
        <w:br/>
        <w:tab/>
        <w:t>)</w:t>
      </w:r>
    </w:p>
    <w:p>
      <w:pPr>
        <w:pStyle w:val="IEEEText"/>
        <w:rPr/>
      </w:pPr>
      <w:r>
        <w:rPr/>
        <w:t>The primitive parameters are defined in Table 1-</w:t>
      </w:r>
      <w:r>
        <w:rPr/>
        <w:t>3</w:t>
      </w:r>
      <w:r>
        <w:rPr/>
        <w:t>.</w:t>
      </w:r>
    </w:p>
    <w:p>
      <w:pPr>
        <w:pStyle w:val="IEEEFigureTitle"/>
        <w:rPr/>
      </w:pPr>
      <w:r>
        <w:rPr/>
        <w:t>Table 1-</w:t>
      </w:r>
      <w:r>
        <w:rPr/>
        <w:t>3</w:t>
      </w:r>
      <w:r>
        <w:rPr>
          <w:rFonts w:eastAsia="DejaVu Sans" w:cs="DejaVu Sans" w:ascii="DejaVu Sans" w:hAnsi="DejaVu Sans"/>
        </w:rPr>
        <w:t>‒</w:t>
      </w:r>
      <w:r>
        <w:rPr>
          <w:rFonts w:eastAsia="Times New Roman" w:cs="Times New Roman"/>
        </w:rPr>
        <w:t>MLME-PRIV-ADDR-LIST.</w:t>
      </w:r>
      <w:r>
        <w:rPr>
          <w:rFonts w:eastAsia="Times New Roman" w:cs="Times New Roman"/>
        </w:rPr>
        <w:t>response</w:t>
      </w:r>
      <w:r>
        <w:rPr>
          <w:rFonts w:eastAsia="Times New Roman" w:cs="Times New Roman"/>
        </w:rPr>
        <w:t xml:space="preserv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SrcAddr</w:t>
            </w:r>
          </w:p>
        </w:tc>
        <w:tc>
          <w:tcPr>
            <w:tcW w:w="1146" w:type="dxa"/>
            <w:tcBorders>
              <w:left w:val="single" w:sz="4" w:space="0" w:color="000000"/>
              <w:bottom w:val="single" w:sz="4" w:space="0" w:color="000000"/>
            </w:tcBorders>
          </w:tcPr>
          <w:p>
            <w:pPr>
              <w:pStyle w:val="IEEETable"/>
              <w:spacing w:before="115" w:after="0"/>
              <w:rPr>
                <w:sz w:val="20"/>
                <w:szCs w:val="20"/>
              </w:rPr>
            </w:pPr>
            <w:r>
              <w:rPr/>
              <w:t>—</w:t>
            </w:r>
          </w:p>
        </w:tc>
        <w:tc>
          <w:tcPr>
            <w:tcW w:w="1636" w:type="dxa"/>
            <w:tcBorders>
              <w:left w:val="single" w:sz="4" w:space="0" w:color="000000"/>
              <w:bottom w:val="single" w:sz="4" w:space="0" w:color="000000"/>
            </w:tcBorders>
          </w:tcPr>
          <w:p>
            <w:pPr>
              <w:pStyle w:val="IEEETabl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DstPanId</w:t>
            </w:r>
          </w:p>
        </w:tc>
        <w:tc>
          <w:tcPr>
            <w:tcW w:w="1146" w:type="dxa"/>
            <w:tcBorders>
              <w:left w:val="single" w:sz="4" w:space="0" w:color="000000"/>
              <w:bottom w:val="single" w:sz="4" w:space="0" w:color="000000"/>
            </w:tcBorders>
          </w:tcPr>
          <w:p>
            <w:pPr>
              <w:pStyle w:val="IEEETable"/>
              <w:spacing w:before="115" w:after="0"/>
              <w:rPr>
                <w:sz w:val="20"/>
                <w:szCs w:val="20"/>
              </w:rPr>
            </w:pPr>
            <w:r>
              <w:rPr/>
              <w:t>Integer</w:t>
            </w:r>
          </w:p>
        </w:tc>
        <w:tc>
          <w:tcPr>
            <w:tcW w:w="1636" w:type="dxa"/>
            <w:tcBorders>
              <w:left w:val="single" w:sz="4" w:space="0" w:color="000000"/>
              <w:bottom w:val="single" w:sz="4" w:space="0" w:color="000000"/>
            </w:tcBorders>
          </w:tcPr>
          <w:p>
            <w:pPr>
              <w:pStyle w:val="IEEETabl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DstAddr</w:t>
            </w:r>
          </w:p>
        </w:tc>
        <w:tc>
          <w:tcPr>
            <w:tcW w:w="1146" w:type="dxa"/>
            <w:tcBorders>
              <w:left w:val="single" w:sz="4" w:space="0" w:color="000000"/>
              <w:bottom w:val="single" w:sz="4" w:space="0" w:color="000000"/>
            </w:tcBorders>
          </w:tcPr>
          <w:p>
            <w:pPr>
              <w:pStyle w:val="IEEETable"/>
              <w:spacing w:before="115" w:after="0"/>
              <w:rPr>
                <w:sz w:val="20"/>
                <w:szCs w:val="20"/>
              </w:rPr>
            </w:pPr>
            <w:r>
              <w:rPr/>
              <w:t>—</w:t>
            </w:r>
          </w:p>
        </w:tc>
        <w:tc>
          <w:tcPr>
            <w:tcW w:w="1636"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46" w:type="dxa"/>
            <w:tcBorders>
              <w:left w:val="single" w:sz="4" w:space="0" w:color="000000"/>
              <w:bottom w:val="single" w:sz="4" w:space="0" w:color="000000"/>
            </w:tcBorders>
          </w:tcPr>
          <w:p>
            <w:pPr>
              <w:pStyle w:val="IEEETable"/>
              <w:spacing w:before="115" w:after="0"/>
              <w:rPr>
                <w:sz w:val="20"/>
                <w:szCs w:val="20"/>
              </w:rPr>
            </w:pPr>
            <w:r>
              <w:rPr/>
              <w:t>Structure</w:t>
            </w:r>
          </w:p>
        </w:tc>
        <w:tc>
          <w:tcPr>
            <w:tcW w:w="1636"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spacing w:before="115" w:after="0"/>
              <w:rPr>
                <w:sz w:val="20"/>
                <w:szCs w:val="20"/>
              </w:rPr>
            </w:pPr>
            <w:r>
              <w:rPr/>
              <w:t>Boolean</w:t>
            </w:r>
          </w:p>
        </w:tc>
        <w:tc>
          <w:tcPr>
            <w:tcW w:w="1636" w:type="dxa"/>
            <w:tcBorders>
              <w:left w:val="single" w:sz="4" w:space="0" w:color="000000"/>
              <w:bottom w:val="single" w:sz="4" w:space="0" w:color="000000"/>
            </w:tcBorders>
          </w:tcPr>
          <w:p>
            <w:pPr>
              <w:pStyle w:val="IEEETabl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spacing w:before="115" w:after="0"/>
              <w:rPr>
                <w:sz w:val="20"/>
                <w:szCs w:val="20"/>
              </w:rPr>
            </w:pPr>
            <w:r>
              <w:rPr/>
              <w:t>Integer</w:t>
            </w:r>
          </w:p>
        </w:tc>
        <w:tc>
          <w:tcPr>
            <w:tcW w:w="1636" w:type="dxa"/>
            <w:tcBorders>
              <w:left w:val="single" w:sz="4" w:space="0" w:color="000000"/>
              <w:bottom w:val="single" w:sz="12" w:space="0" w:color="000000"/>
            </w:tcBorders>
          </w:tcPr>
          <w:p>
            <w:pPr>
              <w:pStyle w:val="IEEETabl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spacing w:before="115" w:after="0"/>
              <w:rPr>
                <w:sz w:val="20"/>
                <w:szCs w:val="20"/>
              </w:rPr>
            </w:pPr>
            <w:r>
              <w:rPr/>
              <w:t>Sequence number of the address list. Valid only of the  IncludeAddressListSequenceNumber is TRUE.</w:t>
            </w:r>
          </w:p>
        </w:tc>
      </w:tr>
    </w:tbl>
    <w:p>
      <w:pPr>
        <w:pStyle w:val="IEEEText"/>
        <w:rPr/>
      </w:pPr>
      <w:r>
        <w:rPr/>
        <w:t>When MLME-PRIV-ADDR-LIST.response primitive is issued then the MAC shall  transmit the Address List Confirm MAC Command back to the sender of Address List MAC Command frame.</w:t>
      </w:r>
    </w:p>
    <w:p>
      <w:pPr>
        <w:pStyle w:val="IEEEheading"/>
        <w:numPr>
          <w:ilvl w:val="2"/>
          <w:numId w:val="3"/>
        </w:numPr>
        <w:rPr/>
      </w:pPr>
      <w:r>
        <w:rPr/>
        <w:t>MLME-PRIV-ADDR-LIST.confirm (Address List MAC Command)</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Status</w:t>
        <w:br/>
        <w:tab/>
        <w:t>)</w:t>
      </w:r>
    </w:p>
    <w:p>
      <w:pPr>
        <w:pStyle w:val="IEEEText"/>
        <w:rPr/>
      </w:pPr>
      <w:r>
        <w:rPr/>
        <w:t>The primitive parameters are defined in Table 1-</w:t>
      </w:r>
      <w:r>
        <w:rPr/>
        <w:t>4</w:t>
      </w:r>
      <w:r>
        <w:rPr/>
        <w:t>.</w:t>
      </w:r>
    </w:p>
    <w:p>
      <w:pPr>
        <w:pStyle w:val="IEEEFigureTitle"/>
        <w:rPr/>
      </w:pPr>
      <w:r>
        <w:rPr/>
        <w:t>Table 1-</w:t>
      </w:r>
      <w:r>
        <w:rPr/>
        <w:t>4</w:t>
      </w:r>
      <w:r>
        <w:rPr>
          <w:rFonts w:eastAsia="DejaVu Sans" w:cs="DejaVu Sans" w:ascii="DejaVu Sans" w:hAnsi="DejaVu Sans"/>
        </w:rPr>
        <w:t>‒</w:t>
      </w:r>
      <w:r>
        <w:rPr>
          <w:rFonts w:eastAsia="Times New Roman" w:cs="Times New Roman"/>
        </w:rPr>
        <w:t>MLME-PRIV-ADDR-LIST.</w:t>
      </w:r>
      <w:r>
        <w:rPr>
          <w:rFonts w:eastAsia="Times New Roman" w:cs="Times New Roman"/>
        </w:rPr>
        <w:t>confirm</w:t>
      </w:r>
      <w:r>
        <w:rPr>
          <w:rFonts w:eastAsia="Times New Roman" w:cs="Times New Roman"/>
        </w:rPr>
        <w:t xml:space="preserve">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spacing w:before="115" w:after="0"/>
              <w:rPr>
                <w:sz w:val="20"/>
                <w:szCs w:val="20"/>
              </w:rPr>
            </w:pPr>
            <w:r>
              <w:rPr/>
              <w:t>DstPanId</w:t>
            </w:r>
          </w:p>
        </w:tc>
        <w:tc>
          <w:tcPr>
            <w:tcW w:w="1364" w:type="dxa"/>
            <w:tcBorders>
              <w:left w:val="single" w:sz="4" w:space="0" w:color="000000"/>
              <w:bottom w:val="single" w:sz="4" w:space="0" w:color="000000"/>
            </w:tcBorders>
          </w:tcPr>
          <w:p>
            <w:pPr>
              <w:pStyle w:val="IEEETable"/>
              <w:spacing w:before="115" w:after="0"/>
              <w:rPr>
                <w:sz w:val="20"/>
                <w:szCs w:val="20"/>
              </w:rPr>
            </w:pPr>
            <w:r>
              <w:rPr/>
              <w:t>Integer</w:t>
            </w:r>
          </w:p>
        </w:tc>
        <w:tc>
          <w:tcPr>
            <w:tcW w:w="2460" w:type="dxa"/>
            <w:tcBorders>
              <w:left w:val="single" w:sz="4" w:space="0" w:color="000000"/>
              <w:bottom w:val="single" w:sz="4" w:space="0" w:color="000000"/>
            </w:tcBorders>
          </w:tcPr>
          <w:p>
            <w:pPr>
              <w:pStyle w:val="IEEETabl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spacing w:before="115" w:after="0"/>
              <w:rPr>
                <w:sz w:val="20"/>
                <w:szCs w:val="20"/>
              </w:rPr>
            </w:pPr>
            <w:r>
              <w:rPr/>
              <w:t>DstAddr</w:t>
            </w:r>
          </w:p>
        </w:tc>
        <w:tc>
          <w:tcPr>
            <w:tcW w:w="1364" w:type="dxa"/>
            <w:tcBorders>
              <w:left w:val="single" w:sz="4" w:space="0" w:color="000000"/>
              <w:bottom w:val="single" w:sz="4" w:space="0" w:color="000000"/>
            </w:tcBorders>
          </w:tcPr>
          <w:p>
            <w:pPr>
              <w:pStyle w:val="IEEETable"/>
              <w:spacing w:before="115" w:after="0"/>
              <w:rPr>
                <w:sz w:val="20"/>
                <w:szCs w:val="20"/>
              </w:rPr>
            </w:pPr>
            <w:r>
              <w:rPr/>
              <w:t>—</w:t>
            </w:r>
          </w:p>
        </w:tc>
        <w:tc>
          <w:tcPr>
            <w:tcW w:w="2460"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spacing w:before="115" w:after="0"/>
              <w:rPr>
                <w:sz w:val="20"/>
                <w:szCs w:val="20"/>
              </w:rPr>
            </w:pPr>
            <w:r>
              <w:rPr/>
              <w:t>Status</w:t>
            </w:r>
          </w:p>
          <w:p>
            <w:pPr>
              <w:pStyle w:val="IEEETable"/>
              <w:rPr>
                <w:sz w:val="20"/>
                <w:szCs w:val="20"/>
              </w:rPr>
            </w:pPr>
            <w:r>
              <w:rPr/>
            </w:r>
          </w:p>
        </w:tc>
        <w:tc>
          <w:tcPr>
            <w:tcW w:w="1364" w:type="dxa"/>
            <w:tcBorders>
              <w:left w:val="single" w:sz="4" w:space="0" w:color="000000"/>
              <w:bottom w:val="single" w:sz="12" w:space="0" w:color="000000"/>
            </w:tcBorders>
          </w:tcPr>
          <w:p>
            <w:pPr>
              <w:pStyle w:val="IEEETabl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spacing w:before="115" w:after="0"/>
              <w:rPr>
                <w:sz w:val="20"/>
                <w:szCs w:val="20"/>
              </w:rPr>
            </w:pPr>
            <w:r>
              <w:rPr/>
              <w:t>The status of the request.</w:t>
            </w:r>
          </w:p>
        </w:tc>
      </w:tr>
    </w:tbl>
    <w:p>
      <w:pPr>
        <w:pStyle w:val="IEEEText"/>
        <w:rPr/>
      </w:pPr>
      <w:r>
        <w:rPr/>
        <w:t>The MLME-PRIV-ADDR-LIST.</w:t>
      </w:r>
      <w:r>
        <w:rPr/>
        <w:t>confirm</w:t>
      </w:r>
      <w:r>
        <w:rPr/>
        <w:t xml:space="preserve"> primitive is issued the MAC has sent out the Address List MAC command frame to the destination. </w:t>
      </w:r>
    </w:p>
    <w:p>
      <w:pPr>
        <w:pStyle w:val="IEEEheading"/>
        <w:numPr>
          <w:ilvl w:val="1"/>
          <w:numId w:val="3"/>
        </w:numPr>
        <w:rPr/>
      </w:pPr>
      <w:r>
        <w:rPr/>
        <w:t>MLME-PRIV-ADDR-LIST-CONFIRM (Address List Confirm MAC Command frame)</w:t>
      </w:r>
    </w:p>
    <w:p>
      <w:pPr>
        <w:pStyle w:val="IEEEheading"/>
        <w:numPr>
          <w:ilvl w:val="2"/>
          <w:numId w:val="3"/>
        </w:numPr>
        <w:rPr/>
      </w:pPr>
      <w:r>
        <w:rPr/>
        <w:t xml:space="preserve">MLME-PRIV-ADDR-LIST-CONFIRM.indication (Address List Confirm MAC Command </w:t>
      </w:r>
      <w:r>
        <w:rPr/>
        <w:t>frame</w:t>
      </w:r>
      <w:r>
        <w:rPr/>
        <w:t>)</w:t>
      </w:r>
    </w:p>
    <w:p>
      <w:pPr>
        <w:pStyle w:val="IEEEText"/>
        <w:rPr/>
      </w:pPr>
      <w:r>
        <w:rPr/>
        <w:t>This primitive reports the reception of the Address List Confirm MAC Command.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AddressListSequenceNumberPresent,</w:t>
        <w:br/>
        <w:tab/>
        <w:t>AddressListSequenceNumber,</w:t>
        <w:br/>
        <w:tab/>
        <w:t>)</w:t>
      </w:r>
    </w:p>
    <w:p>
      <w:pPr>
        <w:pStyle w:val="IEEEText"/>
        <w:rPr/>
      </w:pPr>
      <w:r>
        <w:rPr/>
        <w:t>The primitive parameters are defined in Table 1-</w:t>
      </w:r>
      <w:r>
        <w:rPr/>
        <w:t>5</w:t>
      </w:r>
      <w:r>
        <w:rPr/>
        <w:t>.</w:t>
      </w:r>
    </w:p>
    <w:p>
      <w:pPr>
        <w:pStyle w:val="IEEEFigureTitle"/>
        <w:rPr/>
      </w:pPr>
      <w:r>
        <w:rPr/>
        <w:t>Table 1-</w:t>
      </w:r>
      <w:r>
        <w:rPr/>
        <w:t>5</w:t>
      </w:r>
      <w:r>
        <w:rPr>
          <w:rFonts w:eastAsia="DejaVu Sans" w:cs="DejaVu Sans" w:ascii="DejaVu Sans" w:hAnsi="DejaVu Sans"/>
        </w:rPr>
        <w:t>‒</w:t>
      </w:r>
      <w:r>
        <w:rPr>
          <w:rFonts w:eastAsia="Times New Roman" w:cs="Times New Roman"/>
        </w:rPr>
        <w:t>MLME-PRIV-ADDR-LIST-</w:t>
      </w:r>
      <w:r>
        <w:rPr>
          <w:rFonts w:eastAsia="Times New Roman" w:cs="Times New Roman"/>
        </w:rPr>
        <w:t>CONFIRM</w:t>
      </w:r>
      <w:r>
        <w:rPr>
          <w:rFonts w:eastAsia="Times New Roman" w:cs="Times New Roman"/>
        </w:rPr>
        <w:t>.</w:t>
      </w:r>
      <w:r>
        <w:rPr>
          <w:rFonts w:eastAsia="Times New Roman" w:cs="Times New Roman"/>
        </w:rPr>
        <w:t>indication</w:t>
      </w:r>
      <w:r>
        <w:rPr>
          <w:rFonts w:eastAsia="Times New Roman" w:cs="Times New Roman"/>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SrcAddr</w:t>
            </w:r>
          </w:p>
        </w:tc>
        <w:tc>
          <w:tcPr>
            <w:tcW w:w="1191" w:type="dxa"/>
            <w:tcBorders>
              <w:left w:val="single" w:sz="4" w:space="0" w:color="000000"/>
              <w:bottom w:val="single" w:sz="4" w:space="0" w:color="000000"/>
            </w:tcBorders>
          </w:tcPr>
          <w:p>
            <w:pPr>
              <w:pStyle w:val="IEEETable"/>
              <w:spacing w:before="115" w:after="0"/>
              <w:rPr>
                <w:sz w:val="20"/>
                <w:szCs w:val="20"/>
              </w:rPr>
            </w:pPr>
            <w:r>
              <w:rPr/>
              <w:t>—</w:t>
            </w:r>
          </w:p>
        </w:tc>
        <w:tc>
          <w:tcPr>
            <w:tcW w:w="1770" w:type="dxa"/>
            <w:tcBorders>
              <w:left w:val="single" w:sz="4" w:space="0" w:color="000000"/>
              <w:bottom w:val="single" w:sz="4" w:space="0" w:color="000000"/>
            </w:tcBorders>
          </w:tcPr>
          <w:p>
            <w:pPr>
              <w:pStyle w:val="IEEETabl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DstPanId</w:t>
            </w:r>
          </w:p>
        </w:tc>
        <w:tc>
          <w:tcPr>
            <w:tcW w:w="1191" w:type="dxa"/>
            <w:tcBorders>
              <w:left w:val="single" w:sz="4" w:space="0" w:color="000000"/>
              <w:bottom w:val="single" w:sz="4" w:space="0" w:color="000000"/>
            </w:tcBorders>
          </w:tcPr>
          <w:p>
            <w:pPr>
              <w:pStyle w:val="IEEETable"/>
              <w:spacing w:before="115" w:after="0"/>
              <w:rPr>
                <w:sz w:val="20"/>
                <w:szCs w:val="20"/>
              </w:rPr>
            </w:pPr>
            <w:r>
              <w:rPr/>
              <w:t>Integer</w:t>
            </w:r>
          </w:p>
        </w:tc>
        <w:tc>
          <w:tcPr>
            <w:tcW w:w="1770" w:type="dxa"/>
            <w:tcBorders>
              <w:left w:val="single" w:sz="4" w:space="0" w:color="000000"/>
              <w:bottom w:val="single" w:sz="4" w:space="0" w:color="000000"/>
            </w:tcBorders>
          </w:tcPr>
          <w:p>
            <w:pPr>
              <w:pStyle w:val="IEEETabl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DstAddr</w:t>
            </w:r>
          </w:p>
        </w:tc>
        <w:tc>
          <w:tcPr>
            <w:tcW w:w="1191" w:type="dxa"/>
            <w:tcBorders>
              <w:left w:val="single" w:sz="4" w:space="0" w:color="000000"/>
              <w:bottom w:val="single" w:sz="4" w:space="0" w:color="000000"/>
            </w:tcBorders>
          </w:tcPr>
          <w:p>
            <w:pPr>
              <w:pStyle w:val="IEEETable"/>
              <w:spacing w:before="115" w:after="0"/>
              <w:rPr>
                <w:sz w:val="20"/>
                <w:szCs w:val="20"/>
              </w:rPr>
            </w:pPr>
            <w:r>
              <w:rPr/>
              <w:t>—</w:t>
            </w:r>
          </w:p>
        </w:tc>
        <w:tc>
          <w:tcPr>
            <w:tcW w:w="1770"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91" w:type="dxa"/>
            <w:tcBorders>
              <w:left w:val="single" w:sz="4" w:space="0" w:color="000000"/>
              <w:bottom w:val="single" w:sz="4" w:space="0" w:color="000000"/>
            </w:tcBorders>
          </w:tcPr>
          <w:p>
            <w:pPr>
              <w:pStyle w:val="IEEETable"/>
              <w:spacing w:before="115" w:after="0"/>
              <w:rPr>
                <w:sz w:val="20"/>
                <w:szCs w:val="20"/>
              </w:rPr>
            </w:pPr>
            <w:r>
              <w:rPr/>
              <w:t>Structure</w:t>
            </w:r>
          </w:p>
        </w:tc>
        <w:tc>
          <w:tcPr>
            <w:tcW w:w="1770"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spacing w:before="115" w:after="0"/>
              <w:rPr>
                <w:sz w:val="20"/>
                <w:szCs w:val="20"/>
              </w:rPr>
            </w:pPr>
            <w:r>
              <w:rPr/>
              <w:t>Boolean</w:t>
            </w:r>
          </w:p>
        </w:tc>
        <w:tc>
          <w:tcPr>
            <w:tcW w:w="1770" w:type="dxa"/>
            <w:tcBorders>
              <w:left w:val="single" w:sz="4" w:space="0" w:color="000000"/>
              <w:bottom w:val="single" w:sz="4" w:space="0" w:color="000000"/>
            </w:tcBorders>
          </w:tcPr>
          <w:p>
            <w:pPr>
              <w:pStyle w:val="IEEETabl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spacing w:before="115" w:after="0"/>
              <w:rPr>
                <w:sz w:val="20"/>
                <w:szCs w:val="20"/>
              </w:rPr>
            </w:pPr>
            <w:r>
              <w:rPr/>
              <w:t>Integer</w:t>
            </w:r>
          </w:p>
        </w:tc>
        <w:tc>
          <w:tcPr>
            <w:tcW w:w="1770" w:type="dxa"/>
            <w:tcBorders>
              <w:left w:val="single" w:sz="4" w:space="0" w:color="000000"/>
              <w:bottom w:val="single" w:sz="12" w:space="0" w:color="000000"/>
            </w:tcBorders>
          </w:tcPr>
          <w:p>
            <w:pPr>
              <w:pStyle w:val="IEEETabl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spacing w:before="115" w:after="0"/>
              <w:rPr>
                <w:sz w:val="20"/>
                <w:szCs w:val="20"/>
              </w:rPr>
            </w:pPr>
            <w:r>
              <w:rPr/>
              <w:t>Sequence number of the address list. Valid only of the AddressListSequenceNumberPresent is TRUE.</w:t>
            </w:r>
          </w:p>
        </w:tc>
      </w:tr>
    </w:tbl>
    <w:p>
      <w:pPr>
        <w:pStyle w:val="IEEEText"/>
        <w:rPr/>
      </w:pPr>
      <w:r>
        <w:rPr/>
        <w:t>The MLME-PRIV-ADDR-LIST-CONFIRM.indication primitive is issued from the MAC when the Address List Confirm MAC Command is received.</w:t>
      </w:r>
    </w:p>
    <w:p>
      <w:pPr>
        <w:pStyle w:val="IEEEText"/>
        <w:rPr/>
      </w:pPr>
      <w:r>
        <w:rPr/>
      </w:r>
    </w:p>
    <w:p>
      <w:pPr>
        <w:pStyle w:val="IEEEheading"/>
        <w:numPr>
          <w:ilvl w:val="1"/>
          <w:numId w:val="3"/>
        </w:numPr>
        <w:rPr/>
      </w:pPr>
      <w:r>
        <w:rPr/>
        <w:t>MLME-PRIV-REQ-ADDR (Request Addresses MAC Command frame)</w:t>
      </w:r>
    </w:p>
    <w:p>
      <w:pPr>
        <w:pStyle w:val="IEEEheading"/>
        <w:numPr>
          <w:ilvl w:val="2"/>
          <w:numId w:val="3"/>
        </w:numPr>
        <w:rPr/>
      </w:pPr>
      <w:r>
        <w:rPr/>
        <w:t>Requesting address list</w:t>
      </w:r>
    </w:p>
    <w:p>
      <w:pPr>
        <w:pStyle w:val="IEEEText"/>
        <w:rPr/>
      </w:pPr>
      <w:r>
        <w:rPr/>
      </w:r>
      <w:r>
        <mc:AlternateContent>
          <mc:Choice Requires="wps">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943600" cy="2766060"/>
                <wp:effectExtent l="0" t="0" r="0" b="0"/>
                <wp:wrapSquare wrapText="largest"/>
                <wp:docPr id="7" name="Frame3"/>
                <a:graphic xmlns:a="http://schemas.openxmlformats.org/drawingml/2006/main">
                  <a:graphicData uri="http://schemas.microsoft.com/office/word/2010/wordprocessingShape">
                    <wps:wsp>
                      <wps:cNvSpPr txBox="1"/>
                      <wps:spPr>
                        <a:xfrm>
                          <a:off x="0" y="0"/>
                          <a:ext cx="5943600" cy="2766060"/>
                        </a:xfrm>
                        <a:prstGeom prst="rect"/>
                        <a:solidFill>
                          <a:srgbClr val="FFFFFF"/>
                        </a:solidFill>
                      </wps:spPr>
                      <wps:txbx>
                        <w:txbxContent>
                          <w:p>
                            <w:pPr>
                              <w:pStyle w:val="Figure"/>
                              <w:spacing w:before="120" w:after="120"/>
                              <w:rPr/>
                            </w:pPr>
                            <w:r>
                              <w:rPr/>
                              <w:drawing>
                                <wp:inline distT="0" distB="0" distL="0" distR="0">
                                  <wp:extent cx="5943600" cy="2438400"/>
                                  <wp:effectExtent l="0" t="0" r="0" b="0"/>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6"/>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3</w:t>
                            </w:r>
                            <w:r>
                              <w:rPr/>
                              <w:fldChar w:fldCharType="end"/>
                            </w:r>
                            <w:r>
                              <w:rPr/>
                              <w:t>—Requesting address list from the device</w:t>
                            </w:r>
                          </w:p>
                        </w:txbxContent>
                      </wps:txbx>
                      <wps:bodyPr anchor="t" lIns="0" tIns="0" rIns="0" bIns="0">
                        <a:noAutofit/>
                      </wps:bodyPr>
                    </wps:wsp>
                  </a:graphicData>
                </a:graphic>
              </wp:anchor>
            </w:drawing>
          </mc:Choice>
          <mc:Fallback>
            <w:pict>
              <v:rect style="position:absolute;rotation:-0;width:468pt;height:217.8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943600" cy="2438400"/>
                            <wp:effectExtent l="0" t="0" r="0" b="0"/>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7"/>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3</w:t>
                      </w:r>
                      <w:r>
                        <w:rPr/>
                        <w:fldChar w:fldCharType="end"/>
                      </w:r>
                      <w:r>
                        <w:rPr/>
                        <w:t>—Requesting address list from the device</w:t>
                      </w:r>
                    </w:p>
                  </w:txbxContent>
                </v:textbox>
                <w10:wrap type="square" side="largest"/>
              </v:rect>
            </w:pict>
          </mc:Fallback>
        </mc:AlternateContent>
      </w:r>
    </w:p>
    <w:p>
      <w:pPr>
        <w:pStyle w:val="IEEEText"/>
        <w:rPr/>
      </w:pPr>
      <w:r>
        <w:rPr/>
      </w:r>
    </w:p>
    <w:p>
      <w:pPr>
        <w:pStyle w:val="IEEEheading"/>
        <w:numPr>
          <w:ilvl w:val="2"/>
          <w:numId w:val="3"/>
        </w:numPr>
        <w:rPr/>
      </w:pPr>
      <w:r>
        <w:rPr/>
        <w:t>MLME-PRIV-REQ-ADDR.</w:t>
      </w:r>
      <w:r>
        <w:rPr/>
        <w:t>request</w:t>
      </w:r>
      <w:r>
        <w:rPr/>
        <w:t xml:space="preserve"> (Request Addresses MAC Command frame)</w:t>
      </w:r>
    </w:p>
    <w:p>
      <w:pPr>
        <w:pStyle w:val="IEEEText"/>
        <w:rPr/>
      </w:pPr>
      <w:r>
        <w:rPr/>
        <w:t xml:space="preserve">This primitive is used by the device to send </w:t>
      </w:r>
      <w:r>
        <w:rPr/>
        <w:t>Request Addresses</w:t>
      </w:r>
      <w:r>
        <w:rPr/>
        <w:t xml:space="preserve"> MAC Command frame.</w:t>
      </w:r>
    </w:p>
    <w:p>
      <w:pPr>
        <w:pStyle w:val="IEEEText"/>
        <w:rPr/>
      </w:pPr>
      <w:r>
        <w:rPr/>
        <w:t>The semantics of this primitive are as follows:</w:t>
      </w:r>
    </w:p>
    <w:p>
      <w:pPr>
        <w:pStyle w:val="IEEEprimitive"/>
        <w:rPr/>
      </w:pPr>
      <w:r>
        <w:rPr/>
        <w:t>MLME-PRIV-</w:t>
      </w:r>
      <w:r>
        <w:rPr/>
        <w:t>REQ-ADDR</w:t>
      </w:r>
      <w:r>
        <w:rPr/>
        <w:t>.request</w:t>
        <w:tab/>
        <w:t>(</w:t>
        <w:br/>
        <w:tab/>
        <w:t>SrcAddrMode,</w:t>
        <w:br/>
        <w:tab/>
        <w:t>DstAddrMode,</w:t>
        <w:br/>
        <w:tab/>
        <w:t>DstPanId,</w:t>
        <w:br/>
        <w:tab/>
        <w:t>DstAddr,</w:t>
        <w:br/>
        <w:tab/>
        <w:t>SecurityParams,</w:t>
        <w:br/>
        <w:tab/>
        <w:t>IncludeSenderId,</w:t>
        <w:br/>
        <w:tab/>
        <w:t>SenderId,</w:t>
        <w:br/>
        <w:tab/>
        <w:t>Include</w:t>
      </w:r>
      <w:r>
        <w:rPr/>
        <w:t>Recipient</w:t>
      </w:r>
      <w:r>
        <w:rPr/>
        <w:t>Id,</w:t>
        <w:br/>
        <w:tab/>
      </w:r>
      <w:r>
        <w:rPr/>
        <w:t>Recipient</w:t>
      </w:r>
      <w:r>
        <w:rPr/>
        <w:t>Id,</w:t>
        <w:br/>
        <w:tab/>
        <w:t>IncludeAddressListSequenceNumber,</w:t>
        <w:br/>
        <w:tab/>
        <w:t>AddressListSequenceNumber,</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w:t>
      </w:r>
      <w:r>
        <w:rPr>
          <w:rFonts w:eastAsia="Times New Roman" w:cs="Times New Roman"/>
        </w:rPr>
        <w:t>REQ-ADDR</w:t>
      </w:r>
      <w:r>
        <w:rPr>
          <w:rFonts w:eastAsia="Times New Roman" w:cs="Times New Roman"/>
        </w:rPr>
        <w: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DstPanId</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w:t>
            </w:r>
          </w:p>
        </w:tc>
        <w:tc>
          <w:tcPr>
            <w:tcW w:w="1145" w:type="dxa"/>
            <w:tcBorders>
              <w:left w:val="single" w:sz="4" w:space="0" w:color="000000"/>
              <w:bottom w:val="single" w:sz="4" w:space="0" w:color="000000"/>
            </w:tcBorders>
          </w:tcPr>
          <w:p>
            <w:pPr>
              <w:pStyle w:val="IEEETable"/>
              <w:spacing w:before="115" w:after="0"/>
              <w:rPr>
                <w:sz w:val="20"/>
                <w:szCs w:val="20"/>
              </w:rPr>
            </w:pPr>
            <w:r>
              <w:rPr/>
              <w:t>—</w:t>
            </w:r>
          </w:p>
        </w:tc>
        <w:tc>
          <w:tcPr>
            <w:tcW w:w="1964"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45" w:type="dxa"/>
            <w:tcBorders>
              <w:left w:val="single" w:sz="4" w:space="0" w:color="000000"/>
              <w:bottom w:val="single" w:sz="4" w:space="0" w:color="000000"/>
            </w:tcBorders>
          </w:tcPr>
          <w:p>
            <w:pPr>
              <w:pStyle w:val="IEEETable"/>
              <w:spacing w:before="115" w:after="0"/>
              <w:rPr>
                <w:sz w:val="20"/>
                <w:szCs w:val="20"/>
              </w:rPr>
            </w:pPr>
            <w:r>
              <w:rPr/>
              <w:t>Structure</w:t>
            </w:r>
          </w:p>
        </w:tc>
        <w:tc>
          <w:tcPr>
            <w:tcW w:w="1964"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SenderId</w:t>
            </w:r>
          </w:p>
        </w:tc>
        <w:tc>
          <w:tcPr>
            <w:tcW w:w="1145" w:type="dxa"/>
            <w:tcBorders>
              <w:left w:val="single" w:sz="4" w:space="0" w:color="000000"/>
              <w:bottom w:val="single" w:sz="4" w:space="0" w:color="000000"/>
            </w:tcBorders>
          </w:tcPr>
          <w:p>
            <w:pPr>
              <w:pStyle w:val="IEEETable"/>
              <w:spacing w:before="115" w:after="0"/>
              <w:rPr>
                <w:sz w:val="20"/>
                <w:szCs w:val="20"/>
              </w:rPr>
            </w:pPr>
            <w:r>
              <w:rPr/>
              <w:t>64-bit Id</w:t>
            </w:r>
          </w:p>
        </w:tc>
        <w:tc>
          <w:tcPr>
            <w:tcW w:w="1964" w:type="dxa"/>
            <w:tcBorders>
              <w:left w:val="single" w:sz="4" w:space="0" w:color="000000"/>
              <w:bottom w:val="single" w:sz="4" w:space="0" w:color="000000"/>
            </w:tcBorders>
          </w:tcPr>
          <w:p>
            <w:pPr>
              <w:pStyle w:val="IEEETabl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Id of the sender. Ignored if the IncludeSenderId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w:t>
            </w:r>
            <w:r>
              <w:rPr/>
              <w:t>Recipient</w:t>
            </w:r>
            <w:r>
              <w:rPr/>
              <w:t>Id</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w:t>
            </w:r>
            <w:r>
              <w:rPr/>
              <w:t>Recipient</w:t>
            </w:r>
            <w:r>
              <w:rPr/>
              <w:t>Id is included to the frame or not.</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Recipient</w:t>
            </w:r>
            <w:r>
              <w:rPr/>
              <w:t>Id</w:t>
            </w:r>
          </w:p>
        </w:tc>
        <w:tc>
          <w:tcPr>
            <w:tcW w:w="1145" w:type="dxa"/>
            <w:tcBorders>
              <w:left w:val="single" w:sz="4" w:space="0" w:color="000000"/>
              <w:bottom w:val="single" w:sz="4" w:space="0" w:color="000000"/>
            </w:tcBorders>
          </w:tcPr>
          <w:p>
            <w:pPr>
              <w:pStyle w:val="IEEETable"/>
              <w:spacing w:before="115" w:after="0"/>
              <w:rPr>
                <w:sz w:val="20"/>
                <w:szCs w:val="20"/>
              </w:rPr>
            </w:pPr>
            <w:r>
              <w:rPr/>
              <w:t>64-bit Id</w:t>
            </w:r>
          </w:p>
        </w:tc>
        <w:tc>
          <w:tcPr>
            <w:tcW w:w="1964" w:type="dxa"/>
            <w:tcBorders>
              <w:left w:val="single" w:sz="4" w:space="0" w:color="000000"/>
              <w:bottom w:val="single" w:sz="4" w:space="0" w:color="000000"/>
            </w:tcBorders>
          </w:tcPr>
          <w:p>
            <w:pPr>
              <w:pStyle w:val="IEEETabl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Id of the </w:t>
            </w:r>
            <w:r>
              <w:rPr/>
              <w:t>recipient</w:t>
            </w:r>
            <w:r>
              <w:rPr/>
              <w:t>. Ignored if the Include</w:t>
            </w:r>
            <w:r>
              <w:rPr/>
              <w:t>Recipient</w:t>
            </w:r>
            <w:r>
              <w:rPr/>
              <w:t>Id is FALSE.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Sequence number of the address list. Ignored if the IncludeAddressListSequenceNumber is FALSE.</w:t>
            </w:r>
          </w:p>
        </w:tc>
      </w:tr>
    </w:tbl>
    <w:p>
      <w:pPr>
        <w:pStyle w:val="IEEEText"/>
        <w:rPr/>
      </w:pPr>
      <w:r>
        <w:rPr/>
        <w:t>When MLME-PRIV-</w:t>
      </w:r>
      <w:r>
        <w:rPr/>
        <w:t>REQ-ADDR</w:t>
      </w:r>
      <w:r>
        <w:rPr/>
        <w:t xml:space="preserve">.request primitive is issued the MAC will send </w:t>
      </w:r>
      <w:r>
        <w:rPr/>
        <w:t xml:space="preserve">Request </w:t>
      </w:r>
      <w:r>
        <w:rPr/>
        <w:t>Address</w:t>
      </w:r>
      <w:r>
        <w:rPr/>
        <w:t xml:space="preserve">es </w:t>
      </w:r>
      <w:r>
        <w:rPr/>
        <w:t xml:space="preserve">MAC Command frame to the destination. </w:t>
      </w:r>
    </w:p>
    <w:p>
      <w:pPr>
        <w:pStyle w:val="IEEEText"/>
        <w:rPr/>
      </w:pPr>
      <w:r>
        <w:rPr/>
        <w:t xml:space="preserve">If the IncludeSenderId parameter is TRUE, then </w:t>
      </w:r>
      <w:r>
        <w:rPr/>
        <w:t xml:space="preserve">Request </w:t>
      </w:r>
      <w:r>
        <w:rPr/>
        <w:t>Address</w:t>
      </w:r>
      <w:r>
        <w:rPr/>
        <w:t>es</w:t>
      </w:r>
      <w:r>
        <w:rPr/>
        <w:t xml:space="preserve"> MAC Command frame shall include Sender id field indicating the actual sender of the frame. </w:t>
      </w:r>
    </w:p>
    <w:p>
      <w:pPr>
        <w:pStyle w:val="IEEEText"/>
        <w:rPr/>
      </w:pPr>
      <w:r>
        <w:rPr/>
        <w:t>If the Include</w:t>
      </w:r>
      <w:r>
        <w:rPr/>
        <w:t>Recipient</w:t>
      </w:r>
      <w:r>
        <w:rPr/>
        <w:t xml:space="preserve">Id parameter is TRUE, then </w:t>
      </w:r>
      <w:r>
        <w:rPr/>
        <w:t xml:space="preserve">Request </w:t>
      </w:r>
      <w:r>
        <w:rPr/>
        <w:t>Address</w:t>
      </w:r>
      <w:r>
        <w:rPr/>
        <w:t>es</w:t>
      </w:r>
      <w:r>
        <w:rPr/>
        <w:t xml:space="preserve"> MAC Command frame shall include </w:t>
      </w:r>
      <w:r>
        <w:rPr/>
        <w:t xml:space="preserve">Recipient </w:t>
      </w:r>
      <w:r>
        <w:rPr/>
        <w:t xml:space="preserve">id field indicating the </w:t>
      </w:r>
      <w:r>
        <w:rPr/>
        <w:t xml:space="preserve">intended recipient </w:t>
      </w:r>
      <w:r>
        <w:rPr/>
        <w:t xml:space="preserve">of the frame. </w:t>
      </w:r>
    </w:p>
    <w:p>
      <w:pPr>
        <w:pStyle w:val="IEEEText"/>
        <w:rPr/>
      </w:pPr>
      <w:r>
        <w:rPr/>
        <w:t xml:space="preserve">If the IncludeAddressListSequenceNumber is FALSE, then the Address list sequence number field is omitted from the frame. </w:t>
      </w:r>
    </w:p>
    <w:p>
      <w:pPr>
        <w:pStyle w:val="IEEEheading"/>
        <w:numPr>
          <w:ilvl w:val="2"/>
          <w:numId w:val="3"/>
        </w:numPr>
        <w:rPr/>
      </w:pPr>
      <w:r>
        <w:rPr/>
        <w:t>MLME-PRIV-REQ-ADDR.</w:t>
      </w:r>
      <w:r>
        <w:rPr/>
        <w:t>indication</w:t>
      </w:r>
      <w:r>
        <w:rPr/>
        <w:t xml:space="preserve"> (Request Addresses MAC Command frame)</w:t>
      </w:r>
    </w:p>
    <w:p>
      <w:pPr>
        <w:pStyle w:val="IEEEText"/>
        <w:rPr/>
      </w:pPr>
      <w:r>
        <w:rPr/>
        <w:t xml:space="preserve">This primitive is used by the </w:t>
      </w:r>
      <w:r>
        <w:rPr/>
        <w:t>MAC when it receives</w:t>
      </w:r>
      <w:r>
        <w:rPr/>
        <w:t xml:space="preserve"> </w:t>
      </w:r>
      <w:r>
        <w:rPr/>
        <w:t>Request Addresses</w:t>
      </w:r>
      <w:r>
        <w:rPr/>
        <w:t xml:space="preserve"> MAC Command frame.</w:t>
      </w:r>
    </w:p>
    <w:p>
      <w:pPr>
        <w:pStyle w:val="IEEEText"/>
        <w:rPr/>
      </w:pPr>
      <w:r>
        <w:rPr/>
        <w:t>The semantics of this primitive are as follows:</w:t>
      </w:r>
    </w:p>
    <w:p>
      <w:pPr>
        <w:pStyle w:val="IEEEprimitive"/>
        <w:rPr/>
      </w:pPr>
      <w:r>
        <w:rPr/>
        <w:t>MLME-PRIV-</w:t>
      </w:r>
      <w:r>
        <w:rPr/>
        <w:t>REQ-ADDR</w:t>
      </w:r>
      <w:r>
        <w:rPr/>
        <w:t>.</w:t>
      </w:r>
      <w:r>
        <w:rPr/>
        <w:t>indication</w:t>
      </w:r>
      <w:r>
        <w:rPr/>
        <w:tab/>
        <w:t>(</w:t>
        <w:br/>
        <w:tab/>
        <w:t>SrcAddrMode,</w:t>
      </w:r>
      <w:r>
        <w:br w:type="page"/>
      </w:r>
    </w:p>
    <w:p>
      <w:pPr>
        <w:pStyle w:val="IEEEprimitive"/>
        <w:rPr/>
      </w:pPr>
      <w:r>
        <w:rPr/>
        <w:tab/>
      </w:r>
      <w:r>
        <w:rPr/>
        <w:t>SrcAddr,</w:t>
      </w:r>
      <w:r>
        <w:rPr/>
        <w:br/>
        <w:tab/>
        <w:t>DstAddrMode,</w:t>
        <w:br/>
        <w:tab/>
        <w:t>DstPanId,</w:t>
        <w:br/>
        <w:tab/>
        <w:t>DstAddr,</w:t>
        <w:br/>
        <w:tab/>
        <w:t>SecurityParams,</w:t>
        <w:br/>
        <w:tab/>
        <w:t>SenderId</w:t>
      </w:r>
      <w:r>
        <w:rPr/>
        <w:t>Present</w:t>
      </w:r>
      <w:r>
        <w:rPr/>
        <w:t>,</w:t>
        <w:br/>
        <w:tab/>
        <w:t>SenderId,</w:t>
        <w:br/>
        <w:tab/>
      </w:r>
      <w:r>
        <w:rPr/>
        <w:t>Recipient</w:t>
      </w:r>
      <w:r>
        <w:rPr/>
        <w:t>Id</w:t>
      </w:r>
      <w:r>
        <w:rPr/>
        <w:t>Present</w:t>
      </w:r>
      <w:r>
        <w:rPr/>
        <w:t>,</w:t>
        <w:br/>
        <w:tab/>
      </w:r>
      <w:r>
        <w:rPr/>
        <w:t>Recipient</w:t>
      </w:r>
      <w:r>
        <w:rPr/>
        <w:t>Id,</w:t>
        <w:br/>
        <w:tab/>
        <w:t>AddressListSequenceNumber</w:t>
      </w:r>
      <w:r>
        <w:rPr/>
        <w:t>Present</w:t>
      </w:r>
      <w:r>
        <w:rPr/>
        <w:t>,</w:t>
        <w:br/>
        <w:tab/>
        <w:t>AddressListSequenceNumber,</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w:t>
      </w:r>
      <w:r>
        <w:rPr>
          <w:rFonts w:eastAsia="Times New Roman" w:cs="Times New Roman"/>
        </w:rPr>
        <w:t>REQ-ADDR</w:t>
      </w:r>
      <w:r>
        <w:rPr>
          <w:rFonts w:eastAsia="Times New Roman" w:cs="Times New Roman"/>
        </w:rPr>
        <w:t>.</w:t>
      </w:r>
      <w:r>
        <w:rPr>
          <w:rFonts w:eastAsia="Times New Roman" w:cs="Times New Roman"/>
        </w:rPr>
        <w:t>indication</w:t>
      </w:r>
      <w:r>
        <w:rPr>
          <w:rFonts w:eastAsia="Times New Roman" w:cs="Times New Roman"/>
        </w:rPr>
        <w:t xml:space="preserve">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spacing w:before="115" w:after="0"/>
              <w:rPr>
                <w:sz w:val="20"/>
                <w:szCs w:val="20"/>
              </w:rPr>
            </w:pPr>
            <w:r>
              <w:rPr/>
              <w:t>—</w:t>
            </w:r>
          </w:p>
        </w:tc>
        <w:tc>
          <w:tcPr>
            <w:tcW w:w="1964" w:type="dxa"/>
            <w:tcBorders>
              <w:left w:val="single" w:sz="4" w:space="0" w:color="000000"/>
              <w:bottom w:val="single" w:sz="4" w:space="0" w:color="000000"/>
            </w:tcBorders>
          </w:tcPr>
          <w:p>
            <w:pPr>
              <w:pStyle w:val="IEEETable"/>
              <w:spacing w:before="115" w:after="0"/>
              <w:rPr>
                <w:sz w:val="20"/>
                <w:szCs w:val="20"/>
              </w:rPr>
            </w:pPr>
            <w:r>
              <w:rPr/>
              <w:t xml:space="preserve">As specified by the </w:t>
            </w:r>
            <w:r>
              <w:rPr/>
              <w:t>Src</w:t>
            </w:r>
            <w:r>
              <w:rPr/>
              <w:t>AddrMode parameter</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spacing w:before="115" w:after="0"/>
              <w:rPr>
                <w:sz w:val="20"/>
                <w:szCs w:val="20"/>
              </w:rPr>
            </w:pPr>
            <w:r>
              <w:rPr/>
              <w:t>NONE, SHORT,</w:t>
            </w:r>
          </w:p>
          <w:p>
            <w:pPr>
              <w:pStyle w:val="IEEETabl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DstPanId</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DstAddr</w:t>
            </w:r>
          </w:p>
        </w:tc>
        <w:tc>
          <w:tcPr>
            <w:tcW w:w="1145" w:type="dxa"/>
            <w:tcBorders>
              <w:left w:val="single" w:sz="4" w:space="0" w:color="000000"/>
              <w:bottom w:val="single" w:sz="4" w:space="0" w:color="000000"/>
            </w:tcBorders>
          </w:tcPr>
          <w:p>
            <w:pPr>
              <w:pStyle w:val="IEEETable"/>
              <w:spacing w:before="115" w:after="0"/>
              <w:rPr>
                <w:sz w:val="20"/>
                <w:szCs w:val="20"/>
              </w:rPr>
            </w:pPr>
            <w:r>
              <w:rPr/>
              <w:t>—</w:t>
            </w:r>
          </w:p>
        </w:tc>
        <w:tc>
          <w:tcPr>
            <w:tcW w:w="1964" w:type="dxa"/>
            <w:tcBorders>
              <w:left w:val="single" w:sz="4" w:space="0" w:color="000000"/>
              <w:bottom w:val="single" w:sz="4" w:space="0" w:color="000000"/>
            </w:tcBorders>
          </w:tcPr>
          <w:p>
            <w:pPr>
              <w:pStyle w:val="IEEETabl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SecurityParams</w:t>
            </w:r>
          </w:p>
          <w:p>
            <w:pPr>
              <w:pStyle w:val="IEEETable"/>
              <w:rPr>
                <w:sz w:val="20"/>
                <w:szCs w:val="20"/>
              </w:rPr>
            </w:pPr>
            <w:r>
              <w:rPr/>
            </w:r>
          </w:p>
        </w:tc>
        <w:tc>
          <w:tcPr>
            <w:tcW w:w="1145" w:type="dxa"/>
            <w:tcBorders>
              <w:left w:val="single" w:sz="4" w:space="0" w:color="000000"/>
              <w:bottom w:val="single" w:sz="4" w:space="0" w:color="000000"/>
            </w:tcBorders>
          </w:tcPr>
          <w:p>
            <w:pPr>
              <w:pStyle w:val="IEEETable"/>
              <w:spacing w:before="115" w:after="0"/>
              <w:rPr>
                <w:sz w:val="20"/>
                <w:szCs w:val="20"/>
              </w:rPr>
            </w:pPr>
            <w:r>
              <w:rPr/>
              <w:t>Structure</w:t>
            </w:r>
          </w:p>
        </w:tc>
        <w:tc>
          <w:tcPr>
            <w:tcW w:w="1964" w:type="dxa"/>
            <w:tcBorders>
              <w:left w:val="single" w:sz="4" w:space="0" w:color="000000"/>
              <w:bottom w:val="single" w:sz="4" w:space="0" w:color="000000"/>
            </w:tcBorders>
          </w:tcPr>
          <w:p>
            <w:pPr>
              <w:pStyle w:val="IEEETabl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SenderId</w:t>
            </w:r>
            <w:r>
              <w:rPr/>
              <w:t>Present</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SenderId</w:t>
            </w:r>
          </w:p>
        </w:tc>
        <w:tc>
          <w:tcPr>
            <w:tcW w:w="1145" w:type="dxa"/>
            <w:tcBorders>
              <w:left w:val="single" w:sz="4" w:space="0" w:color="000000"/>
              <w:bottom w:val="single" w:sz="4" w:space="0" w:color="000000"/>
            </w:tcBorders>
          </w:tcPr>
          <w:p>
            <w:pPr>
              <w:pStyle w:val="IEEETable"/>
              <w:spacing w:before="115" w:after="0"/>
              <w:rPr>
                <w:sz w:val="20"/>
                <w:szCs w:val="20"/>
              </w:rPr>
            </w:pPr>
            <w:r>
              <w:rPr/>
              <w:t>64-bit Id</w:t>
            </w:r>
          </w:p>
        </w:tc>
        <w:tc>
          <w:tcPr>
            <w:tcW w:w="1964" w:type="dxa"/>
            <w:tcBorders>
              <w:left w:val="single" w:sz="4" w:space="0" w:color="000000"/>
              <w:bottom w:val="single" w:sz="4" w:space="0" w:color="000000"/>
            </w:tcBorders>
          </w:tcPr>
          <w:p>
            <w:pPr>
              <w:pStyle w:val="IEEETabl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Id of the sender. Valid only of SenderIdPresent is TRUE.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Recipient</w:t>
            </w:r>
            <w:r>
              <w:rPr/>
              <w:t>Id</w:t>
            </w:r>
            <w:r>
              <w:rPr/>
              <w:t>Present</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Specifies whether the </w:t>
            </w:r>
            <w:r>
              <w:rPr/>
              <w:t>Recipient</w:t>
            </w:r>
            <w:r>
              <w:rPr/>
              <w:t>Id is included to the frame or not.</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Recipient</w:t>
            </w:r>
            <w:r>
              <w:rPr/>
              <w:t>Id</w:t>
            </w:r>
          </w:p>
        </w:tc>
        <w:tc>
          <w:tcPr>
            <w:tcW w:w="1145" w:type="dxa"/>
            <w:tcBorders>
              <w:left w:val="single" w:sz="4" w:space="0" w:color="000000"/>
              <w:bottom w:val="single" w:sz="4" w:space="0" w:color="000000"/>
            </w:tcBorders>
          </w:tcPr>
          <w:p>
            <w:pPr>
              <w:pStyle w:val="IEEETable"/>
              <w:spacing w:before="115" w:after="0"/>
              <w:rPr>
                <w:sz w:val="20"/>
                <w:szCs w:val="20"/>
              </w:rPr>
            </w:pPr>
            <w:r>
              <w:rPr/>
              <w:t>64-bit Id</w:t>
            </w:r>
          </w:p>
        </w:tc>
        <w:tc>
          <w:tcPr>
            <w:tcW w:w="1964" w:type="dxa"/>
            <w:tcBorders>
              <w:left w:val="single" w:sz="4" w:space="0" w:color="000000"/>
              <w:bottom w:val="single" w:sz="4" w:space="0" w:color="000000"/>
            </w:tcBorders>
          </w:tcPr>
          <w:p>
            <w:pPr>
              <w:pStyle w:val="IEEETabl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 xml:space="preserve">Id of the </w:t>
            </w:r>
            <w:r>
              <w:rPr/>
              <w:t>recipient</w:t>
            </w:r>
            <w:r>
              <w:rPr/>
              <w:t xml:space="preserve">. Valid only of </w:t>
            </w:r>
            <w:r>
              <w:rPr/>
              <w:t>Recipient</w:t>
            </w:r>
            <w:r>
              <w:rPr/>
              <w:t>IdPresent is TRUE.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AddressListSequenceNumber</w:t>
            </w:r>
            <w:r>
              <w:rPr/>
              <w:t>Present</w:t>
            </w:r>
          </w:p>
        </w:tc>
        <w:tc>
          <w:tcPr>
            <w:tcW w:w="1145" w:type="dxa"/>
            <w:tcBorders>
              <w:left w:val="single" w:sz="4" w:space="0" w:color="000000"/>
              <w:bottom w:val="single" w:sz="4" w:space="0" w:color="000000"/>
            </w:tcBorders>
          </w:tcPr>
          <w:p>
            <w:pPr>
              <w:pStyle w:val="IEEETable"/>
              <w:spacing w:before="115" w:after="0"/>
              <w:rPr>
                <w:sz w:val="20"/>
                <w:szCs w:val="20"/>
              </w:rPr>
            </w:pPr>
            <w:r>
              <w:rPr/>
              <w:t>Boolean</w:t>
            </w:r>
          </w:p>
        </w:tc>
        <w:tc>
          <w:tcPr>
            <w:tcW w:w="1964" w:type="dxa"/>
            <w:tcBorders>
              <w:left w:val="single" w:sz="4" w:space="0" w:color="000000"/>
              <w:bottom w:val="single" w:sz="4" w:space="0" w:color="000000"/>
            </w:tcBorders>
          </w:tcPr>
          <w:p>
            <w:pPr>
              <w:pStyle w:val="IEEETabl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spacing w:before="115" w:after="0"/>
              <w:rPr>
                <w:sz w:val="20"/>
                <w:szCs w:val="20"/>
              </w:rPr>
            </w:pPr>
            <w:r>
              <w:rPr/>
              <w:t>Integer</w:t>
            </w:r>
          </w:p>
        </w:tc>
        <w:tc>
          <w:tcPr>
            <w:tcW w:w="1964" w:type="dxa"/>
            <w:tcBorders>
              <w:left w:val="single" w:sz="4" w:space="0" w:color="000000"/>
              <w:bottom w:val="single" w:sz="4" w:space="0" w:color="000000"/>
            </w:tcBorders>
          </w:tcPr>
          <w:p>
            <w:pPr>
              <w:pStyle w:val="IEEETabl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spacing w:before="115" w:after="0"/>
              <w:rPr>
                <w:sz w:val="20"/>
                <w:szCs w:val="20"/>
              </w:rPr>
            </w:pPr>
            <w:r>
              <w:rPr/>
              <w:t>Sequence number of the address list. Valid only of the AddressListSequenceNumberPresent is TRUE.</w:t>
            </w:r>
          </w:p>
        </w:tc>
      </w:tr>
    </w:tbl>
    <w:p>
      <w:pPr>
        <w:pStyle w:val="IEEEText"/>
        <w:rPr/>
      </w:pPr>
      <w:r>
        <w:rPr/>
        <w:t>MLME-PRIV-</w:t>
      </w:r>
      <w:r>
        <w:rPr/>
        <w:t>REQ-ADDR</w:t>
      </w:r>
      <w:r>
        <w:rPr/>
        <w:t>.</w:t>
      </w:r>
      <w:r>
        <w:rPr/>
        <w:t>indication</w:t>
      </w:r>
      <w:r>
        <w:rPr/>
        <w:t xml:space="preserve"> primitive is issued </w:t>
      </w:r>
      <w:r>
        <w:rPr/>
        <w:t xml:space="preserve">by the </w:t>
      </w:r>
      <w:r>
        <w:rPr/>
        <w:t xml:space="preserve">MAC </w:t>
      </w:r>
      <w:r>
        <w:rPr/>
        <w:t xml:space="preserve">when it receives Request </w:t>
      </w:r>
      <w:r>
        <w:rPr/>
        <w:t>Address</w:t>
      </w:r>
      <w:r>
        <w:rPr/>
        <w:t xml:space="preserve">es </w:t>
      </w:r>
      <w:r>
        <w:rPr/>
        <w:t xml:space="preserve">MAC Command frame. </w:t>
      </w:r>
    </w:p>
    <w:p>
      <w:pPr>
        <w:pStyle w:val="IEEEText"/>
        <w:rPr/>
      </w:pPr>
      <w:r>
        <w:rPr/>
      </w:r>
    </w:p>
    <w:p>
      <w:pPr>
        <w:pStyle w:val="IEEEText"/>
        <w:rPr/>
      </w:pPr>
      <w:r>
        <w:rPr/>
      </w:r>
    </w:p>
    <w:p>
      <w:pPr>
        <w:pStyle w:val="IEEEheading"/>
        <w:numPr>
          <w:ilvl w:val="2"/>
          <w:numId w:val="3"/>
        </w:numPr>
        <w:rPr/>
      </w:pPr>
      <w:r>
        <w:rPr/>
        <w:t>MLME-PRIV-REQ-ADDR.</w:t>
      </w:r>
      <w:r>
        <w:rPr/>
        <w:t>confirm</w:t>
      </w:r>
      <w:r>
        <w:rPr/>
        <w:t xml:space="preserve"> (Request Addresses MAC Command frame)</w:t>
      </w:r>
    </w:p>
    <w:p>
      <w:pPr>
        <w:pStyle w:val="IEEEheading"/>
        <w:numPr>
          <w:ilvl w:val="1"/>
          <w:numId w:val="3"/>
        </w:numPr>
        <w:rPr/>
      </w:pPr>
      <w:r>
        <w:rPr/>
        <w:t>MLME-PRIV-ADDR-ASSIGN (Assign Addresses MAC Command frame)</w:t>
      </w:r>
    </w:p>
    <w:p>
      <w:pPr>
        <w:pStyle w:val="IEEEheading"/>
        <w:numPr>
          <w:ilvl w:val="2"/>
          <w:numId w:val="3"/>
        </w:numPr>
        <w:rPr/>
      </w:pPr>
      <w:r>
        <w:rPr/>
        <w:t>Assign addresses with confirmation</w:t>
      </w:r>
    </w:p>
    <w:p>
      <w:pPr>
        <w:pStyle w:val="IEEEText"/>
        <w:rPr/>
      </w:pPr>
      <w:r>
        <w:rPr/>
      </w:r>
      <w:r>
        <mc:AlternateContent>
          <mc:Choice Requires="wps">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943600" cy="2766060"/>
                <wp:effectExtent l="0" t="0" r="0" b="0"/>
                <wp:wrapSquare wrapText="largest"/>
                <wp:docPr id="10" name="Frame4"/>
                <a:graphic xmlns:a="http://schemas.openxmlformats.org/drawingml/2006/main">
                  <a:graphicData uri="http://schemas.microsoft.com/office/word/2010/wordprocessingShape">
                    <wps:wsp>
                      <wps:cNvSpPr txBox="1"/>
                      <wps:spPr>
                        <a:xfrm>
                          <a:off x="0" y="0"/>
                          <a:ext cx="5943600" cy="2766060"/>
                        </a:xfrm>
                        <a:prstGeom prst="rect"/>
                        <a:solidFill>
                          <a:srgbClr val="FFFFFF"/>
                        </a:solidFill>
                      </wps:spPr>
                      <wps:txbx>
                        <w:txbxContent>
                          <w:p>
                            <w:pPr>
                              <w:pStyle w:val="Figure"/>
                              <w:spacing w:before="120" w:after="120"/>
                              <w:rPr/>
                            </w:pPr>
                            <w:r>
                              <w:rPr/>
                              <w:drawing>
                                <wp:inline distT="0" distB="0" distL="0" distR="0">
                                  <wp:extent cx="5943600" cy="2438400"/>
                                  <wp:effectExtent l="0" t="0" r="0" b="0"/>
                                  <wp:docPr id="1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descr=""/>
                                          <pic:cNvPicPr>
                                            <a:picLocks noChangeAspect="1" noChangeArrowheads="1"/>
                                          </pic:cNvPicPr>
                                        </pic:nvPicPr>
                                        <pic:blipFill>
                                          <a:blip r:embed="rId8"/>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4</w:t>
                            </w:r>
                            <w:r>
                              <w:rPr/>
                              <w:fldChar w:fldCharType="end"/>
                            </w:r>
                            <w:r>
                              <w:rPr/>
                              <w:t>—Assigning addresses with confirmation</w:t>
                            </w:r>
                          </w:p>
                        </w:txbxContent>
                      </wps:txbx>
                      <wps:bodyPr anchor="t" lIns="0" tIns="0" rIns="0" bIns="0">
                        <a:noAutofit/>
                      </wps:bodyPr>
                    </wps:wsp>
                  </a:graphicData>
                </a:graphic>
              </wp:anchor>
            </w:drawing>
          </mc:Choice>
          <mc:Fallback>
            <w:pict>
              <v:rect style="position:absolute;rotation:-0;width:468pt;height:217.8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943600" cy="2438400"/>
                            <wp:effectExtent l="0" t="0" r="0" b="0"/>
                            <wp:docPr id="1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descr=""/>
                                    <pic:cNvPicPr>
                                      <a:picLocks noChangeAspect="1" noChangeArrowheads="1"/>
                                    </pic:cNvPicPr>
                                  </pic:nvPicPr>
                                  <pic:blipFill>
                                    <a:blip r:embed="rId9"/>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4</w:t>
                      </w:r>
                      <w:r>
                        <w:rPr/>
                        <w:fldChar w:fldCharType="end"/>
                      </w:r>
                      <w:r>
                        <w:rPr/>
                        <w:t>—Assigning addresses with confirmation</w:t>
                      </w:r>
                    </w:p>
                  </w:txbxContent>
                </v:textbox>
                <w10:wrap type="square" side="largest"/>
              </v:rect>
            </w:pict>
          </mc:Fallback>
        </mc:AlternateContent>
      </w:r>
    </w:p>
    <w:p>
      <w:pPr>
        <w:pStyle w:val="IEEEheading"/>
        <w:numPr>
          <w:ilvl w:val="2"/>
          <w:numId w:val="3"/>
        </w:numPr>
        <w:rPr/>
      </w:pPr>
      <w:r>
        <w:rPr/>
        <w:t>MLME-PRIV-ADDR-ASSIGN.</w:t>
      </w:r>
      <w:r>
        <w:rPr/>
        <w:t>request</w:t>
      </w:r>
      <w:r>
        <w:rPr/>
        <w:t xml:space="preserve"> (Assign Addresses MAC Command frame)</w:t>
      </w:r>
    </w:p>
    <w:p>
      <w:pPr>
        <w:pStyle w:val="IEEEheading"/>
        <w:numPr>
          <w:ilvl w:val="2"/>
          <w:numId w:val="3"/>
        </w:numPr>
        <w:rPr/>
      </w:pPr>
      <w:r>
        <w:rPr/>
        <w:t>MLME-PRIV-ADDR-ASSIGN.</w:t>
      </w:r>
      <w:r>
        <w:rPr/>
        <w:t>indication</w:t>
      </w:r>
      <w:r>
        <w:rPr/>
        <w:t xml:space="preserve"> (Assign Addresses MAC Command frame)</w:t>
      </w:r>
    </w:p>
    <w:p>
      <w:pPr>
        <w:pStyle w:val="IEEEheading"/>
        <w:numPr>
          <w:ilvl w:val="2"/>
          <w:numId w:val="3"/>
        </w:numPr>
        <w:rPr/>
      </w:pPr>
      <w:r>
        <w:rPr/>
        <w:t>MLME-PRIV-ADDR-ASSIGN.</w:t>
      </w:r>
      <w:r>
        <w:rPr/>
        <w:t>response</w:t>
      </w:r>
      <w:r>
        <w:rPr/>
        <w:t xml:space="preserve"> (Assign Addresses MAC Command frame)</w:t>
      </w:r>
    </w:p>
    <w:p>
      <w:pPr>
        <w:pStyle w:val="IEEEheading"/>
        <w:numPr>
          <w:ilvl w:val="2"/>
          <w:numId w:val="3"/>
        </w:numPr>
        <w:rPr/>
      </w:pPr>
      <w:r>
        <w:rPr/>
        <w:t>MLME-PRIV-ADDR-ASSIGN.</w:t>
      </w:r>
      <w:r>
        <w:rPr/>
        <w:t>confirm</w:t>
      </w:r>
      <w:r>
        <w:rPr/>
        <w:t xml:space="preserve"> (Assign Addresses MAC Command frame)</w:t>
      </w:r>
    </w:p>
    <w:p>
      <w:pPr>
        <w:pStyle w:val="IEEEheading"/>
        <w:numPr>
          <w:ilvl w:val="1"/>
          <w:numId w:val="3"/>
        </w:numPr>
        <w:rPr/>
      </w:pPr>
      <w:r>
        <w:rPr/>
        <w:t>MLME-PRIV-ADDR-ASSIGN-CONFIRM (Assign Addresses Confirm MAC Command frame)</w:t>
      </w:r>
    </w:p>
    <w:p>
      <w:pPr>
        <w:pStyle w:val="IEEEheading"/>
        <w:numPr>
          <w:ilvl w:val="2"/>
          <w:numId w:val="3"/>
        </w:numPr>
        <w:rPr/>
      </w:pPr>
      <w:r>
        <w:rPr/>
        <w:t>MLME-PRIV-ADDR-ASSIGN-CONFIRM.</w:t>
      </w:r>
      <w:r>
        <w:rPr/>
        <w:t>indication</w:t>
      </w:r>
      <w:r>
        <w:rPr/>
        <w:t xml:space="preserve"> (Assign Addresses Confirm MAC Command frame)</w:t>
      </w:r>
    </w:p>
    <w:p>
      <w:pPr>
        <w:pStyle w:val="IEEEheading"/>
        <w:numPr>
          <w:ilvl w:val="1"/>
          <w:numId w:val="3"/>
        </w:numPr>
        <w:rPr/>
      </w:pPr>
      <w:r>
        <w:rPr/>
        <w:t>MLME-PRIV-UPDATE-KEY-ID (Key Id Update MAC Command frame)</w:t>
      </w:r>
    </w:p>
    <w:p>
      <w:pPr>
        <w:pStyle w:val="IEEEheading"/>
        <w:numPr>
          <w:ilvl w:val="2"/>
          <w:numId w:val="3"/>
        </w:numPr>
        <w:rPr/>
      </w:pPr>
      <w:r>
        <w:rPr/>
        <w:t>Updating key source with confirmation</w:t>
      </w:r>
    </w:p>
    <w:p>
      <w:pPr>
        <w:pStyle w:val="IEEEText"/>
        <w:rPr/>
      </w:pPr>
      <w:r>
        <w:rPr/>
      </w:r>
      <w:r>
        <mc:AlternateContent>
          <mc:Choice Requires="wps">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5943600" cy="2766060"/>
                <wp:effectExtent l="0" t="0" r="0" b="0"/>
                <wp:wrapSquare wrapText="largest"/>
                <wp:docPr id="13" name="Frame5"/>
                <a:graphic xmlns:a="http://schemas.openxmlformats.org/drawingml/2006/main">
                  <a:graphicData uri="http://schemas.microsoft.com/office/word/2010/wordprocessingShape">
                    <wps:wsp>
                      <wps:cNvSpPr txBox="1"/>
                      <wps:spPr>
                        <a:xfrm>
                          <a:off x="0" y="0"/>
                          <a:ext cx="5943600" cy="2766060"/>
                        </a:xfrm>
                        <a:prstGeom prst="rect"/>
                        <a:solidFill>
                          <a:srgbClr val="FFFFFF"/>
                        </a:solidFill>
                      </wps:spPr>
                      <wps:txbx>
                        <w:txbxContent>
                          <w:p>
                            <w:pPr>
                              <w:pStyle w:val="Figure"/>
                              <w:spacing w:before="120" w:after="120"/>
                              <w:rPr/>
                            </w:pPr>
                            <w:r>
                              <w:rPr/>
                              <w:drawing>
                                <wp:inline distT="0" distB="0" distL="0" distR="0">
                                  <wp:extent cx="5943600" cy="2438400"/>
                                  <wp:effectExtent l="0" t="0" r="0" b="0"/>
                                  <wp:docPr id="1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 descr=""/>
                                          <pic:cNvPicPr>
                                            <a:picLocks noChangeAspect="1" noChangeArrowheads="1"/>
                                          </pic:cNvPicPr>
                                        </pic:nvPicPr>
                                        <pic:blipFill>
                                          <a:blip r:embed="rId10"/>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5</w:t>
                            </w:r>
                            <w:r>
                              <w:rPr/>
                              <w:fldChar w:fldCharType="end"/>
                            </w:r>
                            <w:r>
                              <w:rPr/>
                              <w:t>—Updating the key source with confirmation</w:t>
                            </w:r>
                          </w:p>
                        </w:txbxContent>
                      </wps:txbx>
                      <wps:bodyPr anchor="t" lIns="0" tIns="0" rIns="0" bIns="0">
                        <a:noAutofit/>
                      </wps:bodyPr>
                    </wps:wsp>
                  </a:graphicData>
                </a:graphic>
              </wp:anchor>
            </w:drawing>
          </mc:Choice>
          <mc:Fallback>
            <w:pict>
              <v:rect style="position:absolute;rotation:-0;width:468pt;height:217.8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943600" cy="2438400"/>
                            <wp:effectExtent l="0" t="0" r="0" b="0"/>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11"/>
                                    <a:stretch>
                                      <a:fillRect/>
                                    </a:stretch>
                                  </pic:blipFill>
                                  <pic:spPr bwMode="auto">
                                    <a:xfrm>
                                      <a:off x="0" y="0"/>
                                      <a:ext cx="5943600" cy="243840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5</w:t>
                      </w:r>
                      <w:r>
                        <w:rPr/>
                        <w:fldChar w:fldCharType="end"/>
                      </w:r>
                      <w:r>
                        <w:rPr/>
                        <w:t>—Updating the key source with confirmation</w:t>
                      </w:r>
                    </w:p>
                  </w:txbxContent>
                </v:textbox>
                <w10:wrap type="square" side="largest"/>
              </v:rect>
            </w:pict>
          </mc:Fallback>
        </mc:AlternateContent>
      </w:r>
    </w:p>
    <w:p>
      <w:pPr>
        <w:pStyle w:val="IEEEheading"/>
        <w:numPr>
          <w:ilvl w:val="2"/>
          <w:numId w:val="3"/>
        </w:numPr>
        <w:rPr/>
      </w:pPr>
      <w:r>
        <w:rPr/>
        <w:t>MLME-PRIV-UPDATE-KEY-ID.</w:t>
      </w:r>
      <w:r>
        <w:rPr/>
        <w:t>request</w:t>
      </w:r>
      <w:r>
        <w:rPr/>
        <w:t xml:space="preserve"> (Key Id Update MAC Command frame)</w:t>
      </w:r>
    </w:p>
    <w:p>
      <w:pPr>
        <w:pStyle w:val="IEEEheading"/>
        <w:numPr>
          <w:ilvl w:val="2"/>
          <w:numId w:val="3"/>
        </w:numPr>
        <w:rPr/>
      </w:pPr>
      <w:r>
        <w:rPr/>
        <w:t>MLME-PRIV-UPDATE-KEY-ID.</w:t>
      </w:r>
      <w:r>
        <w:rPr/>
        <w:t>indication</w:t>
      </w:r>
      <w:r>
        <w:rPr/>
        <w:t xml:space="preserve"> (Key Id Update MAC Command frame)</w:t>
      </w:r>
    </w:p>
    <w:p>
      <w:pPr>
        <w:pStyle w:val="IEEEheading"/>
        <w:numPr>
          <w:ilvl w:val="2"/>
          <w:numId w:val="3"/>
        </w:numPr>
        <w:rPr/>
      </w:pPr>
      <w:r>
        <w:rPr/>
        <w:t>MLME-PRIV-UPDATE-KEY-ID.</w:t>
      </w:r>
      <w:r>
        <w:rPr/>
        <w:t>response</w:t>
      </w:r>
      <w:r>
        <w:rPr/>
        <w:t xml:space="preserve"> (Key Id Update MAC Command frame)</w:t>
      </w:r>
    </w:p>
    <w:p>
      <w:pPr>
        <w:pStyle w:val="IEEEheading"/>
        <w:numPr>
          <w:ilvl w:val="2"/>
          <w:numId w:val="3"/>
        </w:numPr>
        <w:rPr/>
      </w:pPr>
      <w:r>
        <w:rPr/>
        <w:t>MLME-PRIV-UPDATE-KEY-ID.</w:t>
      </w:r>
      <w:r>
        <w:rPr/>
        <w:t>confirm</w:t>
      </w:r>
      <w:r>
        <w:rPr/>
        <w:t xml:space="preserve"> (Key Id Update MAC Command frame)</w:t>
      </w:r>
    </w:p>
    <w:p>
      <w:pPr>
        <w:pStyle w:val="IEEEheading"/>
        <w:numPr>
          <w:ilvl w:val="1"/>
          <w:numId w:val="3"/>
        </w:numPr>
        <w:rPr/>
      </w:pPr>
      <w:r>
        <w:rPr/>
        <w:t>MLME-PRIV-UPDATE-KEY-ID-CONFIRM (Key Id Update Confirm MAC Command frame)</w:t>
      </w:r>
    </w:p>
    <w:p>
      <w:pPr>
        <w:pStyle w:val="IEEEheading"/>
        <w:numPr>
          <w:ilvl w:val="2"/>
          <w:numId w:val="3"/>
        </w:numPr>
        <w:rPr/>
      </w:pPr>
      <w:r>
        <w:rPr/>
        <w:t>MLME-PRIV-UPDATE-KEY-ID-CONFIRM.</w:t>
      </w:r>
      <w:r>
        <w:rPr/>
        <w:t>indication</w:t>
      </w:r>
      <w:r>
        <w:rPr/>
        <w:t xml:space="preserve"> (Key Id Update Confirm MAC Command frame)</w:t>
      </w:r>
    </w:p>
    <w:p>
      <w:pPr>
        <w:pStyle w:val="IEEEheading"/>
        <w:numPr>
          <w:ilvl w:val="1"/>
          <w:numId w:val="3"/>
        </w:numPr>
        <w:rPr/>
      </w:pPr>
      <w:r>
        <w:rPr/>
        <w:t>MLME-PRIV-NET-</w:t>
      </w:r>
      <w:r>
        <w:rPr/>
        <w:t>VERIFIER</w:t>
      </w:r>
      <w:r>
        <w:rPr/>
        <w:t xml:space="preserve"> (</w:t>
      </w:r>
      <w:r>
        <w:rPr/>
        <w:t>Net Announcement IE and Net Request IE Encrypted Verifier</w:t>
      </w:r>
      <w:r>
        <w:rPr/>
        <w:t>)</w:t>
      </w:r>
    </w:p>
    <w:p>
      <w:pPr>
        <w:pStyle w:val="IEEEheading"/>
        <w:numPr>
          <w:ilvl w:val="2"/>
          <w:numId w:val="3"/>
        </w:numPr>
        <w:rPr/>
      </w:pPr>
      <w:r>
        <w:rPr/>
        <w:t>MLME-PRIV-NET-</w:t>
      </w:r>
      <w:r>
        <w:rPr/>
        <w:t>VERIFIER.request</w:t>
      </w:r>
      <w:r>
        <w:rPr/>
        <w:t xml:space="preserve"> (</w:t>
      </w:r>
      <w:r>
        <w:rPr/>
        <w:t>Net Announcement IE and Net Request IE Encrypted Verifier</w:t>
      </w:r>
      <w:r>
        <w:rPr/>
        <w:t>)</w:t>
      </w:r>
    </w:p>
    <w:p>
      <w:pPr>
        <w:pStyle w:val="IEEEheading"/>
        <w:numPr>
          <w:ilvl w:val="2"/>
          <w:numId w:val="3"/>
        </w:numPr>
        <w:rPr/>
      </w:pPr>
      <w:r>
        <w:rPr/>
        <w:t>MLME-PRIV-NET-</w:t>
      </w:r>
      <w:r>
        <w:rPr/>
        <w:t>VERIFIER.confirm</w:t>
      </w:r>
      <w:r>
        <w:rPr/>
        <w:t xml:space="preserve"> (</w:t>
      </w:r>
      <w:r>
        <w:rPr/>
        <w:t>Net Announcement IE and Net Request IE Encrypted Verifier</w:t>
      </w:r>
      <w:r>
        <w:rPr/>
        <w:t>)</w:t>
      </w:r>
    </w:p>
    <w:p>
      <w:pPr>
        <w:pStyle w:val="IEEEText"/>
        <w:rPr/>
      </w:pPr>
      <w:r>
        <w:rPr/>
      </w:r>
    </w:p>
    <w:sectPr>
      <w:headerReference w:type="default" r:id="rId12"/>
      <w:footerReference w:type="default" r:id="rId1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Arial">
    <w:charset w:val="01"/>
    <w:family w:val="swiss"/>
    <w:pitch w:val="default"/>
  </w:font>
  <w:font w:name="DejaVu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19</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IEEE P802.15 - 15-24-0315-02-04ac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3">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3"/>
      </w:numPr>
      <w:tabs>
        <w:tab w:val="clear" w:pos="643"/>
      </w:tabs>
    </w:pPr>
    <w:rPr/>
  </w:style>
  <w:style w:type="paragraph" w:styleId="IEEEHeading1">
    <w:name w:val="IEEE Heading 1"/>
    <w:basedOn w:val="IEEEheading"/>
    <w:qFormat/>
    <w:pPr>
      <w:numPr>
        <w:ilvl w:val="0"/>
        <w:numId w:val="2"/>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21186</TotalTime>
  <Application>LibreOffice/7.4.7.2$Linux_X86_64 LibreOffice_project/40$Build-2</Application>
  <AppVersion>15.0000</AppVersion>
  <Pages>19</Pages>
  <Words>2344</Words>
  <Characters>15726</Characters>
  <CharactersWithSpaces>17750</CharactersWithSpaces>
  <Paragraphs>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2024-07-18T15:00:22Z</dcterms:modified>
  <cp:revision>213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