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630"/>
      </w:tblGrid>
      <w:tr w:rsidR="00911477" w:rsidRPr="002E5375" w14:paraId="19473F8E" w14:textId="77777777" w:rsidTr="007F05C7">
        <w:trPr>
          <w:trHeight w:val="137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73F8D" w14:textId="77777777" w:rsidR="00911477" w:rsidRPr="00F56077" w:rsidRDefault="00911477" w:rsidP="007F05C7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14:paraId="19473F91" w14:textId="77777777" w:rsidTr="007F05C7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73F8F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73F90" w14:textId="3D636057" w:rsidR="00911477" w:rsidRPr="00DE4DB9" w:rsidRDefault="00DB0153" w:rsidP="00DB0153">
            <w:pPr>
              <w:ind w:left="57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Liaison Statement</w:t>
            </w:r>
            <w:r w:rsidRPr="00DB0153">
              <w:rPr>
                <w:rFonts w:ascii="Arial" w:hAnsi="Arial" w:cs="Arial"/>
                <w:sz w:val="36"/>
                <w:szCs w:val="24"/>
              </w:rPr>
              <w:t xml:space="preserve"> to IEEE 802 requesting information on the revised Channel Plan for IEEE Std 802.15.3</w:t>
            </w:r>
          </w:p>
        </w:tc>
      </w:tr>
      <w:tr w:rsidR="00911477" w:rsidRPr="002A36EA" w14:paraId="19473F94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3F92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19473F93" w14:textId="6B596D63" w:rsidR="00911477" w:rsidRPr="00911477" w:rsidRDefault="000E7B5B" w:rsidP="007F05C7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20, 2023</w:t>
            </w:r>
          </w:p>
        </w:tc>
      </w:tr>
      <w:tr w:rsidR="00911477" w:rsidRPr="00D21604" w14:paraId="19473F97" w14:textId="77777777" w:rsidTr="007F05C7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3F95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3F96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DE4DB9" w14:paraId="19473F9A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3F98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3F99" w14:textId="341F45C4" w:rsidR="00911477" w:rsidRPr="00DE4DB9" w:rsidRDefault="00924218" w:rsidP="007F05C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ETSI ISG </w:t>
            </w:r>
            <w:r w:rsidR="00DA119A">
              <w:rPr>
                <w:rFonts w:ascii="Arial" w:hAnsi="Arial" w:cs="Arial"/>
                <w:color w:val="0000FF"/>
                <w:sz w:val="28"/>
                <w:szCs w:val="28"/>
              </w:rPr>
              <w:t>THZ</w:t>
            </w: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</w:p>
        </w:tc>
      </w:tr>
      <w:tr w:rsidR="00911477" w:rsidRPr="000E7B5B" w14:paraId="19473F9D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3F9B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3F9C" w14:textId="22E0D6BD" w:rsidR="001B7C65" w:rsidRPr="000E7B5B" w:rsidRDefault="00677525" w:rsidP="000E7B5B">
            <w:pPr>
              <w:ind w:left="57"/>
              <w:rPr>
                <w:rFonts w:ascii="Arial" w:hAnsi="Arial" w:cs="Arial"/>
                <w:color w:val="0000FF"/>
                <w:lang w:val="de-DE"/>
              </w:rPr>
            </w:pPr>
            <w:r w:rsidRPr="000E7B5B">
              <w:rPr>
                <w:rFonts w:ascii="Arial" w:hAnsi="Arial" w:cs="Arial"/>
                <w:color w:val="0000FF"/>
                <w:lang w:val="de-DE"/>
              </w:rPr>
              <w:t>Thomas Kürner (</w:t>
            </w:r>
            <w:r w:rsidR="000E7B5B" w:rsidRPr="000E7B5B">
              <w:rPr>
                <w:rStyle w:val="Hyperlink"/>
                <w:rFonts w:ascii="Arial" w:hAnsi="Arial" w:cs="Arial"/>
                <w:lang w:val="de-DE"/>
              </w:rPr>
              <w:t>t.kuerner@tu-braunschweig.de</w:t>
            </w:r>
            <w:r w:rsidRPr="000E7B5B">
              <w:rPr>
                <w:rFonts w:ascii="Arial" w:hAnsi="Arial" w:cs="Arial"/>
                <w:color w:val="0000FF"/>
                <w:lang w:val="de-DE"/>
              </w:rPr>
              <w:t>)</w:t>
            </w:r>
            <w:r w:rsidR="001B7328" w:rsidRPr="000E7B5B">
              <w:rPr>
                <w:rFonts w:ascii="Arial" w:hAnsi="Arial" w:cs="Arial"/>
                <w:color w:val="0000FF"/>
                <w:lang w:val="de-DE"/>
              </w:rPr>
              <w:t xml:space="preserve">, </w:t>
            </w:r>
            <w:r w:rsidR="004B12B8">
              <w:rPr>
                <w:rFonts w:ascii="Arial" w:hAnsi="Arial" w:cs="Arial"/>
                <w:color w:val="0000FF"/>
                <w:lang w:val="de-DE"/>
              </w:rPr>
              <w:t>Nicolae Madalin Neag (NicolaeMadalin.Neag@ETSI.ORG)</w:t>
            </w:r>
          </w:p>
        </w:tc>
      </w:tr>
      <w:tr w:rsidR="00911477" w:rsidRPr="000E7B5B" w14:paraId="19473FA0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3F9E" w14:textId="77777777" w:rsidR="00911477" w:rsidRPr="000E7B5B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3F9F" w14:textId="77777777" w:rsidR="00911477" w:rsidRPr="000E7B5B" w:rsidRDefault="00911477" w:rsidP="007F05C7">
            <w:pPr>
              <w:ind w:left="57"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911477" w:rsidRPr="00DB0153" w14:paraId="19473FA3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3FA1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19473FA2" w14:textId="7E422E89" w:rsidR="001B0088" w:rsidRPr="00DB0153" w:rsidRDefault="00DB0153" w:rsidP="00DB0153">
            <w:pPr>
              <w:tabs>
                <w:tab w:val="left" w:pos="4891"/>
              </w:tabs>
              <w:ind w:left="57"/>
              <w:rPr>
                <w:rFonts w:ascii="Arial" w:hAnsi="Arial" w:cs="Arial"/>
              </w:rPr>
            </w:pPr>
            <w:r w:rsidRPr="00DB0153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>IEEE 802</w:t>
            </w:r>
            <w:r w:rsidR="00FF1DBA" w:rsidRPr="00DB015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:</w:t>
            </w:r>
            <w:r w:rsidR="00662F5D" w:rsidRPr="00DB015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DB015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Paul Nikolich, IEEE 802 LAN/MAN Standards Committee Chairman</w:t>
            </w:r>
            <w:r w:rsidR="000E7B5B" w:rsidRPr="00DB015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(</w:t>
            </w:r>
            <w:r w:rsidRPr="00DB015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p.nikolich@ieee.org</w:t>
            </w:r>
            <w:r w:rsidR="000E7B5B" w:rsidRPr="00DB0153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)</w:t>
            </w:r>
          </w:p>
        </w:tc>
      </w:tr>
      <w:tr w:rsidR="00911477" w:rsidRPr="00DE4DB9" w14:paraId="19473FA6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3FA4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DE4DB9"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opy to</w:t>
            </w: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19473FA5" w14:textId="64E65A23" w:rsidR="00911477" w:rsidRPr="00BC3C85" w:rsidRDefault="00FF1DBA" w:rsidP="000E6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11477" w:rsidRPr="00F85372" w14:paraId="19473FA9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3FA7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19473FA8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2A36EA" w14:paraId="19473FAC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73FAA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473FAB" w14:textId="0E02DCF4" w:rsidR="00911477" w:rsidRPr="00911477" w:rsidRDefault="00FF1DBA" w:rsidP="007F05C7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N/A</w:t>
            </w:r>
          </w:p>
        </w:tc>
      </w:tr>
      <w:tr w:rsidR="00911477" w:rsidRPr="00D21604" w14:paraId="19473FAF" w14:textId="77777777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3FAD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14:paraId="19473FAE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14:paraId="19473FB2" w14:textId="77777777" w:rsidTr="00A27E37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9473FB0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3FB1" w14:textId="2A24E809" w:rsidR="00911477" w:rsidRPr="00911477" w:rsidRDefault="000E6FF5" w:rsidP="007F05C7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N/A</w:t>
            </w:r>
          </w:p>
        </w:tc>
      </w:tr>
      <w:tr w:rsidR="00911477" w:rsidRPr="002E5375" w14:paraId="19473FB4" w14:textId="77777777" w:rsidTr="007F05C7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473FB3" w14:textId="77777777" w:rsidR="00911477" w:rsidRPr="002E5375" w:rsidRDefault="00911477" w:rsidP="007F05C7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14:paraId="19473FB5" w14:textId="77777777" w:rsidR="00911477" w:rsidRPr="00866086" w:rsidRDefault="00911477" w:rsidP="00911477"/>
    <w:p w14:paraId="7253A70A" w14:textId="5827739A" w:rsidR="00E35595" w:rsidRDefault="00DB0153" w:rsidP="00E3559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Paul,</w:t>
      </w:r>
    </w:p>
    <w:p w14:paraId="42F7DEC1" w14:textId="77777777" w:rsidR="00DB0153" w:rsidRDefault="00DB0153" w:rsidP="00E35595">
      <w:pPr>
        <w:rPr>
          <w:rFonts w:ascii="Arial" w:hAnsi="Arial" w:cs="Arial"/>
          <w:lang w:val="en-US"/>
        </w:rPr>
      </w:pPr>
    </w:p>
    <w:p w14:paraId="77D024D1" w14:textId="00E3DAE1" w:rsidR="003C412C" w:rsidRDefault="00DB0153" w:rsidP="003C412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 xml:space="preserve">ETSI ISG THz thanks </w:t>
      </w:r>
      <w:r w:rsidRPr="00DB0153">
        <w:rPr>
          <w:rFonts w:ascii="Arial" w:hAnsi="Arial" w:cs="Arial"/>
          <w:lang w:val="en-US"/>
        </w:rPr>
        <w:t>IEEE 802 LAN/MAN Standards Committee</w:t>
      </w:r>
      <w:r>
        <w:rPr>
          <w:rFonts w:ascii="Arial" w:hAnsi="Arial" w:cs="Arial"/>
          <w:lang w:val="en-US"/>
        </w:rPr>
        <w:t xml:space="preserve"> for sharing the information on the past and ongoing activities </w:t>
      </w:r>
      <w:proofErr w:type="spellStart"/>
      <w:r>
        <w:rPr>
          <w:rFonts w:ascii="Arial" w:hAnsi="Arial" w:cs="Arial"/>
          <w:lang w:val="en-US"/>
        </w:rPr>
        <w:t>wrt</w:t>
      </w:r>
      <w:proofErr w:type="spellEnd"/>
      <w:r>
        <w:rPr>
          <w:rFonts w:ascii="Arial" w:hAnsi="Arial" w:cs="Arial"/>
          <w:lang w:val="en-US"/>
        </w:rPr>
        <w:t xml:space="preserve"> IEEE Std 802.15.3. The information is very valuable and will be used in the development of our Group Reports </w:t>
      </w:r>
      <w:r w:rsidR="003C412C">
        <w:rPr>
          <w:rFonts w:ascii="Arial" w:hAnsi="Arial" w:cs="Arial"/>
          <w:i/>
          <w:lang w:val="en-US"/>
        </w:rPr>
        <w:t>DGR/THz-001 (GR)</w:t>
      </w:r>
      <w:r w:rsidR="008D49C3">
        <w:rPr>
          <w:rFonts w:ascii="Arial" w:hAnsi="Arial" w:cs="Arial"/>
          <w:i/>
          <w:lang w:val="en-US"/>
        </w:rPr>
        <w:t xml:space="preserve"> </w:t>
      </w:r>
      <w:r w:rsidRPr="00DB0153">
        <w:rPr>
          <w:rFonts w:ascii="Arial" w:hAnsi="Arial" w:cs="Arial"/>
          <w:i/>
          <w:lang w:val="en-US"/>
        </w:rPr>
        <w:t>Identification of use cases for THz communication systems</w:t>
      </w:r>
      <w:r w:rsidR="003C412C">
        <w:rPr>
          <w:rFonts w:ascii="Arial" w:hAnsi="Arial" w:cs="Arial"/>
          <w:i/>
          <w:lang w:val="en-US"/>
        </w:rPr>
        <w:t xml:space="preserve">, </w:t>
      </w:r>
      <w:r w:rsidR="003C412C" w:rsidRPr="003C412C">
        <w:rPr>
          <w:rFonts w:ascii="Arial" w:hAnsi="Arial" w:cs="Arial"/>
          <w:bCs/>
          <w:i/>
        </w:rPr>
        <w:t>DGR/THz-002 (</w:t>
      </w:r>
      <w:r w:rsidR="003C412C">
        <w:rPr>
          <w:rFonts w:ascii="Arial" w:hAnsi="Arial" w:cs="Arial"/>
          <w:bCs/>
          <w:i/>
        </w:rPr>
        <w:t xml:space="preserve">GR) </w:t>
      </w:r>
      <w:r w:rsidR="003C412C" w:rsidRPr="003C412C">
        <w:rPr>
          <w:rFonts w:ascii="Arial" w:hAnsi="Arial" w:cs="Arial"/>
          <w:bCs/>
          <w:i/>
        </w:rPr>
        <w:t>Identification of frequency bands of interests for THz communication systems</w:t>
      </w:r>
      <w:r w:rsidRPr="00DB01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Cs/>
          <w:i/>
        </w:rPr>
        <w:t xml:space="preserve">DGR/THz-003 (GR) </w:t>
      </w:r>
      <w:r w:rsidRPr="00DB0153">
        <w:rPr>
          <w:rFonts w:ascii="Arial" w:hAnsi="Arial" w:cs="Arial"/>
          <w:bCs/>
          <w:i/>
        </w:rPr>
        <w:t xml:space="preserve">Channel measurements and </w:t>
      </w:r>
      <w:proofErr w:type="spellStart"/>
      <w:r w:rsidRPr="00DB0153">
        <w:rPr>
          <w:rFonts w:ascii="Arial" w:hAnsi="Arial" w:cs="Arial"/>
          <w:bCs/>
          <w:i/>
        </w:rPr>
        <w:t>modeling</w:t>
      </w:r>
      <w:proofErr w:type="spellEnd"/>
      <w:r w:rsidRPr="00DB0153">
        <w:rPr>
          <w:rFonts w:ascii="Arial" w:hAnsi="Arial" w:cs="Arial"/>
          <w:bCs/>
          <w:i/>
        </w:rPr>
        <w:t xml:space="preserve"> in THz bands</w:t>
      </w:r>
      <w:r>
        <w:rPr>
          <w:rFonts w:ascii="Arial" w:hAnsi="Arial" w:cs="Arial"/>
          <w:b/>
          <w:bCs/>
        </w:rPr>
        <w:t xml:space="preserve">. </w:t>
      </w:r>
    </w:p>
    <w:p w14:paraId="23B75B6F" w14:textId="77777777" w:rsidR="003C412C" w:rsidRDefault="003C412C" w:rsidP="003C412C">
      <w:pPr>
        <w:jc w:val="both"/>
        <w:rPr>
          <w:rFonts w:ascii="Arial" w:hAnsi="Arial" w:cs="Arial"/>
          <w:b/>
          <w:bCs/>
        </w:rPr>
      </w:pPr>
    </w:p>
    <w:p w14:paraId="73B85478" w14:textId="48967A4A" w:rsidR="003C412C" w:rsidRPr="003C412C" w:rsidRDefault="003C412C" w:rsidP="003C41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</w:t>
      </w:r>
      <w:r w:rsidR="00DB0153">
        <w:rPr>
          <w:rFonts w:ascii="Arial" w:hAnsi="Arial" w:cs="Arial"/>
          <w:bCs/>
        </w:rPr>
        <w:t xml:space="preserve"> are currentl</w:t>
      </w:r>
      <w:r>
        <w:rPr>
          <w:rFonts w:ascii="Arial" w:hAnsi="Arial" w:cs="Arial"/>
          <w:bCs/>
        </w:rPr>
        <w:t xml:space="preserve">y in the process of compiling </w:t>
      </w:r>
      <w:r w:rsidRPr="003C412C">
        <w:rPr>
          <w:rFonts w:ascii="Arial" w:hAnsi="Arial" w:cs="Arial"/>
          <w:bCs/>
          <w:i/>
        </w:rPr>
        <w:t>DGR/THz-002 (</w:t>
      </w:r>
      <w:r>
        <w:rPr>
          <w:rFonts w:ascii="Arial" w:hAnsi="Arial" w:cs="Arial"/>
          <w:bCs/>
          <w:i/>
        </w:rPr>
        <w:t xml:space="preserve">GR), </w:t>
      </w:r>
      <w:r w:rsidRPr="003C412C">
        <w:rPr>
          <w:rFonts w:ascii="Arial" w:hAnsi="Arial" w:cs="Arial"/>
          <w:bCs/>
        </w:rPr>
        <w:t>which is due i</w:t>
      </w:r>
      <w:r>
        <w:rPr>
          <w:rFonts w:ascii="Arial" w:hAnsi="Arial" w:cs="Arial"/>
          <w:bCs/>
        </w:rPr>
        <w:t>n November 2023. In your liaison statement dated</w:t>
      </w:r>
      <w:r w:rsidRPr="003C412C">
        <w:t xml:space="preserve"> </w:t>
      </w:r>
      <w:r w:rsidRPr="003C412C">
        <w:rPr>
          <w:rFonts w:ascii="Arial" w:hAnsi="Arial" w:cs="Arial"/>
          <w:bCs/>
        </w:rPr>
        <w:t>17 March 2023</w:t>
      </w:r>
      <w:r>
        <w:rPr>
          <w:rFonts w:ascii="Arial" w:hAnsi="Arial" w:cs="Arial"/>
          <w:bCs/>
        </w:rPr>
        <w:t xml:space="preserve"> you offered to </w:t>
      </w:r>
      <w:r w:rsidRPr="003C412C">
        <w:rPr>
          <w:rFonts w:ascii="Arial" w:hAnsi="Arial" w:cs="Arial"/>
          <w:bCs/>
        </w:rPr>
        <w:t xml:space="preserve">provide ETSI ISG THz </w:t>
      </w:r>
      <w:r>
        <w:rPr>
          <w:rFonts w:ascii="Arial" w:hAnsi="Arial" w:cs="Arial"/>
          <w:bCs/>
        </w:rPr>
        <w:t xml:space="preserve">on request </w:t>
      </w:r>
      <w:r w:rsidRPr="003C412C">
        <w:rPr>
          <w:rFonts w:ascii="Arial" w:hAnsi="Arial" w:cs="Arial"/>
          <w:bCs/>
        </w:rPr>
        <w:t>with the revised channel plan once a stable draft of the revised standard</w:t>
      </w:r>
      <w:r>
        <w:rPr>
          <w:rFonts w:ascii="Arial" w:hAnsi="Arial" w:cs="Arial"/>
          <w:bCs/>
        </w:rPr>
        <w:t>s project IEEE P802.15.3mb is available.</w:t>
      </w:r>
    </w:p>
    <w:p w14:paraId="66D75127" w14:textId="043D97F2" w:rsidR="00385EF9" w:rsidRDefault="00385EF9" w:rsidP="003C412C">
      <w:pPr>
        <w:jc w:val="both"/>
        <w:rPr>
          <w:rFonts w:ascii="Arial" w:hAnsi="Arial" w:cs="Arial"/>
          <w:bCs/>
        </w:rPr>
      </w:pPr>
    </w:p>
    <w:p w14:paraId="70BE1700" w14:textId="0D5C8C55" w:rsidR="003C412C" w:rsidRDefault="003C412C" w:rsidP="003C41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would appreciate very much, if you could please provide us with this channel plan for inclusion in this report.</w:t>
      </w:r>
    </w:p>
    <w:p w14:paraId="5C9F32E7" w14:textId="77777777" w:rsidR="003C412C" w:rsidRDefault="003C412C" w:rsidP="00E35595">
      <w:pPr>
        <w:rPr>
          <w:rFonts w:ascii="Arial" w:hAnsi="Arial" w:cs="Arial"/>
          <w:bCs/>
        </w:rPr>
      </w:pPr>
    </w:p>
    <w:p w14:paraId="6270A4E7" w14:textId="362B1CE8" w:rsidR="003C412C" w:rsidRDefault="003C412C" w:rsidP="00E355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Best regards</w:t>
      </w:r>
    </w:p>
    <w:p w14:paraId="58FB279A" w14:textId="77777777" w:rsidR="003C412C" w:rsidRDefault="003C412C" w:rsidP="00E35595">
      <w:pPr>
        <w:rPr>
          <w:rFonts w:ascii="Arial" w:hAnsi="Arial" w:cs="Arial"/>
          <w:bCs/>
        </w:rPr>
      </w:pPr>
    </w:p>
    <w:p w14:paraId="25657AE9" w14:textId="3551AC83" w:rsidR="003C412C" w:rsidRDefault="003C412C" w:rsidP="00E355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Thomas Kürner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C412C">
        <w:rPr>
          <w:rFonts w:ascii="Arial" w:hAnsi="Arial" w:cs="Arial"/>
          <w:bCs/>
        </w:rPr>
        <w:t>Nicolae Madalin Neag</w:t>
      </w:r>
    </w:p>
    <w:p w14:paraId="37F962EA" w14:textId="06CFAB24" w:rsidR="003C412C" w:rsidRDefault="003C412C" w:rsidP="003C412C">
      <w:pPr>
        <w:rPr>
          <w:rFonts w:ascii="Arial" w:hAnsi="Arial" w:cs="Arial"/>
        </w:rPr>
      </w:pPr>
      <w:r>
        <w:rPr>
          <w:rFonts w:ascii="Arial" w:hAnsi="Arial" w:cs="Arial"/>
          <w:bCs/>
        </w:rPr>
        <w:t>Chair ETSI ISG THz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Technical Officer ETSI ISG THz</w:t>
      </w:r>
    </w:p>
    <w:p w14:paraId="2F00C194" w14:textId="603DA540" w:rsidR="003C412C" w:rsidRDefault="003C412C" w:rsidP="00E35595">
      <w:pPr>
        <w:rPr>
          <w:rFonts w:ascii="Arial" w:hAnsi="Arial" w:cs="Arial"/>
        </w:rPr>
      </w:pPr>
    </w:p>
    <w:sectPr w:rsidR="003C412C" w:rsidSect="007F05C7">
      <w:headerReference w:type="default" r:id="rId8"/>
      <w:footerReference w:type="default" r:id="rId9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8F25" w14:textId="77777777" w:rsidR="00FA6594" w:rsidRDefault="00FA6594" w:rsidP="00D9435B">
      <w:r>
        <w:separator/>
      </w:r>
    </w:p>
  </w:endnote>
  <w:endnote w:type="continuationSeparator" w:id="0">
    <w:p w14:paraId="5C17A682" w14:textId="77777777" w:rsidR="00FA6594" w:rsidRDefault="00FA6594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3FC1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610CB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610CBA" w:rsidRPr="0083399D">
      <w:rPr>
        <w:rFonts w:ascii="Arial" w:hAnsi="Arial" w:cs="Arial"/>
      </w:rPr>
      <w:fldChar w:fldCharType="separate"/>
    </w:r>
    <w:r w:rsidR="008D49C3">
      <w:rPr>
        <w:rFonts w:ascii="Arial" w:hAnsi="Arial" w:cs="Arial"/>
        <w:noProof/>
      </w:rPr>
      <w:t>2</w:t>
    </w:r>
    <w:r w:rsidR="00610CB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C04DCE">
      <w:rPr>
        <w:rFonts w:ascii="Arial" w:hAnsi="Arial" w:cs="Arial"/>
        <w:noProof/>
      </w:rPr>
      <w:fldChar w:fldCharType="begin"/>
    </w:r>
    <w:r w:rsidR="00C04DCE">
      <w:rPr>
        <w:rFonts w:ascii="Arial" w:hAnsi="Arial" w:cs="Arial"/>
        <w:noProof/>
      </w:rPr>
      <w:instrText xml:space="preserve"> NUMPAGES   \* MERGEFORMAT </w:instrText>
    </w:r>
    <w:r w:rsidR="00C04DCE">
      <w:rPr>
        <w:rFonts w:ascii="Arial" w:hAnsi="Arial" w:cs="Arial"/>
        <w:noProof/>
      </w:rPr>
      <w:fldChar w:fldCharType="separate"/>
    </w:r>
    <w:r w:rsidR="008D49C3">
      <w:rPr>
        <w:rFonts w:ascii="Arial" w:hAnsi="Arial" w:cs="Arial"/>
        <w:noProof/>
      </w:rPr>
      <w:t>2</w:t>
    </w:r>
    <w:r w:rsidR="00C04DC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457E" w14:textId="77777777" w:rsidR="00FA6594" w:rsidRDefault="00FA6594" w:rsidP="00D9435B">
      <w:r>
        <w:separator/>
      </w:r>
    </w:p>
  </w:footnote>
  <w:footnote w:type="continuationSeparator" w:id="0">
    <w:p w14:paraId="76E33FC5" w14:textId="77777777" w:rsidR="00FA6594" w:rsidRDefault="00FA6594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3FC0" w14:textId="4BE8F583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de-DE" w:eastAsia="de-DE"/>
      </w:rPr>
      <w:drawing>
        <wp:anchor distT="0" distB="0" distL="114300" distR="114300" simplePos="0" relativeHeight="251662848" behindDoc="1" locked="0" layoutInCell="1" allowOverlap="1" wp14:anchorId="19473FC2" wp14:editId="19473FC3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426622">
      <w:rPr>
        <w:rFonts w:ascii="Arial" w:hAnsi="Arial" w:cs="Arial"/>
        <w:b/>
        <w:sz w:val="36"/>
        <w:szCs w:val="36"/>
        <w:shd w:val="clear" w:color="auto" w:fill="DBE5F1"/>
      </w:rPr>
      <w:t>THz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4B12B8">
      <w:rPr>
        <w:rFonts w:ascii="Arial" w:hAnsi="Arial" w:cs="Arial"/>
        <w:b/>
        <w:sz w:val="36"/>
        <w:szCs w:val="36"/>
        <w:shd w:val="clear" w:color="auto" w:fill="DBE5F1"/>
      </w:rPr>
      <w:t>3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8D49C3">
      <w:rPr>
        <w:rFonts w:ascii="Arial" w:hAnsi="Arial" w:cs="Arial"/>
        <w:b/>
        <w:sz w:val="36"/>
        <w:szCs w:val="36"/>
        <w:shd w:val="clear" w:color="auto" w:fill="DBE5F1"/>
      </w:rPr>
      <w:t>000141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3F09D5"/>
    <w:multiLevelType w:val="hybridMultilevel"/>
    <w:tmpl w:val="B31A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7779A"/>
    <w:multiLevelType w:val="hybridMultilevel"/>
    <w:tmpl w:val="4FE0AF88"/>
    <w:lvl w:ilvl="0" w:tplc="8F260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29C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E0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650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EE0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EE3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E32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47C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E6B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1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 w15:restartNumberingAfterBreak="0">
    <w:nsid w:val="1AD05E3D"/>
    <w:multiLevelType w:val="hybridMultilevel"/>
    <w:tmpl w:val="1DCE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66BA"/>
    <w:multiLevelType w:val="hybridMultilevel"/>
    <w:tmpl w:val="555C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07614"/>
    <w:multiLevelType w:val="hybridMultilevel"/>
    <w:tmpl w:val="F07EBF98"/>
    <w:lvl w:ilvl="0" w:tplc="DA14C18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5943331"/>
    <w:multiLevelType w:val="hybridMultilevel"/>
    <w:tmpl w:val="38F81346"/>
    <w:lvl w:ilvl="0" w:tplc="DEC48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8E1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AB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A36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4D0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C05A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0CB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C38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E99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6403A2"/>
    <w:multiLevelType w:val="hybridMultilevel"/>
    <w:tmpl w:val="27404888"/>
    <w:lvl w:ilvl="0" w:tplc="04908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EFD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A66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E84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043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02E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E9F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825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C45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9503E"/>
    <w:multiLevelType w:val="hybridMultilevel"/>
    <w:tmpl w:val="65746AE2"/>
    <w:lvl w:ilvl="0" w:tplc="C804D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43D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E3A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654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C94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8C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A68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24F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C0D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2918637">
    <w:abstractNumId w:val="18"/>
  </w:num>
  <w:num w:numId="2" w16cid:durableId="1606888229">
    <w:abstractNumId w:val="27"/>
  </w:num>
  <w:num w:numId="3" w16cid:durableId="355271002">
    <w:abstractNumId w:val="9"/>
  </w:num>
  <w:num w:numId="4" w16cid:durableId="316300067">
    <w:abstractNumId w:val="24"/>
  </w:num>
  <w:num w:numId="5" w16cid:durableId="1597864153">
    <w:abstractNumId w:val="21"/>
  </w:num>
  <w:num w:numId="6" w16cid:durableId="1541631151">
    <w:abstractNumId w:val="6"/>
  </w:num>
  <w:num w:numId="7" w16cid:durableId="1298607510">
    <w:abstractNumId w:val="4"/>
  </w:num>
  <w:num w:numId="8" w16cid:durableId="681710478">
    <w:abstractNumId w:val="3"/>
  </w:num>
  <w:num w:numId="9" w16cid:durableId="894972402">
    <w:abstractNumId w:val="2"/>
  </w:num>
  <w:num w:numId="10" w16cid:durableId="919481807">
    <w:abstractNumId w:val="1"/>
  </w:num>
  <w:num w:numId="11" w16cid:durableId="1277828458">
    <w:abstractNumId w:val="5"/>
  </w:num>
  <w:num w:numId="12" w16cid:durableId="1541547947">
    <w:abstractNumId w:val="0"/>
  </w:num>
  <w:num w:numId="13" w16cid:durableId="1397363930">
    <w:abstractNumId w:val="26"/>
  </w:num>
  <w:num w:numId="14" w16cid:durableId="1477649869">
    <w:abstractNumId w:val="10"/>
  </w:num>
  <w:num w:numId="15" w16cid:durableId="1587231848">
    <w:abstractNumId w:val="16"/>
  </w:num>
  <w:num w:numId="16" w16cid:durableId="342708579">
    <w:abstractNumId w:val="23"/>
  </w:num>
  <w:num w:numId="17" w16cid:durableId="426774851">
    <w:abstractNumId w:val="12"/>
  </w:num>
  <w:num w:numId="18" w16cid:durableId="772631714">
    <w:abstractNumId w:val="19"/>
  </w:num>
  <w:num w:numId="19" w16cid:durableId="588319932">
    <w:abstractNumId w:val="17"/>
  </w:num>
  <w:num w:numId="20" w16cid:durableId="1365864649">
    <w:abstractNumId w:val="22"/>
  </w:num>
  <w:num w:numId="21" w16cid:durableId="1929608069">
    <w:abstractNumId w:val="11"/>
  </w:num>
  <w:num w:numId="22" w16cid:durableId="2051220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10433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102747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339190605">
    <w:abstractNumId w:val="7"/>
  </w:num>
  <w:num w:numId="26" w16cid:durableId="2101640705">
    <w:abstractNumId w:val="14"/>
  </w:num>
  <w:num w:numId="27" w16cid:durableId="421492650">
    <w:abstractNumId w:val="13"/>
  </w:num>
  <w:num w:numId="28" w16cid:durableId="1581333432">
    <w:abstractNumId w:val="15"/>
  </w:num>
  <w:num w:numId="29" w16cid:durableId="890310763">
    <w:abstractNumId w:val="25"/>
  </w:num>
  <w:num w:numId="30" w16cid:durableId="404307607">
    <w:abstractNumId w:val="20"/>
  </w:num>
  <w:num w:numId="31" w16cid:durableId="1107383585">
    <w:abstractNumId w:val="8"/>
  </w:num>
  <w:num w:numId="32" w16cid:durableId="35091209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zEwNjcxNjAwNTBW0lEKTi0uzszPAykwrAUADq5qfywAAAA="/>
  </w:docVars>
  <w:rsids>
    <w:rsidRoot w:val="00D9435B"/>
    <w:rsid w:val="0000428F"/>
    <w:rsid w:val="0002568A"/>
    <w:rsid w:val="000B276E"/>
    <w:rsid w:val="000B2A4C"/>
    <w:rsid w:val="000B5DC8"/>
    <w:rsid w:val="000B7D58"/>
    <w:rsid w:val="000C4CB6"/>
    <w:rsid w:val="000E6FF5"/>
    <w:rsid w:val="000E7B5B"/>
    <w:rsid w:val="000F192D"/>
    <w:rsid w:val="001001DB"/>
    <w:rsid w:val="0010452D"/>
    <w:rsid w:val="00110847"/>
    <w:rsid w:val="00173546"/>
    <w:rsid w:val="00181471"/>
    <w:rsid w:val="00191D22"/>
    <w:rsid w:val="001A7916"/>
    <w:rsid w:val="001B0088"/>
    <w:rsid w:val="001B7328"/>
    <w:rsid w:val="001B7C65"/>
    <w:rsid w:val="001C30D5"/>
    <w:rsid w:val="001E139E"/>
    <w:rsid w:val="001F4FBC"/>
    <w:rsid w:val="00202632"/>
    <w:rsid w:val="00216D13"/>
    <w:rsid w:val="002676F5"/>
    <w:rsid w:val="00297B33"/>
    <w:rsid w:val="002E378B"/>
    <w:rsid w:val="002F5958"/>
    <w:rsid w:val="003050B4"/>
    <w:rsid w:val="0031410D"/>
    <w:rsid w:val="00332028"/>
    <w:rsid w:val="003354CE"/>
    <w:rsid w:val="003428C5"/>
    <w:rsid w:val="0036058F"/>
    <w:rsid w:val="00360B8A"/>
    <w:rsid w:val="00372DAE"/>
    <w:rsid w:val="00385EF9"/>
    <w:rsid w:val="003C412C"/>
    <w:rsid w:val="003D5716"/>
    <w:rsid w:val="003E4AF3"/>
    <w:rsid w:val="004050E6"/>
    <w:rsid w:val="0041148F"/>
    <w:rsid w:val="004124A2"/>
    <w:rsid w:val="00426622"/>
    <w:rsid w:val="004410E6"/>
    <w:rsid w:val="00451D22"/>
    <w:rsid w:val="0048197C"/>
    <w:rsid w:val="004950B1"/>
    <w:rsid w:val="004A61A9"/>
    <w:rsid w:val="004A699F"/>
    <w:rsid w:val="004B12B8"/>
    <w:rsid w:val="004B1520"/>
    <w:rsid w:val="004D1743"/>
    <w:rsid w:val="00503C30"/>
    <w:rsid w:val="00516885"/>
    <w:rsid w:val="00521B98"/>
    <w:rsid w:val="00550390"/>
    <w:rsid w:val="00551F4D"/>
    <w:rsid w:val="00562B27"/>
    <w:rsid w:val="0057111E"/>
    <w:rsid w:val="00571482"/>
    <w:rsid w:val="005A0061"/>
    <w:rsid w:val="005B115B"/>
    <w:rsid w:val="005D7FA4"/>
    <w:rsid w:val="006017EC"/>
    <w:rsid w:val="00610CBA"/>
    <w:rsid w:val="00612E5A"/>
    <w:rsid w:val="00620AA5"/>
    <w:rsid w:val="00631480"/>
    <w:rsid w:val="006443B1"/>
    <w:rsid w:val="00652EEF"/>
    <w:rsid w:val="00662F5D"/>
    <w:rsid w:val="00677525"/>
    <w:rsid w:val="006830E4"/>
    <w:rsid w:val="00704C3A"/>
    <w:rsid w:val="00710006"/>
    <w:rsid w:val="0072044F"/>
    <w:rsid w:val="00723463"/>
    <w:rsid w:val="00725EB3"/>
    <w:rsid w:val="00745E27"/>
    <w:rsid w:val="00774474"/>
    <w:rsid w:val="00776B64"/>
    <w:rsid w:val="007833A7"/>
    <w:rsid w:val="007A3763"/>
    <w:rsid w:val="007C6FE5"/>
    <w:rsid w:val="007F05C7"/>
    <w:rsid w:val="00832E39"/>
    <w:rsid w:val="0083399D"/>
    <w:rsid w:val="0084740A"/>
    <w:rsid w:val="00860EDC"/>
    <w:rsid w:val="008629A9"/>
    <w:rsid w:val="008745A4"/>
    <w:rsid w:val="008810EC"/>
    <w:rsid w:val="00887234"/>
    <w:rsid w:val="008A6A11"/>
    <w:rsid w:val="008D49C3"/>
    <w:rsid w:val="008D5477"/>
    <w:rsid w:val="008F75DD"/>
    <w:rsid w:val="0091037B"/>
    <w:rsid w:val="00911477"/>
    <w:rsid w:val="00912D71"/>
    <w:rsid w:val="00913CAE"/>
    <w:rsid w:val="00924218"/>
    <w:rsid w:val="0094044F"/>
    <w:rsid w:val="00957121"/>
    <w:rsid w:val="0096449F"/>
    <w:rsid w:val="00976FE2"/>
    <w:rsid w:val="00993435"/>
    <w:rsid w:val="009F0351"/>
    <w:rsid w:val="00A27E37"/>
    <w:rsid w:val="00A43953"/>
    <w:rsid w:val="00A61734"/>
    <w:rsid w:val="00A662D9"/>
    <w:rsid w:val="00A66B81"/>
    <w:rsid w:val="00A92E7B"/>
    <w:rsid w:val="00B05ECD"/>
    <w:rsid w:val="00B14D16"/>
    <w:rsid w:val="00B20539"/>
    <w:rsid w:val="00B22603"/>
    <w:rsid w:val="00B46245"/>
    <w:rsid w:val="00B523F7"/>
    <w:rsid w:val="00B57A82"/>
    <w:rsid w:val="00B67657"/>
    <w:rsid w:val="00B703A5"/>
    <w:rsid w:val="00B837B4"/>
    <w:rsid w:val="00BA5012"/>
    <w:rsid w:val="00BB0EC1"/>
    <w:rsid w:val="00BB5244"/>
    <w:rsid w:val="00BC3C85"/>
    <w:rsid w:val="00BD3E67"/>
    <w:rsid w:val="00BE7AFE"/>
    <w:rsid w:val="00BF02D6"/>
    <w:rsid w:val="00C04D8B"/>
    <w:rsid w:val="00C04DCE"/>
    <w:rsid w:val="00C10C94"/>
    <w:rsid w:val="00C15BAD"/>
    <w:rsid w:val="00C67710"/>
    <w:rsid w:val="00C718A0"/>
    <w:rsid w:val="00C76D35"/>
    <w:rsid w:val="00C84ACB"/>
    <w:rsid w:val="00CA135C"/>
    <w:rsid w:val="00CA20A9"/>
    <w:rsid w:val="00CA65FE"/>
    <w:rsid w:val="00CC0049"/>
    <w:rsid w:val="00CE664B"/>
    <w:rsid w:val="00CE7151"/>
    <w:rsid w:val="00CF4130"/>
    <w:rsid w:val="00D01627"/>
    <w:rsid w:val="00D20DF8"/>
    <w:rsid w:val="00D23F07"/>
    <w:rsid w:val="00D9435B"/>
    <w:rsid w:val="00DA119A"/>
    <w:rsid w:val="00DA185D"/>
    <w:rsid w:val="00DA586B"/>
    <w:rsid w:val="00DA65AB"/>
    <w:rsid w:val="00DA671D"/>
    <w:rsid w:val="00DB0153"/>
    <w:rsid w:val="00DC4DF6"/>
    <w:rsid w:val="00DD200A"/>
    <w:rsid w:val="00DD314A"/>
    <w:rsid w:val="00DE2E9B"/>
    <w:rsid w:val="00DE4DB9"/>
    <w:rsid w:val="00DF6ED5"/>
    <w:rsid w:val="00E00EF0"/>
    <w:rsid w:val="00E06E1E"/>
    <w:rsid w:val="00E309BA"/>
    <w:rsid w:val="00E35595"/>
    <w:rsid w:val="00E505BC"/>
    <w:rsid w:val="00E51DB1"/>
    <w:rsid w:val="00E75F69"/>
    <w:rsid w:val="00EA0019"/>
    <w:rsid w:val="00EB16B6"/>
    <w:rsid w:val="00EB1C87"/>
    <w:rsid w:val="00EE12DB"/>
    <w:rsid w:val="00EE7092"/>
    <w:rsid w:val="00EF607B"/>
    <w:rsid w:val="00F11466"/>
    <w:rsid w:val="00F12615"/>
    <w:rsid w:val="00F62A73"/>
    <w:rsid w:val="00F9024E"/>
    <w:rsid w:val="00F9160A"/>
    <w:rsid w:val="00FA6594"/>
    <w:rsid w:val="00FD6FCC"/>
    <w:rsid w:val="00FF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73F4A"/>
  <w15:docId w15:val="{67D10E10-30F8-4CD1-BF51-9FDA5EC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92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443B1"/>
    <w:pPr>
      <w:widowControl w:val="0"/>
      <w:spacing w:after="200"/>
    </w:pPr>
    <w:rPr>
      <w:rFonts w:ascii="Calibri" w:eastAsia="SimSun" w:hAnsi="Calibri" w:cs="Arial"/>
      <w:i/>
      <w:iCs/>
      <w:color w:val="44546A"/>
      <w:sz w:val="18"/>
      <w:szCs w:val="18"/>
      <w:lang w:val="en-US"/>
    </w:rPr>
  </w:style>
  <w:style w:type="table" w:styleId="TableGrid">
    <w:name w:val="Table Grid"/>
    <w:basedOn w:val="TableNormal"/>
    <w:qFormat/>
    <w:rsid w:val="00774474"/>
    <w:pPr>
      <w:spacing w:after="160" w:line="256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E3559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5595"/>
    <w:pPr>
      <w:spacing w:after="120"/>
      <w:ind w:left="720"/>
      <w:contextualSpacing/>
    </w:pPr>
    <w:rPr>
      <w:rFonts w:eastAsia="Arial" w:cs="Arial"/>
      <w:color w:val="00000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860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739F-F1B4-431E-B8BA-2D57FE4D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LSout to Key SDOs on the Formation of the ISG THz</vt:lpstr>
      <vt:lpstr>RIS(21)001003r2 - LSout to Key SDOs on the Formation of the ISG RIS</vt:lpstr>
    </vt:vector>
  </TitlesOfParts>
  <Company>ETSI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</dc:creator>
  <cp:lastModifiedBy>Nicolae Madalin Neag</cp:lastModifiedBy>
  <cp:revision>6</cp:revision>
  <cp:lastPrinted>2010-12-06T15:51:00Z</cp:lastPrinted>
  <dcterms:created xsi:type="dcterms:W3CDTF">2023-06-16T14:10:00Z</dcterms:created>
  <dcterms:modified xsi:type="dcterms:W3CDTF">2023-07-07T14:59:00Z</dcterms:modified>
</cp:coreProperties>
</file>