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18D1CB9E" w:rsidR="00BD2237" w:rsidRPr="009E1C2B" w:rsidRDefault="008E6FF0" w:rsidP="007166EE">
            <w:pPr>
              <w:pStyle w:val="covertext"/>
              <w:snapToGrid w:val="0"/>
              <w:rPr>
                <w:b/>
              </w:rPr>
            </w:pPr>
            <w:r>
              <w:rPr>
                <w:b/>
              </w:rPr>
              <w:t>2022-01-24</w:t>
            </w:r>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0D3ECD5A" w:rsidR="00C9662F" w:rsidRDefault="00444EFA" w:rsidP="00C9662F">
      <w:pPr>
        <w:jc w:val="center"/>
        <w:rPr>
          <w:sz w:val="72"/>
        </w:rPr>
      </w:pPr>
      <w:r>
        <w:rPr>
          <w:sz w:val="72"/>
        </w:rPr>
        <w:t xml:space="preserve">March 15, </w:t>
      </w:r>
      <w:r w:rsidR="009E1C2B">
        <w:rPr>
          <w:sz w:val="72"/>
        </w:rPr>
        <w:t>202</w:t>
      </w:r>
      <w:r w:rsidR="00880A05">
        <w:rPr>
          <w:sz w:val="72"/>
        </w:rPr>
        <w:t>2</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bandwidth.</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0" w:name="_Toc69757667"/>
      <w:bookmarkStart w:id="1" w:name="_Toc69806804"/>
      <w:r w:rsidRPr="002E6683">
        <w:t>Terminology</w:t>
      </w:r>
      <w:bookmarkEnd w:id="0"/>
      <w:bookmarkEnd w:id="1"/>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proofErr w:type="spellStart"/>
      <w:r w:rsidR="00203C36" w:rsidRPr="007B2247">
        <w:t>MHz.</w:t>
      </w:r>
      <w:proofErr w:type="spellEnd"/>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proofErr w:type="gramStart"/>
      <w:r w:rsidR="00203C36" w:rsidRPr="007B2247">
        <w:t xml:space="preserve">be considered </w:t>
      </w:r>
      <w:r w:rsidR="00E06809">
        <w:t>to be</w:t>
      </w:r>
      <w:proofErr w:type="gramEnd"/>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33B631D5" w:rsidR="0006605A" w:rsidRDefault="0006605A" w:rsidP="00255034">
      <w:pPr>
        <w:pStyle w:val="ListParagraph"/>
        <w:numPr>
          <w:ilvl w:val="0"/>
          <w:numId w:val="1"/>
        </w:numPr>
        <w:jc w:val="both"/>
      </w:pPr>
      <w:r>
        <w:rPr>
          <w:b/>
          <w:bCs/>
          <w:color w:val="2E74B5" w:themeColor="accent1" w:themeShade="BF"/>
        </w:rPr>
        <w:t>Peer</w:t>
      </w:r>
      <w:r w:rsidR="00EC72B2">
        <w:rPr>
          <w:b/>
          <w:bCs/>
          <w:color w:val="2E74B5" w:themeColor="accent1" w:themeShade="BF"/>
        </w:rPr>
        <w:t>-</w:t>
      </w:r>
      <w:r>
        <w:rPr>
          <w:b/>
          <w:bCs/>
          <w:color w:val="2E74B5" w:themeColor="accent1" w:themeShade="BF"/>
        </w:rPr>
        <w:t>to</w:t>
      </w:r>
      <w:r w:rsidR="00EC72B2">
        <w:rPr>
          <w:b/>
          <w:bCs/>
          <w:color w:val="2E74B5" w:themeColor="accent1" w:themeShade="BF"/>
        </w:rPr>
        <w:t>-</w:t>
      </w:r>
      <w:r>
        <w:rPr>
          <w:b/>
          <w:bCs/>
          <w:color w:val="2E74B5" w:themeColor="accent1" w:themeShade="BF"/>
        </w:rPr>
        <w:t xml:space="preserve">peer communication: </w:t>
      </w:r>
      <w:r w:rsidRPr="008E6FF0">
        <w:t xml:space="preserve">communication between two </w:t>
      </w:r>
      <w:r w:rsidR="00062841" w:rsidRPr="00EC72B2">
        <w:t>remotes</w:t>
      </w:r>
      <w:r w:rsidR="00062841" w:rsidRPr="008E6FF0">
        <w:t>.</w:t>
      </w:r>
    </w:p>
    <w:p w14:paraId="1CCA1190" w14:textId="6967767D" w:rsidR="0006605A" w:rsidRPr="008E6FF0" w:rsidRDefault="0006605A" w:rsidP="0006605A">
      <w:pPr>
        <w:pStyle w:val="ListParagraph"/>
        <w:numPr>
          <w:ilvl w:val="0"/>
          <w:numId w:val="1"/>
        </w:numPr>
        <w:spacing w:after="0" w:line="240" w:lineRule="auto"/>
        <w:rPr>
          <w:rFonts w:ascii="Calibri" w:eastAsia="Times New Roman" w:hAnsi="Calibri" w:cs="Calibri"/>
          <w:color w:val="000000"/>
        </w:rPr>
      </w:pPr>
      <w:r w:rsidRPr="008E6FF0">
        <w:rPr>
          <w:b/>
          <w:bCs/>
          <w:color w:val="2E74B5" w:themeColor="accent1" w:themeShade="BF"/>
        </w:rPr>
        <w:t>Direct peer-to-peer communication</w:t>
      </w:r>
      <w:r>
        <w:rPr>
          <w:b/>
          <w:bCs/>
          <w:color w:val="2E74B5" w:themeColor="accent1" w:themeShade="BF"/>
        </w:rPr>
        <w:t>:</w:t>
      </w:r>
      <w:r w:rsidRPr="00C15E11">
        <w:rPr>
          <w:b/>
          <w:bCs/>
          <w:color w:val="2E74B5" w:themeColor="accent1" w:themeShade="BF"/>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w:t>
      </w:r>
      <w:r w:rsidRPr="00C15E11">
        <w:rPr>
          <w:b/>
          <w:bCs/>
          <w:color w:val="2E74B5" w:themeColor="accent1" w:themeShade="BF"/>
        </w:rPr>
        <w:t xml:space="preserve"> </w:t>
      </w:r>
      <w:r w:rsidRPr="008E6FF0">
        <w:rPr>
          <w:rFonts w:ascii="Calibri" w:eastAsia="Times New Roman" w:hAnsi="Calibri" w:cs="Calibri"/>
          <w:color w:val="000000"/>
        </w:rPr>
        <w:t xml:space="preserve">when no infrastructure is used. A </w:t>
      </w:r>
      <w:r w:rsidR="00EC72B2" w:rsidRPr="008E6FF0">
        <w:rPr>
          <w:rFonts w:ascii="Calibri" w:eastAsia="Times New Roman" w:hAnsi="Calibri" w:cs="Calibri"/>
          <w:color w:val="000000"/>
        </w:rPr>
        <w:t>DPPRS</w:t>
      </w:r>
      <w:r w:rsidR="00EC72B2" w:rsidRPr="008E6FF0" w:rsidDel="00EC72B2">
        <w:rPr>
          <w:rFonts w:ascii="Calibri" w:eastAsia="Times New Roman" w:hAnsi="Calibri" w:cs="Calibri"/>
          <w:color w:val="000000"/>
        </w:rPr>
        <w:t xml:space="preserve"> </w:t>
      </w:r>
      <w:r w:rsidRPr="008E6FF0">
        <w:rPr>
          <w:rFonts w:ascii="Calibri" w:eastAsia="Times New Roman" w:hAnsi="Calibri" w:cs="Calibri"/>
          <w:color w:val="000000"/>
        </w:rPr>
        <w:t>may be used for range extension if needed</w:t>
      </w:r>
      <w:r w:rsidR="00532D17" w:rsidRPr="008E6FF0">
        <w:rPr>
          <w:rFonts w:ascii="Calibri" w:eastAsia="Times New Roman" w:hAnsi="Calibri" w:cs="Calibri"/>
          <w:color w:val="000000"/>
        </w:rPr>
        <w:t xml:space="preserve"> (a new mode being defined in the 16t amendment)</w:t>
      </w:r>
      <w:r w:rsidR="00C15E11">
        <w:rPr>
          <w:rFonts w:ascii="Calibri" w:eastAsia="Times New Roman" w:hAnsi="Calibri" w:cs="Calibri"/>
          <w:color w:val="000000"/>
        </w:rPr>
        <w:t>.</w:t>
      </w:r>
    </w:p>
    <w:p w14:paraId="0F107564" w14:textId="58541E64" w:rsidR="0006605A" w:rsidRPr="008E6FF0" w:rsidRDefault="0006605A" w:rsidP="0006605A">
      <w:pPr>
        <w:pStyle w:val="ListParagraph"/>
        <w:numPr>
          <w:ilvl w:val="0"/>
          <w:numId w:val="1"/>
        </w:numPr>
        <w:spacing w:after="0" w:line="240" w:lineRule="auto"/>
      </w:pPr>
      <w:r w:rsidRPr="008E6FF0">
        <w:rPr>
          <w:b/>
          <w:bCs/>
          <w:color w:val="2E74B5" w:themeColor="accent1" w:themeShade="BF"/>
        </w:rPr>
        <w:t>Peer-to-peer communication through base station infrastructure</w:t>
      </w:r>
      <w:r>
        <w:rPr>
          <w:b/>
          <w:bCs/>
          <w:color w:val="2E74B5" w:themeColor="accent1" w:themeShade="BF"/>
        </w:rPr>
        <w:t>:</w:t>
      </w:r>
      <w:r w:rsidRPr="008E6FF0">
        <w:rPr>
          <w:rFonts w:ascii="Calibri" w:eastAsia="Times New Roman" w:hAnsi="Calibri" w:cs="Calibri"/>
          <w:color w:val="000000"/>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 through the </w:t>
      </w:r>
      <w:proofErr w:type="spellStart"/>
      <w:r w:rsidRPr="008E6FF0">
        <w:rPr>
          <w:rFonts w:ascii="Calibri" w:eastAsia="Times New Roman" w:hAnsi="Calibri" w:cs="Calibri"/>
          <w:color w:val="000000"/>
        </w:rPr>
        <w:t>PtMP</w:t>
      </w:r>
      <w:proofErr w:type="spellEnd"/>
      <w:r w:rsidRPr="008E6FF0">
        <w:rPr>
          <w:rFonts w:ascii="Calibri" w:eastAsia="Times New Roman" w:hAnsi="Calibri" w:cs="Calibri"/>
          <w:color w:val="000000"/>
        </w:rPr>
        <w:t xml:space="preserve"> base station infrastructure</w:t>
      </w:r>
      <w:r w:rsidR="003D09AA" w:rsidRPr="008E6FF0">
        <w:rPr>
          <w:rFonts w:ascii="Calibri" w:eastAsia="Times New Roman" w:hAnsi="Calibri" w:cs="Calibri"/>
          <w:color w:val="000000"/>
        </w:rPr>
        <w:t xml:space="preserve"> (already defined in 802.16-2017 as multi-hop relay)</w:t>
      </w:r>
      <w:r w:rsidR="00C15E11">
        <w:rPr>
          <w:rFonts w:ascii="Calibri" w:eastAsia="Times New Roman" w:hAnsi="Calibri" w:cs="Calibri"/>
          <w:color w:val="000000"/>
        </w:rPr>
        <w:t>.</w:t>
      </w:r>
    </w:p>
    <w:p w14:paraId="49835AD1" w14:textId="6B427982" w:rsidR="00532D17" w:rsidRPr="008E6FF0" w:rsidRDefault="00532D17" w:rsidP="0006605A">
      <w:pPr>
        <w:pStyle w:val="ListParagraph"/>
        <w:numPr>
          <w:ilvl w:val="0"/>
          <w:numId w:val="1"/>
        </w:numPr>
        <w:spacing w:after="0" w:line="240" w:lineRule="auto"/>
        <w:rPr>
          <w:b/>
          <w:bCs/>
          <w:color w:val="2E74B5" w:themeColor="accent1" w:themeShade="BF"/>
        </w:rPr>
      </w:pPr>
      <w:r w:rsidRPr="008E6FF0">
        <w:rPr>
          <w:b/>
          <w:bCs/>
          <w:color w:val="2E74B5" w:themeColor="accent1" w:themeShade="BF"/>
        </w:rPr>
        <w:t>Direct Peer</w:t>
      </w:r>
      <w:r w:rsidR="00EC72B2">
        <w:rPr>
          <w:b/>
          <w:bCs/>
          <w:color w:val="2E74B5" w:themeColor="accent1" w:themeShade="BF"/>
        </w:rPr>
        <w:t>-</w:t>
      </w:r>
      <w:r w:rsidRPr="008E6FF0">
        <w:rPr>
          <w:b/>
          <w:bCs/>
          <w:color w:val="2E74B5" w:themeColor="accent1" w:themeShade="BF"/>
        </w:rPr>
        <w:t>to</w:t>
      </w:r>
      <w:r w:rsidR="00EC72B2">
        <w:rPr>
          <w:b/>
          <w:bCs/>
          <w:color w:val="2E74B5" w:themeColor="accent1" w:themeShade="BF"/>
        </w:rPr>
        <w:t>-</w:t>
      </w:r>
      <w:r w:rsidRPr="008E6FF0">
        <w:rPr>
          <w:b/>
          <w:bCs/>
          <w:color w:val="2E74B5" w:themeColor="accent1" w:themeShade="BF"/>
        </w:rPr>
        <w:t xml:space="preserve">Peer </w:t>
      </w:r>
      <w:r>
        <w:rPr>
          <w:b/>
          <w:bCs/>
          <w:color w:val="2E74B5" w:themeColor="accent1" w:themeShade="BF"/>
        </w:rPr>
        <w:t xml:space="preserve">Repeater </w:t>
      </w:r>
      <w:r w:rsidRPr="008E6FF0">
        <w:rPr>
          <w:b/>
          <w:bCs/>
          <w:color w:val="2E74B5" w:themeColor="accent1" w:themeShade="BF"/>
        </w:rPr>
        <w:t>Station (DPPRS)</w:t>
      </w:r>
      <w:r>
        <w:rPr>
          <w:b/>
          <w:bCs/>
          <w:color w:val="2E74B5" w:themeColor="accent1" w:themeShade="BF"/>
        </w:rPr>
        <w:t>:</w:t>
      </w:r>
      <w:r w:rsidRPr="00C15E11">
        <w:rPr>
          <w:b/>
          <w:bCs/>
          <w:color w:val="2E74B5" w:themeColor="accent1" w:themeShade="BF"/>
        </w:rPr>
        <w:t xml:space="preserve"> </w:t>
      </w:r>
      <w:r w:rsidRPr="008E6FF0">
        <w:rPr>
          <w:rFonts w:ascii="Calibri" w:eastAsia="Times New Roman" w:hAnsi="Calibri" w:cs="Calibri"/>
          <w:color w:val="000000"/>
        </w:rPr>
        <w:t>A repeater that uses direct peer-to-peer communication between direct peer-to-peer stations.</w:t>
      </w:r>
    </w:p>
    <w:p w14:paraId="1B7B329A" w14:textId="703C5C45" w:rsidR="00D4248C" w:rsidRPr="00C15E11" w:rsidRDefault="00D4248C" w:rsidP="00D4248C">
      <w:pPr>
        <w:pStyle w:val="ListParagraph"/>
        <w:numPr>
          <w:ilvl w:val="0"/>
          <w:numId w:val="1"/>
        </w:numPr>
        <w:spacing w:after="0" w:line="240" w:lineRule="auto"/>
        <w:rPr>
          <w:b/>
          <w:bCs/>
          <w:color w:val="2E74B5" w:themeColor="accent1" w:themeShade="BF"/>
        </w:rPr>
      </w:pPr>
      <w:r>
        <w:rPr>
          <w:b/>
          <w:bCs/>
          <w:color w:val="2E74B5" w:themeColor="accent1" w:themeShade="BF"/>
        </w:rPr>
        <w:t>Direct Peer-to-Peer Station (DPPS):</w:t>
      </w:r>
      <w:r w:rsidRPr="00C15E11">
        <w:rPr>
          <w:b/>
          <w:bCs/>
          <w:color w:val="2E74B5" w:themeColor="accent1" w:themeShade="BF"/>
        </w:rPr>
        <w:t xml:space="preserve"> </w:t>
      </w:r>
      <w:r w:rsidRPr="008E6FF0">
        <w:rPr>
          <w:rFonts w:ascii="Calibri" w:eastAsia="Times New Roman" w:hAnsi="Calibri" w:cs="Calibri"/>
          <w:color w:val="000000"/>
        </w:rPr>
        <w:t>Equipment that supports direct peer-to-peer communication.</w:t>
      </w:r>
    </w:p>
    <w:p w14:paraId="0CE04171" w14:textId="77777777" w:rsidR="0006605A" w:rsidRDefault="0006605A" w:rsidP="008E6FF0">
      <w:pPr>
        <w:ind w:left="360"/>
        <w:jc w:val="both"/>
      </w:pP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2" w:name="_Toc30167738"/>
      <w:bookmarkStart w:id="3" w:name="_Toc31271400"/>
      <w:bookmarkStart w:id="4" w:name="_Toc69757669"/>
      <w:bookmarkStart w:id="5" w:name="_Toc69806806"/>
      <w:r>
        <w:t>Effective c</w:t>
      </w:r>
      <w:r w:rsidRPr="002E6683">
        <w:t>hannels</w:t>
      </w:r>
      <w:r w:rsidR="00203C36">
        <w:t>, their partitioning into subchannel</w:t>
      </w:r>
      <w:r w:rsidR="00653B44">
        <w:t>s</w:t>
      </w:r>
      <w:r w:rsidR="00203C36">
        <w:t xml:space="preserve"> and subchannel </w:t>
      </w:r>
      <w:bookmarkEnd w:id="2"/>
      <w:bookmarkEnd w:id="3"/>
      <w:bookmarkEnd w:id="4"/>
      <w:bookmarkEnd w:id="5"/>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203C36">
        <w:lastRenderedPageBreak/>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0F5AAF" w14:textId="09B3E190" w:rsidR="00203C36" w:rsidRDefault="00201650" w:rsidP="00201650">
      <w:pPr>
        <w:pStyle w:val="Caption"/>
        <w:ind w:left="1440" w:firstLine="720"/>
      </w:pPr>
      <w:bookmarkStart w:id="6" w:name="_Ref84919517"/>
      <w:r>
        <w:t xml:space="preserve">Figure </w:t>
      </w:r>
      <w:fldSimple w:instr=" SEQ Figure \* ARABIC ">
        <w:r w:rsidR="00275D79">
          <w:rPr>
            <w:noProof/>
          </w:rPr>
          <w:t>1</w:t>
        </w:r>
      </w:fldSimple>
      <w:bookmarkEnd w:id="6"/>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7" w:name="_Ref84919524"/>
      <w:r>
        <w:t xml:space="preserve">Figure </w:t>
      </w:r>
      <w:fldSimple w:instr=" SEQ Figure \* ARABIC ">
        <w:r w:rsidR="00275D79">
          <w:rPr>
            <w:noProof/>
          </w:rPr>
          <w:t>2</w:t>
        </w:r>
      </w:fldSimple>
      <w:bookmarkEnd w:id="7"/>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lastRenderedPageBreak/>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7AA78571" w14:textId="3F46BE08" w:rsidR="00203C36" w:rsidRDefault="00201650" w:rsidP="00776B81">
      <w:pPr>
        <w:pStyle w:val="Caption"/>
        <w:jc w:val="center"/>
      </w:pPr>
      <w:bookmarkStart w:id="8" w:name="_Ref84919527"/>
      <w:r>
        <w:t xml:space="preserve">Figure </w:t>
      </w:r>
      <w:fldSimple w:instr=" SEQ Figure \* ARABIC ">
        <w:r w:rsidR="00275D79">
          <w:rPr>
            <w:noProof/>
          </w:rPr>
          <w:t>3</w:t>
        </w:r>
      </w:fldSimple>
      <w:bookmarkEnd w:id="8"/>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9" w:name="_Toc69757670"/>
      <w:bookmarkStart w:id="10" w:name="_Toc69806807"/>
      <w:r>
        <w:t>Channel span</w:t>
      </w:r>
      <w:bookmarkEnd w:id="9"/>
      <w:bookmarkEnd w:id="10"/>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and up to 10</w:t>
      </w:r>
      <w:r w:rsidR="00FE1B2A">
        <w:t> </w:t>
      </w:r>
      <w:proofErr w:type="spellStart"/>
      <w:r w:rsidR="00FE1B2A">
        <w:t>MHz</w:t>
      </w:r>
      <w:r>
        <w:t>.</w:t>
      </w:r>
      <w:proofErr w:type="spellEnd"/>
      <w:r>
        <w:t xml:space="preserve">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11" w:name="_Toc69757671"/>
      <w:bookmarkStart w:id="12" w:name="_Toc69806808"/>
      <w:r>
        <w:t>Self sufficiency</w:t>
      </w:r>
      <w:bookmarkEnd w:id="11"/>
      <w:bookmarkEnd w:id="12"/>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r>
        <w:t>Each of the remotes in the sector operate over one subchannel group.</w:t>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56ACC092"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able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13" w:name="_Toc69806809"/>
      <w:r>
        <w:t>Waveform</w:t>
      </w:r>
      <w:bookmarkEnd w:id="13"/>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14" w:name="_Toc69757672"/>
      <w:bookmarkStart w:id="15" w:name="_Toc69806810"/>
      <w:bookmarkStart w:id="16" w:name="_Toc30167739"/>
      <w:bookmarkStart w:id="17" w:name="_Toc31271401"/>
      <w:r>
        <w:t>Frame structure</w:t>
      </w:r>
      <w:bookmarkEnd w:id="14"/>
      <w:bookmarkEnd w:id="15"/>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18" w:name="_Toc69757673"/>
      <w:bookmarkStart w:id="19" w:name="_Toc69806811"/>
      <w:r w:rsidRPr="00D90242">
        <w:t>TDD Frame Structure</w:t>
      </w:r>
      <w:bookmarkEnd w:id="16"/>
      <w:bookmarkEnd w:id="17"/>
      <w:bookmarkEnd w:id="18"/>
      <w:bookmarkEnd w:id="19"/>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2451FAB3" w:rsidR="00203C36" w:rsidRDefault="00BE5001" w:rsidP="00BE5001">
      <w:pPr>
        <w:pStyle w:val="Caption"/>
        <w:jc w:val="center"/>
      </w:pPr>
      <w:bookmarkStart w:id="20" w:name="_Ref84919619"/>
      <w:r>
        <w:t xml:space="preserve">Figure </w:t>
      </w:r>
      <w:fldSimple w:instr=" SEQ Figure \* ARABIC ">
        <w:r w:rsidR="00275D79">
          <w:rPr>
            <w:noProof/>
          </w:rPr>
          <w:t>4</w:t>
        </w:r>
      </w:fldSimple>
      <w:bookmarkEnd w:id="20"/>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21" w:name="_Ref84919632"/>
      <w:r>
        <w:t xml:space="preserve">Figure </w:t>
      </w:r>
      <w:fldSimple w:instr=" SEQ Figure \* ARABIC ">
        <w:r w:rsidR="00275D79">
          <w:rPr>
            <w:noProof/>
          </w:rPr>
          <w:t>5</w:t>
        </w:r>
      </w:fldSimple>
      <w:bookmarkEnd w:id="21"/>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22" w:name="_Ref84919639"/>
      <w:r>
        <w:t xml:space="preserve">Figure </w:t>
      </w:r>
      <w:fldSimple w:instr=" SEQ Figure \* ARABIC ">
        <w:r w:rsidR="00275D79">
          <w:rPr>
            <w:noProof/>
          </w:rPr>
          <w:t>6</w:t>
        </w:r>
      </w:fldSimple>
      <w:bookmarkEnd w:id="22"/>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3A60B27F"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3A26BF6" w:rsidR="00203C36" w:rsidRPr="007B2247" w:rsidRDefault="00203C36" w:rsidP="00203C36"/>
    <w:p w14:paraId="1E0CBFDC" w14:textId="618BDB62" w:rsidR="00203C36" w:rsidRPr="00F73AAB" w:rsidRDefault="00203C36" w:rsidP="001A4878">
      <w:pPr>
        <w:pStyle w:val="ListParagraph"/>
        <w:keepNext/>
        <w:keepLines/>
        <w:numPr>
          <w:ilvl w:val="0"/>
          <w:numId w:val="5"/>
        </w:numPr>
        <w:jc w:val="both"/>
      </w:pPr>
      <w:bookmarkStart w:id="23" w:name="_Toc30167740"/>
      <w:bookmarkStart w:id="24" w:name="_Toc31271402"/>
      <w:bookmarkStart w:id="25" w:name="_Toc69757674"/>
      <w:r w:rsidRPr="007B2247">
        <w:lastRenderedPageBreak/>
        <w:t>Frame Duration</w:t>
      </w:r>
      <w:bookmarkEnd w:id="23"/>
      <w:bookmarkEnd w:id="24"/>
      <w:bookmarkEnd w:id="25"/>
    </w:p>
    <w:p w14:paraId="74961BD0" w14:textId="33A187A2" w:rsidR="00592E4C" w:rsidRDefault="00203C36" w:rsidP="001A4878">
      <w:pPr>
        <w:keepNext/>
        <w:keepLines/>
        <w:ind w:left="720"/>
        <w:jc w:val="both"/>
      </w:pPr>
      <w:bookmarkStart w:id="26"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26"/>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27" w:name="_Ref84919067"/>
      <w:r>
        <w:t xml:space="preserve">Table </w:t>
      </w:r>
      <w:fldSimple w:instr=" SEQ Table \* ARABIC ">
        <w:r>
          <w:rPr>
            <w:noProof/>
          </w:rPr>
          <w:t>1</w:t>
        </w:r>
      </w:fldSimple>
      <w:bookmarkEnd w:id="27"/>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28" w:name="_Toc30167741"/>
      <w:bookmarkStart w:id="29" w:name="_Toc31271403"/>
      <w:bookmarkStart w:id="30" w:name="_Toc69757675"/>
      <w:r w:rsidRPr="007B2247">
        <w:t>TTG and RTG configuration</w:t>
      </w:r>
      <w:bookmarkEnd w:id="28"/>
      <w:bookmarkEnd w:id="29"/>
      <w:bookmarkEnd w:id="30"/>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31" w:name="_Toc69806814"/>
      <w:bookmarkStart w:id="32" w:name="_Ref32241721"/>
      <w:r>
        <w:lastRenderedPageBreak/>
        <w:t>Resolution of air interface resource allocation</w:t>
      </w:r>
      <w:bookmarkEnd w:id="31"/>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33" w:name="_Toc69806815"/>
      <w:bookmarkStart w:id="34" w:name="_Ref74151410"/>
      <w:bookmarkStart w:id="35" w:name="_Ref74155404"/>
      <w:r>
        <w:t>Bins and slots</w:t>
      </w:r>
      <w:bookmarkEnd w:id="33"/>
      <w:bookmarkEnd w:id="34"/>
      <w:bookmarkEnd w:id="35"/>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32"/>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36" w:name="_Ref84919036"/>
      <w:r>
        <w:t xml:space="preserve">Figure </w:t>
      </w:r>
      <w:fldSimple w:instr=" SEQ Figure \* ARABIC ">
        <w:r w:rsidR="00275D79">
          <w:rPr>
            <w:noProof/>
          </w:rPr>
          <w:t>8</w:t>
        </w:r>
      </w:fldSimple>
      <w:bookmarkEnd w:id="36"/>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37" w:name="_Ref84919888"/>
      <w:r>
        <w:t xml:space="preserve">Figure </w:t>
      </w:r>
      <w:fldSimple w:instr=" SEQ Figure \* ARABIC ">
        <w:r w:rsidR="00275D79">
          <w:rPr>
            <w:noProof/>
          </w:rPr>
          <w:t>9</w:t>
        </w:r>
      </w:fldSimple>
      <w:bookmarkEnd w:id="37"/>
      <w:r>
        <w:t>: Slot Definition</w:t>
      </w:r>
    </w:p>
    <w:p w14:paraId="4F61C071" w14:textId="7365B911" w:rsidR="00203C36" w:rsidRPr="007B2247" w:rsidRDefault="00203C36" w:rsidP="00A87929">
      <w:pPr>
        <w:pStyle w:val="Heading3"/>
      </w:pPr>
      <w:bookmarkStart w:id="38" w:name="_Ref32241862"/>
      <w:bookmarkStart w:id="39" w:name="_Toc69806816"/>
      <w:r w:rsidRPr="007B2247">
        <w:t>Modulation and FEC Rates:</w:t>
      </w:r>
      <w:bookmarkEnd w:id="38"/>
      <w:bookmarkEnd w:id="39"/>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40" w:name="_Resource_Allocation:"/>
      <w:bookmarkStart w:id="41" w:name="_Ref84919086"/>
      <w:bookmarkEnd w:id="40"/>
      <w:r>
        <w:t xml:space="preserve">Table </w:t>
      </w:r>
      <w:fldSimple w:instr=" SEQ Table \* ARABIC ">
        <w:r>
          <w:rPr>
            <w:noProof/>
          </w:rPr>
          <w:t>2</w:t>
        </w:r>
      </w:fldSimple>
      <w:bookmarkEnd w:id="41"/>
      <w:r>
        <w:t xml:space="preserve">: </w:t>
      </w:r>
      <w:r w:rsidRPr="0074244F">
        <w:t>Modulation and FEC rate</w:t>
      </w:r>
    </w:p>
    <w:p w14:paraId="04E547B5" w14:textId="77777777" w:rsidR="00203C36" w:rsidRPr="007B2247" w:rsidRDefault="00203C36" w:rsidP="0095011B">
      <w:pPr>
        <w:pStyle w:val="Heading3"/>
      </w:pPr>
      <w:bookmarkStart w:id="42" w:name="_Ref32241898"/>
      <w:bookmarkStart w:id="43" w:name="_Toc69806817"/>
      <w:r>
        <w:lastRenderedPageBreak/>
        <w:t>Mapping of bins into slots &amp; bytes vs MCS</w:t>
      </w:r>
      <w:bookmarkEnd w:id="42"/>
      <w:bookmarkEnd w:id="43"/>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44" w:name="_Ref84919103"/>
      <w:bookmarkStart w:id="45" w:name="_Ref84919310"/>
      <w:r>
        <w:t xml:space="preserve">Table </w:t>
      </w:r>
      <w:fldSimple w:instr=" SEQ Table \* ARABIC ">
        <w:r>
          <w:rPr>
            <w:noProof/>
          </w:rPr>
          <w:t>3</w:t>
        </w:r>
      </w:fldSimple>
      <w:bookmarkEnd w:id="44"/>
      <w:r>
        <w:t>: Mapping of bins into bytes and slots</w:t>
      </w:r>
      <w:bookmarkEnd w:id="45"/>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46" w:name="_Toc74057534"/>
    </w:p>
    <w:p w14:paraId="3151F027" w14:textId="00C6C488" w:rsidR="009056D0" w:rsidRPr="007B2247" w:rsidRDefault="009056D0" w:rsidP="002063F4">
      <w:pPr>
        <w:pStyle w:val="Heading2"/>
      </w:pPr>
      <w:r w:rsidRPr="002E6683">
        <w:lastRenderedPageBreak/>
        <w:t>Downlink</w:t>
      </w:r>
      <w:bookmarkEnd w:id="46"/>
    </w:p>
    <w:p w14:paraId="2F76D9C4" w14:textId="77777777" w:rsidR="009056D0" w:rsidRDefault="009056D0" w:rsidP="002063F4">
      <w:pPr>
        <w:pStyle w:val="Heading3"/>
      </w:pPr>
      <w:bookmarkStart w:id="47" w:name="_Toc74057535"/>
      <w:bookmarkStart w:id="48" w:name="_Toc30167743"/>
      <w:bookmarkStart w:id="49" w:name="_Toc31271405"/>
      <w:r w:rsidRPr="007B2247">
        <w:t>D</w:t>
      </w:r>
      <w:r>
        <w:t>ata</w:t>
      </w:r>
      <w:bookmarkEnd w:id="47"/>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50"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50"/>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51" w:name="_Toc74148891"/>
      <w:r>
        <w:t xml:space="preserve">Figure </w:t>
      </w:r>
      <w:fldSimple w:instr=" SEQ Figure \* ARABIC ">
        <w:r w:rsidR="00275D79">
          <w:rPr>
            <w:noProof/>
          </w:rPr>
          <w:t>11</w:t>
        </w:r>
      </w:fldSimple>
      <w:r w:rsidR="0085472B">
        <w:t>: DL TX Chain with Convolutional Turbo Codes (CTC)</w:t>
      </w:r>
      <w:bookmarkEnd w:id="51"/>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52" w:name="_Toc74057536"/>
      <w:r>
        <w:t>Preamble</w:t>
      </w:r>
      <w:bookmarkEnd w:id="48"/>
      <w:bookmarkEnd w:id="49"/>
      <w:bookmarkEnd w:id="52"/>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53" w:name="_Ref84919388"/>
      <w:bookmarkStart w:id="54" w:name="_Ref32228951"/>
      <w:bookmarkStart w:id="55" w:name="_Toc74057721"/>
      <w:r>
        <w:t xml:space="preserve">Figure </w:t>
      </w:r>
      <w:fldSimple w:instr=" SEQ Figure \* ARABIC ">
        <w:r w:rsidR="00275D79">
          <w:rPr>
            <w:noProof/>
          </w:rPr>
          <w:t>12</w:t>
        </w:r>
      </w:fldSimple>
      <w:bookmarkEnd w:id="53"/>
      <w:r>
        <w:t xml:space="preserve">: </w:t>
      </w:r>
      <w:r w:rsidRPr="00CC49F3">
        <w:t>Preamble in Various P</w:t>
      </w:r>
      <w:r w:rsidR="00761016">
        <w:t>artitioned Continuous</w:t>
      </w:r>
      <w:r w:rsidRPr="00CC49F3">
        <w:t xml:space="preserve"> </w:t>
      </w:r>
      <w:r w:rsidR="00F927BD">
        <w:t xml:space="preserve">effective </w:t>
      </w:r>
      <w:r w:rsidRPr="00CC49F3">
        <w:t>channels</w:t>
      </w:r>
      <w:bookmarkEnd w:id="54"/>
      <w:bookmarkEnd w:id="55"/>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56" w:name="_Toc12989402"/>
      <w:bookmarkStart w:id="57" w:name="_Toc30167745"/>
      <w:bookmarkStart w:id="58" w:name="_Toc31271407"/>
    </w:p>
    <w:p w14:paraId="6E2C77FC" w14:textId="77777777" w:rsidR="009056D0" w:rsidRDefault="009056D0" w:rsidP="00A87929">
      <w:pPr>
        <w:pStyle w:val="Heading3"/>
      </w:pPr>
      <w:bookmarkStart w:id="59" w:name="_Toc74057537"/>
      <w:bookmarkStart w:id="60" w:name="_Toc74057538"/>
      <w:bookmarkStart w:id="61" w:name="_Toc74057539"/>
      <w:bookmarkEnd w:id="59"/>
      <w:bookmarkEnd w:id="60"/>
      <w:r>
        <w:t>FCH</w:t>
      </w:r>
      <w:bookmarkEnd w:id="61"/>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62"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62"/>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63" w:name="_Toc74057540"/>
      <w:bookmarkStart w:id="64" w:name="_Toc74057541"/>
      <w:bookmarkStart w:id="65" w:name="_Toc74057542"/>
      <w:bookmarkEnd w:id="56"/>
      <w:bookmarkEnd w:id="57"/>
      <w:bookmarkEnd w:id="58"/>
      <w:bookmarkEnd w:id="63"/>
      <w:bookmarkEnd w:id="64"/>
      <w:r>
        <w:t>IOT-MAP</w:t>
      </w:r>
      <w:bookmarkEnd w:id="65"/>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66" w:name="_Toc74057723"/>
      <w:r>
        <w:t xml:space="preserve">Figure </w:t>
      </w:r>
      <w:fldSimple w:instr=" SEQ Figure \* ARABIC ">
        <w:r w:rsidR="00275D79">
          <w:rPr>
            <w:noProof/>
          </w:rPr>
          <w:t>14</w:t>
        </w:r>
      </w:fldSimple>
      <w:r>
        <w:t xml:space="preserve"> </w:t>
      </w:r>
      <w:r w:rsidRPr="00C94304">
        <w:t>Downlink IOT-MAP</w:t>
      </w:r>
      <w:bookmarkEnd w:id="66"/>
    </w:p>
    <w:p w14:paraId="3714BEAF" w14:textId="77777777" w:rsidR="009056D0" w:rsidRPr="007B2247" w:rsidRDefault="009056D0" w:rsidP="002063F4">
      <w:pPr>
        <w:pStyle w:val="Heading2"/>
      </w:pPr>
      <w:bookmarkStart w:id="67" w:name="_Toc74057543"/>
      <w:bookmarkStart w:id="68" w:name="_Toc74057544"/>
      <w:bookmarkStart w:id="69" w:name="_Toc74057545"/>
      <w:bookmarkStart w:id="70" w:name="_Toc74057546"/>
      <w:bookmarkStart w:id="71" w:name="_Toc74057547"/>
      <w:bookmarkStart w:id="72" w:name="_Toc74057548"/>
      <w:bookmarkStart w:id="73" w:name="_Toc74057549"/>
      <w:bookmarkStart w:id="74" w:name="_Toc74057550"/>
      <w:bookmarkStart w:id="75" w:name="_Toc74057551"/>
      <w:bookmarkStart w:id="76" w:name="_Toc74057552"/>
      <w:bookmarkStart w:id="77" w:name="_Toc74057553"/>
      <w:bookmarkStart w:id="78" w:name="_Toc74057554"/>
      <w:bookmarkStart w:id="79" w:name="_Toc74057555"/>
      <w:bookmarkStart w:id="80" w:name="_Toc74057557"/>
      <w:bookmarkStart w:id="81" w:name="_Toc74057558"/>
      <w:bookmarkStart w:id="82" w:name="_Toc74057560"/>
      <w:bookmarkStart w:id="83" w:name="_Toc74057561"/>
      <w:bookmarkStart w:id="84" w:name="_Toc74057563"/>
      <w:bookmarkStart w:id="85" w:name="_Toc74057564"/>
      <w:bookmarkStart w:id="86" w:name="_Toc74057566"/>
      <w:bookmarkStart w:id="87" w:name="_Toc74057567"/>
      <w:bookmarkStart w:id="88" w:name="_Toc74057569"/>
      <w:bookmarkStart w:id="89" w:name="_Toc74057570"/>
      <w:bookmarkStart w:id="90" w:name="_Toc74057572"/>
      <w:bookmarkStart w:id="91" w:name="_Toc74057573"/>
      <w:bookmarkStart w:id="92" w:name="_Toc74057575"/>
      <w:bookmarkStart w:id="93" w:name="_Toc74057576"/>
      <w:bookmarkStart w:id="94" w:name="_Toc74057578"/>
      <w:bookmarkStart w:id="95" w:name="_Toc74057579"/>
      <w:bookmarkStart w:id="96" w:name="_Toc74057580"/>
      <w:bookmarkStart w:id="97" w:name="_Toc74057581"/>
      <w:bookmarkStart w:id="98" w:name="_Toc74057582"/>
      <w:bookmarkStart w:id="99" w:name="_Toc74057583"/>
      <w:bookmarkStart w:id="100" w:name="_Toc74057584"/>
      <w:bookmarkStart w:id="101" w:name="_Toc74057585"/>
      <w:bookmarkStart w:id="102" w:name="_Toc74057586"/>
      <w:bookmarkStart w:id="103" w:name="_Toc74057587"/>
      <w:bookmarkStart w:id="104" w:name="_Toc74057588"/>
      <w:bookmarkStart w:id="105" w:name="_Toc74057589"/>
      <w:bookmarkStart w:id="106" w:name="_Toc74057590"/>
      <w:bookmarkStart w:id="107" w:name="_Toc74057591"/>
      <w:bookmarkStart w:id="108" w:name="_Toc74057593"/>
      <w:bookmarkStart w:id="109" w:name="_Toc74057594"/>
      <w:bookmarkStart w:id="110" w:name="_Toc74057595"/>
      <w:bookmarkStart w:id="111" w:name="_Toc74057596"/>
      <w:bookmarkStart w:id="112" w:name="_Toc74057597"/>
      <w:bookmarkStart w:id="113" w:name="_Toc74057598"/>
      <w:bookmarkStart w:id="114" w:name="_Toc74057600"/>
      <w:bookmarkStart w:id="115" w:name="_Toc74057601"/>
      <w:bookmarkStart w:id="116" w:name="_Toc74057602"/>
      <w:bookmarkStart w:id="117" w:name="_Toc74057603"/>
      <w:bookmarkStart w:id="118" w:name="_Toc74057604"/>
      <w:bookmarkStart w:id="119" w:name="_Toc74057605"/>
      <w:bookmarkStart w:id="120" w:name="_Toc74057607"/>
      <w:bookmarkStart w:id="121" w:name="_Toc74057608"/>
      <w:bookmarkStart w:id="122" w:name="_Toc74057609"/>
      <w:bookmarkStart w:id="123" w:name="_Toc74057610"/>
      <w:bookmarkStart w:id="124" w:name="_Toc74057611"/>
      <w:bookmarkStart w:id="125" w:name="_Toc74057612"/>
      <w:bookmarkStart w:id="126" w:name="_Toc74057614"/>
      <w:bookmarkStart w:id="127" w:name="_Toc74057615"/>
      <w:bookmarkStart w:id="128" w:name="_Toc74057616"/>
      <w:bookmarkStart w:id="129" w:name="_Toc74057617"/>
      <w:bookmarkStart w:id="130" w:name="_Toc74057618"/>
      <w:bookmarkStart w:id="131" w:name="_Toc74057619"/>
      <w:bookmarkStart w:id="132" w:name="_Toc74057621"/>
      <w:bookmarkStart w:id="133" w:name="_Toc74057622"/>
      <w:bookmarkStart w:id="134" w:name="_Toc74057623"/>
      <w:bookmarkStart w:id="135" w:name="_Toc74057624"/>
      <w:bookmarkStart w:id="136" w:name="_Toc74057625"/>
      <w:bookmarkStart w:id="137" w:name="_Toc74057626"/>
      <w:bookmarkStart w:id="138" w:name="_Toc74057628"/>
      <w:bookmarkStart w:id="139" w:name="_Toc74057629"/>
      <w:bookmarkStart w:id="140" w:name="_Toc74057630"/>
      <w:bookmarkStart w:id="141" w:name="_Toc74057631"/>
      <w:bookmarkStart w:id="142" w:name="_Toc74057632"/>
      <w:bookmarkStart w:id="143" w:name="_Toc74057633"/>
      <w:bookmarkStart w:id="144" w:name="_Toc74057635"/>
      <w:bookmarkStart w:id="145" w:name="_Toc74057636"/>
      <w:bookmarkStart w:id="146" w:name="_Toc74057637"/>
      <w:bookmarkStart w:id="147" w:name="_Toc74057638"/>
      <w:bookmarkStart w:id="148" w:name="_Toc74057639"/>
      <w:bookmarkStart w:id="149" w:name="_Toc74057640"/>
      <w:bookmarkStart w:id="150" w:name="_Toc74057642"/>
      <w:bookmarkStart w:id="151" w:name="_Toc74057643"/>
      <w:bookmarkStart w:id="152" w:name="_Toc74057644"/>
      <w:bookmarkStart w:id="153" w:name="_Toc74057645"/>
      <w:bookmarkStart w:id="154" w:name="_Toc74057646"/>
      <w:bookmarkStart w:id="155" w:name="_Toc74057647"/>
      <w:bookmarkStart w:id="156" w:name="_Toc74057648"/>
      <w:bookmarkStart w:id="157" w:name="_Toc74057649"/>
      <w:bookmarkStart w:id="158" w:name="_Toc74057650"/>
      <w:bookmarkStart w:id="159" w:name="_Toc74057651"/>
      <w:bookmarkStart w:id="160" w:name="_Toc74057654"/>
      <w:bookmarkStart w:id="161" w:name="_Hlk12975836"/>
      <w:bookmarkStart w:id="162" w:name="_Toc74057655"/>
      <w:bookmarkStart w:id="163" w:name="_Toc74057656"/>
      <w:bookmarkStart w:id="164" w:name="_Toc74057657"/>
      <w:bookmarkStart w:id="165" w:name="_Toc74057658"/>
      <w:bookmarkStart w:id="166" w:name="_Toc74057659"/>
      <w:bookmarkStart w:id="167" w:name="_Toc74057660"/>
      <w:bookmarkStart w:id="168" w:name="_Toc30167747"/>
      <w:bookmarkStart w:id="169" w:name="_Toc31271409"/>
      <w:bookmarkStart w:id="170" w:name="_Toc7405766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2E6683">
        <w:lastRenderedPageBreak/>
        <w:t>Uplink</w:t>
      </w:r>
      <w:bookmarkEnd w:id="168"/>
      <w:bookmarkEnd w:id="169"/>
      <w:bookmarkEnd w:id="170"/>
    </w:p>
    <w:p w14:paraId="13F30BAB" w14:textId="77777777" w:rsidR="00C87981" w:rsidRPr="00DB06E1" w:rsidRDefault="00C87981" w:rsidP="002063F4">
      <w:pPr>
        <w:pStyle w:val="Heading3"/>
      </w:pPr>
      <w:bookmarkStart w:id="171" w:name="_Toc73719848"/>
      <w:bookmarkStart w:id="172" w:name="_Toc73720248"/>
      <w:bookmarkStart w:id="173" w:name="_Toc73724028"/>
      <w:bookmarkStart w:id="174" w:name="_Toc73985382"/>
      <w:bookmarkStart w:id="175" w:name="_Toc73985815"/>
      <w:bookmarkStart w:id="176" w:name="_Toc73985909"/>
      <w:bookmarkStart w:id="177" w:name="_Toc74042490"/>
      <w:bookmarkStart w:id="178" w:name="_Toc74148831"/>
      <w:bookmarkStart w:id="179" w:name="_Toc30167749"/>
      <w:bookmarkStart w:id="180" w:name="_Toc31271411"/>
      <w:bookmarkStart w:id="181" w:name="_Toc74057663"/>
      <w:bookmarkStart w:id="182" w:name="_Toc30167748"/>
      <w:bookmarkStart w:id="183" w:name="_Toc31271410"/>
      <w:bookmarkStart w:id="184" w:name="_Toc74057662"/>
      <w:bookmarkEnd w:id="171"/>
      <w:bookmarkEnd w:id="172"/>
      <w:bookmarkEnd w:id="173"/>
      <w:bookmarkEnd w:id="174"/>
      <w:bookmarkEnd w:id="175"/>
      <w:bookmarkEnd w:id="176"/>
      <w:bookmarkEnd w:id="177"/>
      <w:r>
        <w:t>Data</w:t>
      </w:r>
      <w:bookmarkEnd w:id="178"/>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185"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185"/>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186"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186"/>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179"/>
      <w:bookmarkEnd w:id="180"/>
      <w:bookmarkEnd w:id="181"/>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187"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187"/>
    </w:p>
    <w:p w14:paraId="31E40F74" w14:textId="18CF582E" w:rsidR="009056D0" w:rsidRPr="00DB06E1" w:rsidRDefault="009056D0" w:rsidP="009056D0">
      <w:pPr>
        <w:pStyle w:val="Heading3"/>
      </w:pPr>
      <w:r>
        <w:t>Ranging</w:t>
      </w:r>
      <w:bookmarkEnd w:id="182"/>
      <w:bookmarkEnd w:id="183"/>
      <w:bookmarkEnd w:id="184"/>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188" w:name="_Toc12989410"/>
      <w:bookmarkStart w:id="189" w:name="_Toc69757685"/>
      <w:bookmarkStart w:id="190" w:name="_Toc30167750"/>
      <w:bookmarkStart w:id="191" w:name="_Toc69806820"/>
      <w:r w:rsidRPr="002E6683">
        <w:lastRenderedPageBreak/>
        <w:t>Repetitions</w:t>
      </w:r>
      <w:bookmarkEnd w:id="188"/>
      <w:bookmarkEnd w:id="189"/>
      <w:bookmarkEnd w:id="190"/>
      <w:bookmarkEnd w:id="191"/>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192" w:name="_DL_CINR"/>
      <w:bookmarkStart w:id="193" w:name="_DL_Interference"/>
      <w:bookmarkEnd w:id="192"/>
      <w:bookmarkEnd w:id="193"/>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194" w:name="_Toc69806813"/>
      <w:bookmarkStart w:id="195" w:name="_Toc22305637"/>
      <w:bookmarkStart w:id="196" w:name="_Toc22314742"/>
      <w:bookmarkStart w:id="197" w:name="_Toc22541472"/>
      <w:r>
        <w:t>DL/UL Air Interface Resource Allocation</w:t>
      </w:r>
      <w:bookmarkEnd w:id="194"/>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195"/>
    <w:bookmarkEnd w:id="196"/>
    <w:bookmarkEnd w:id="197"/>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7DBE8405" w:rsidR="00CD25CB" w:rsidRDefault="00CD25CB" w:rsidP="00A87929">
      <w:pPr>
        <w:pStyle w:val="Heading2"/>
      </w:pPr>
      <w:r>
        <w:lastRenderedPageBreak/>
        <w:t xml:space="preserve">MAC Layer Modifications related to support of </w:t>
      </w:r>
      <w:r w:rsidR="00EC72B2">
        <w:t>Peer-to-Peer</w:t>
      </w:r>
      <w:r w:rsidR="00A10C82">
        <w:t xml:space="preserve"> </w:t>
      </w:r>
      <w:r>
        <w:t>(</w:t>
      </w:r>
      <w:proofErr w:type="spellStart"/>
      <w:r>
        <w:t>PtP</w:t>
      </w:r>
      <w:proofErr w:type="spellEnd"/>
      <w:r>
        <w:t xml:space="preserve">) communication </w:t>
      </w:r>
    </w:p>
    <w:p w14:paraId="3B4A84F0" w14:textId="7B723027" w:rsidR="00F9565E" w:rsidRPr="008E6FF0" w:rsidRDefault="00F9565E" w:rsidP="008E6FF0">
      <w:pPr>
        <w:pStyle w:val="ListParagraph"/>
        <w:keepNext/>
        <w:keepLines/>
        <w:numPr>
          <w:ilvl w:val="0"/>
          <w:numId w:val="19"/>
        </w:numPr>
      </w:pPr>
      <w:bookmarkStart w:id="198" w:name="_Hlk88558651"/>
      <w:r w:rsidRPr="008E6FF0">
        <w:t xml:space="preserve"> The IEEE802.16t air interface protocol shall use a peer-to-peer designator in the MAC Protocol Data Unit (PDU) to indicate a peer-to-peer PDU.</w:t>
      </w:r>
    </w:p>
    <w:p w14:paraId="34DABA2A" w14:textId="77777777" w:rsidR="00F9565E" w:rsidRPr="008E6FF0" w:rsidRDefault="00F9565E" w:rsidP="008E6FF0">
      <w:pPr>
        <w:pStyle w:val="ListParagraph"/>
        <w:keepNext/>
        <w:keepLines/>
      </w:pPr>
    </w:p>
    <w:p w14:paraId="4624A1F8" w14:textId="77777777" w:rsidR="00F9565E" w:rsidRPr="008E6FF0" w:rsidRDefault="00F9565E" w:rsidP="008E6FF0">
      <w:pPr>
        <w:pStyle w:val="ListParagraph"/>
        <w:keepNext/>
        <w:keepLines/>
        <w:numPr>
          <w:ilvl w:val="0"/>
          <w:numId w:val="19"/>
        </w:numPr>
      </w:pPr>
      <w:r w:rsidRPr="008E6FF0">
        <w:t>IEEE802.16t direct peer-to-peer communication mode shall utilize:</w:t>
      </w:r>
    </w:p>
    <w:p w14:paraId="0666703A" w14:textId="77777777" w:rsidR="00F9565E" w:rsidRPr="008E6FF0" w:rsidRDefault="00F9565E" w:rsidP="008E6FF0">
      <w:pPr>
        <w:pStyle w:val="ListParagraph"/>
        <w:keepNext/>
        <w:keepLines/>
        <w:numPr>
          <w:ilvl w:val="1"/>
          <w:numId w:val="18"/>
        </w:numPr>
      </w:pPr>
      <w:r w:rsidRPr="008E6FF0">
        <w:t>CSMA/CA MAC layer and</w:t>
      </w:r>
    </w:p>
    <w:p w14:paraId="452CC935" w14:textId="02732B50" w:rsidR="00260193" w:rsidRPr="008E6FF0" w:rsidRDefault="00016746" w:rsidP="008E6FF0">
      <w:pPr>
        <w:pStyle w:val="ListParagraph"/>
        <w:keepNext/>
        <w:keepLines/>
        <w:numPr>
          <w:ilvl w:val="1"/>
          <w:numId w:val="18"/>
        </w:numPr>
        <w:rPr>
          <w:color w:val="00B050"/>
        </w:rPr>
      </w:pPr>
      <w:r w:rsidRPr="008E6FF0">
        <w:t xml:space="preserve">Dedicated, distinct </w:t>
      </w:r>
      <w:r w:rsidR="00260193" w:rsidRPr="008E6FF0">
        <w:t xml:space="preserve">frequency resources (i.e., distinct from the </w:t>
      </w:r>
      <w:proofErr w:type="spellStart"/>
      <w:r w:rsidR="00260193" w:rsidRPr="008E6FF0">
        <w:t>PtMP</w:t>
      </w:r>
      <w:proofErr w:type="spellEnd"/>
      <w:r w:rsidR="00260193" w:rsidRPr="008E6FF0">
        <w:t xml:space="preserve"> band).</w:t>
      </w:r>
    </w:p>
    <w:p w14:paraId="577AFDE8" w14:textId="77777777" w:rsidR="00F9565E" w:rsidRPr="008E6FF0" w:rsidRDefault="00F9565E" w:rsidP="008E6FF0">
      <w:pPr>
        <w:pStyle w:val="ListParagraph"/>
        <w:keepNext/>
        <w:keepLines/>
      </w:pPr>
    </w:p>
    <w:bookmarkEnd w:id="198"/>
    <w:p w14:paraId="514E8E21" w14:textId="723D38BB" w:rsidR="00F9565E" w:rsidRPr="008E6FF0" w:rsidRDefault="00F9565E" w:rsidP="008E6FF0">
      <w:pPr>
        <w:pStyle w:val="ListParagraph"/>
        <w:keepNext/>
        <w:keepLines/>
        <w:numPr>
          <w:ilvl w:val="0"/>
          <w:numId w:val="19"/>
        </w:numPr>
      </w:pPr>
      <w:r w:rsidRPr="008E6FF0">
        <w:t xml:space="preserve">The IEEE802.16t air interface protocol shall include a direct peer-to-peer mode of communication between </w:t>
      </w:r>
      <w:r w:rsidR="00036A4F" w:rsidRPr="008E6FF0">
        <w:rPr>
          <w:color w:val="2E74B5" w:themeColor="accent1" w:themeShade="BF"/>
        </w:rPr>
        <w:t>Direct Peer-to-Peer Station (DPPS)</w:t>
      </w:r>
      <w:r w:rsidR="00036A4F" w:rsidRPr="00272930">
        <w:rPr>
          <w:b/>
          <w:bCs/>
          <w:color w:val="2E74B5" w:themeColor="accent1" w:themeShade="BF"/>
        </w:rPr>
        <w:t xml:space="preserve"> </w:t>
      </w:r>
      <w:r w:rsidRPr="008E6FF0">
        <w:t xml:space="preserve">without requiring the use of a base station but with </w:t>
      </w:r>
      <w:r w:rsidR="00260193" w:rsidRPr="008E6FF0">
        <w:rPr>
          <w:color w:val="00B050"/>
        </w:rPr>
        <w:t>optional</w:t>
      </w:r>
      <w:r w:rsidR="00260193" w:rsidRPr="008E6FF0">
        <w:t xml:space="preserve"> </w:t>
      </w:r>
      <w:r w:rsidRPr="008E6FF0">
        <w:t xml:space="preserve">use of one or more </w:t>
      </w:r>
      <w:r w:rsidR="00532D17" w:rsidRPr="008E6FF0">
        <w:t xml:space="preserve">Direct </w:t>
      </w:r>
      <w:r w:rsidR="00EC72B2" w:rsidRPr="008E6FF0">
        <w:t>Peer-to-Peer</w:t>
      </w:r>
      <w:r w:rsidR="00A10C82" w:rsidRPr="008E6FF0">
        <w:t xml:space="preserve"> </w:t>
      </w:r>
      <w:r w:rsidR="00532D17" w:rsidRPr="008E6FF0">
        <w:t xml:space="preserve">Repeater </w:t>
      </w:r>
      <w:r w:rsidRPr="008E6FF0">
        <w:t>Stations (</w:t>
      </w:r>
      <w:r w:rsidR="00532D17" w:rsidRPr="008E6FF0">
        <w:t>DPP</w:t>
      </w:r>
      <w:r w:rsidRPr="008E6FF0">
        <w:t>RS) for range extension.</w:t>
      </w:r>
    </w:p>
    <w:p w14:paraId="4DAF6D24" w14:textId="77777777" w:rsidR="00F9565E" w:rsidRPr="008E6FF0" w:rsidRDefault="00F9565E" w:rsidP="008E6FF0">
      <w:pPr>
        <w:pStyle w:val="ListParagraph"/>
        <w:keepNext/>
        <w:keepLines/>
      </w:pPr>
    </w:p>
    <w:p w14:paraId="62C7135B" w14:textId="31B660C2" w:rsidR="00F9565E" w:rsidRPr="00272930" w:rsidRDefault="00F9565E" w:rsidP="008E6FF0">
      <w:pPr>
        <w:pStyle w:val="ListParagraph"/>
        <w:keepNext/>
        <w:keepLines/>
        <w:numPr>
          <w:ilvl w:val="0"/>
          <w:numId w:val="19"/>
        </w:numPr>
      </w:pPr>
      <w:r w:rsidRPr="008E6FF0">
        <w:t>The IEEE802.16t air interface protocol shall include a peer-to-peer communication mode between remotes with the use of base station infrastructure.</w:t>
      </w:r>
      <w:r w:rsidR="00272930" w:rsidRPr="008E6FF0">
        <w:br/>
      </w:r>
      <w:r w:rsidRPr="00272930">
        <w:t xml:space="preserve">Note: This requirement retains the existing </w:t>
      </w:r>
      <w:proofErr w:type="spellStart"/>
      <w:r w:rsidRPr="00272930">
        <w:t>PtMP</w:t>
      </w:r>
      <w:proofErr w:type="spellEnd"/>
      <w:r w:rsidRPr="00272930">
        <w:t xml:space="preserve"> functionality for use when direct peer-to-peer communication is unsuccessful for a designated packet.</w:t>
      </w:r>
    </w:p>
    <w:p w14:paraId="0A3E8193" w14:textId="77777777" w:rsidR="00F9565E" w:rsidRPr="008E6FF0" w:rsidRDefault="00F9565E" w:rsidP="008E6FF0">
      <w:pPr>
        <w:pStyle w:val="ListParagraph"/>
        <w:keepNext/>
        <w:keepLines/>
      </w:pPr>
    </w:p>
    <w:p w14:paraId="1AFD8D04" w14:textId="531D3529" w:rsidR="00F9565E" w:rsidRPr="008E6FF0" w:rsidRDefault="006706CD" w:rsidP="008E6FF0">
      <w:pPr>
        <w:pStyle w:val="ListParagraph"/>
        <w:keepNext/>
        <w:keepLines/>
        <w:numPr>
          <w:ilvl w:val="0"/>
          <w:numId w:val="19"/>
        </w:numPr>
      </w:pPr>
      <w:r w:rsidRPr="008E6FF0">
        <w:t>T</w:t>
      </w:r>
      <w:r w:rsidR="00F9565E" w:rsidRPr="008E6FF0">
        <w:t>he</w:t>
      </w:r>
      <w:r w:rsidRPr="008E6FF0">
        <w:t xml:space="preserve"> </w:t>
      </w:r>
      <w:r w:rsidR="00F9565E" w:rsidRPr="008E6FF0">
        <w:t>sender is permitted to select an alternative communication path through a base station or relay station. For that purpose, the IEEE802.16t air interface protocol shall use a designator in the MAC PDU to allow the sender to select such an alternative communication path through a base station or relay station.</w:t>
      </w:r>
    </w:p>
    <w:p w14:paraId="32915CC5" w14:textId="65F8D419" w:rsidR="006706CD" w:rsidRPr="008E6FF0" w:rsidRDefault="006706CD" w:rsidP="008E6FF0">
      <w:pPr>
        <w:pStyle w:val="ListParagraph"/>
        <w:keepLines/>
        <w:ind w:left="720" w:firstLine="0"/>
        <w:rPr>
          <w:color w:val="00B050"/>
        </w:rPr>
      </w:pPr>
      <w:r w:rsidRPr="008E6FF0">
        <w:rPr>
          <w:color w:val="00B050"/>
        </w:rPr>
        <w:t>Note: An alternative communication path might be chosen, if for example, a direct peer-to-peer communication attempt does not yield a required acknowledgement.</w:t>
      </w: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199" w:name="yui_3_16_0_ym19_1_1476856068881_20985"/>
      <w:bookmarkStart w:id="200" w:name="yui_3_16_0_ym19_1_1476856068881_20986"/>
      <w:bookmarkStart w:id="201" w:name="yui_3_16_0_ym19_1_1476856068881_20987"/>
      <w:bookmarkStart w:id="202" w:name="yui_3_16_0_ym19_1_1476856068881_20988"/>
      <w:bookmarkStart w:id="203" w:name="yui_3_16_0_ym19_1_1476856068881_20989"/>
      <w:bookmarkEnd w:id="199"/>
      <w:bookmarkEnd w:id="200"/>
      <w:bookmarkEnd w:id="201"/>
      <w:bookmarkEnd w:id="202"/>
      <w:bookmarkEnd w:id="203"/>
    </w:p>
    <w:p w14:paraId="2A6387DE" w14:textId="7AAF0EAC" w:rsidR="00BA58C2" w:rsidRPr="00BA58C2" w:rsidRDefault="00BA58C2" w:rsidP="00BA58C2"/>
    <w:sectPr w:rsidR="00BA58C2" w:rsidRPr="00BA58C2" w:rsidSect="003B764D">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369D7" w14:textId="77777777" w:rsidR="001C075B" w:rsidRDefault="001C075B" w:rsidP="00F87A52">
      <w:pPr>
        <w:spacing w:after="0" w:line="240" w:lineRule="auto"/>
      </w:pPr>
      <w:r>
        <w:separator/>
      </w:r>
    </w:p>
  </w:endnote>
  <w:endnote w:type="continuationSeparator" w:id="0">
    <w:p w14:paraId="25C02047" w14:textId="77777777" w:rsidR="001C075B" w:rsidRDefault="001C075B" w:rsidP="00F87A52">
      <w:pPr>
        <w:spacing w:after="0" w:line="240" w:lineRule="auto"/>
      </w:pPr>
      <w:r>
        <w:continuationSeparator/>
      </w:r>
    </w:p>
  </w:endnote>
  <w:endnote w:type="continuationNotice" w:id="1">
    <w:p w14:paraId="48EB9616" w14:textId="77777777" w:rsidR="001C075B" w:rsidRDefault="001C07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8E971" w14:textId="77777777" w:rsidR="001C075B" w:rsidRDefault="001C075B" w:rsidP="00F87A52">
      <w:pPr>
        <w:spacing w:after="0" w:line="240" w:lineRule="auto"/>
      </w:pPr>
      <w:r>
        <w:separator/>
      </w:r>
    </w:p>
  </w:footnote>
  <w:footnote w:type="continuationSeparator" w:id="0">
    <w:p w14:paraId="64FBAF6B" w14:textId="77777777" w:rsidR="001C075B" w:rsidRDefault="001C075B" w:rsidP="00F87A52">
      <w:pPr>
        <w:spacing w:after="0" w:line="240" w:lineRule="auto"/>
      </w:pPr>
      <w:r>
        <w:continuationSeparator/>
      </w:r>
    </w:p>
  </w:footnote>
  <w:footnote w:type="continuationNotice" w:id="1">
    <w:p w14:paraId="6E683A95" w14:textId="77777777" w:rsidR="001C075B" w:rsidRDefault="001C075B">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66B08D4B" w:rsidR="00532D17" w:rsidRPr="00F87A52" w:rsidRDefault="00532D17" w:rsidP="00F87A52">
    <w:pPr>
      <w:pStyle w:val="Header"/>
      <w:tabs>
        <w:tab w:val="right" w:pos="10800"/>
      </w:tabs>
      <w:jc w:val="right"/>
      <w:rPr>
        <w:b/>
        <w:sz w:val="24"/>
      </w:rPr>
    </w:pPr>
    <w:r>
      <w:rPr>
        <w:b/>
        <w:sz w:val="24"/>
      </w:rPr>
      <w:t>DCN</w:t>
    </w:r>
    <w:r w:rsidRPr="00F87A52">
      <w:rPr>
        <w:b/>
        <w:sz w:val="24"/>
      </w:rPr>
      <w:t xml:space="preserve"> </w:t>
    </w:r>
    <w:r w:rsidRPr="00B354E1">
      <w:rPr>
        <w:b/>
        <w:sz w:val="24"/>
      </w:rPr>
      <w:t>15-</w:t>
    </w:r>
    <w:r w:rsidR="008E6FF0" w:rsidRPr="00B354E1">
      <w:rPr>
        <w:b/>
        <w:sz w:val="24"/>
      </w:rPr>
      <w:t>2</w:t>
    </w:r>
    <w:r w:rsidR="008E6FF0">
      <w:rPr>
        <w:b/>
        <w:sz w:val="24"/>
      </w:rPr>
      <w:t>2</w:t>
    </w:r>
    <w:r w:rsidRPr="00B354E1">
      <w:rPr>
        <w:b/>
        <w:sz w:val="24"/>
      </w:rPr>
      <w:t>-</w:t>
    </w:r>
    <w:r w:rsidR="008E6FF0">
      <w:rPr>
        <w:b/>
        <w:sz w:val="24"/>
      </w:rPr>
      <w:t>0084</w:t>
    </w:r>
    <w:r w:rsidRPr="00B354E1">
      <w:rPr>
        <w:b/>
        <w:sz w:val="24"/>
      </w:rPr>
      <w:t>-</w:t>
    </w:r>
    <w:r w:rsidR="008E6FF0">
      <w:rPr>
        <w:b/>
        <w:sz w:val="24"/>
      </w:rPr>
      <w:t>00</w:t>
    </w:r>
    <w:r w:rsidRPr="00F87A52">
      <w:rPr>
        <w:b/>
        <w:sz w:val="24"/>
      </w:rPr>
      <w:t>-</w:t>
    </w:r>
    <w:r>
      <w:rPr>
        <w:b/>
        <w:sz w:val="24"/>
      </w:rPr>
      <w:t>016t</w:t>
    </w:r>
  </w:p>
  <w:p w14:paraId="06757188" w14:textId="77777777" w:rsidR="00532D17" w:rsidRPr="00ED4BA5" w:rsidRDefault="00532D17" w:rsidP="00ED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0E6ADB"/>
    <w:multiLevelType w:val="hybridMultilevel"/>
    <w:tmpl w:val="246A7840"/>
    <w:lvl w:ilvl="0" w:tplc="76727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16"/>
  </w:num>
  <w:num w:numId="5">
    <w:abstractNumId w:val="1"/>
  </w:num>
  <w:num w:numId="6">
    <w:abstractNumId w:val="14"/>
  </w:num>
  <w:num w:numId="7">
    <w:abstractNumId w:val="7"/>
  </w:num>
  <w:num w:numId="8">
    <w:abstractNumId w:val="2"/>
  </w:num>
  <w:num w:numId="9">
    <w:abstractNumId w:val="10"/>
  </w:num>
  <w:num w:numId="10">
    <w:abstractNumId w:val="18"/>
  </w:num>
  <w:num w:numId="11">
    <w:abstractNumId w:val="5"/>
  </w:num>
  <w:num w:numId="12">
    <w:abstractNumId w:val="6"/>
  </w:num>
  <w:num w:numId="13">
    <w:abstractNumId w:val="19"/>
  </w:num>
  <w:num w:numId="14">
    <w:abstractNumId w:val="17"/>
  </w:num>
  <w:num w:numId="15">
    <w:abstractNumId w:val="3"/>
  </w:num>
  <w:num w:numId="16">
    <w:abstractNumId w:val="11"/>
  </w:num>
  <w:num w:numId="17">
    <w:abstractNumId w:val="12"/>
  </w:num>
  <w:num w:numId="18">
    <w:abstractNumId w:val="4"/>
  </w:num>
  <w:num w:numId="1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5E9B"/>
    <w:rsid w:val="000062BA"/>
    <w:rsid w:val="00013CC7"/>
    <w:rsid w:val="0001514D"/>
    <w:rsid w:val="00016746"/>
    <w:rsid w:val="00023717"/>
    <w:rsid w:val="00025176"/>
    <w:rsid w:val="00026B90"/>
    <w:rsid w:val="00036A4F"/>
    <w:rsid w:val="00041256"/>
    <w:rsid w:val="00052E9B"/>
    <w:rsid w:val="000532FF"/>
    <w:rsid w:val="00057250"/>
    <w:rsid w:val="00061565"/>
    <w:rsid w:val="00062841"/>
    <w:rsid w:val="0006605A"/>
    <w:rsid w:val="00066E43"/>
    <w:rsid w:val="0007088B"/>
    <w:rsid w:val="0007237F"/>
    <w:rsid w:val="00087FC2"/>
    <w:rsid w:val="0009039B"/>
    <w:rsid w:val="00097197"/>
    <w:rsid w:val="000A19F6"/>
    <w:rsid w:val="000A2878"/>
    <w:rsid w:val="000A2DAB"/>
    <w:rsid w:val="000A4D76"/>
    <w:rsid w:val="000B0168"/>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2815"/>
    <w:rsid w:val="00155697"/>
    <w:rsid w:val="001634CA"/>
    <w:rsid w:val="0016534A"/>
    <w:rsid w:val="00167B98"/>
    <w:rsid w:val="001713F7"/>
    <w:rsid w:val="00184261"/>
    <w:rsid w:val="00186E38"/>
    <w:rsid w:val="00197E9A"/>
    <w:rsid w:val="001A1B0F"/>
    <w:rsid w:val="001A3F32"/>
    <w:rsid w:val="001A4878"/>
    <w:rsid w:val="001B1B98"/>
    <w:rsid w:val="001B30C3"/>
    <w:rsid w:val="001B5EFD"/>
    <w:rsid w:val="001C075B"/>
    <w:rsid w:val="001C34A6"/>
    <w:rsid w:val="001D661A"/>
    <w:rsid w:val="001E0F67"/>
    <w:rsid w:val="001E3D75"/>
    <w:rsid w:val="001F3B3F"/>
    <w:rsid w:val="001F4E84"/>
    <w:rsid w:val="00201650"/>
    <w:rsid w:val="00201D3B"/>
    <w:rsid w:val="0020250A"/>
    <w:rsid w:val="00203C36"/>
    <w:rsid w:val="002046FC"/>
    <w:rsid w:val="002063F4"/>
    <w:rsid w:val="00213A73"/>
    <w:rsid w:val="002145DF"/>
    <w:rsid w:val="00221169"/>
    <w:rsid w:val="00231ED0"/>
    <w:rsid w:val="0023307D"/>
    <w:rsid w:val="00234F0F"/>
    <w:rsid w:val="0024108B"/>
    <w:rsid w:val="00241C39"/>
    <w:rsid w:val="00243328"/>
    <w:rsid w:val="002475B5"/>
    <w:rsid w:val="00247DE8"/>
    <w:rsid w:val="002541F8"/>
    <w:rsid w:val="00255034"/>
    <w:rsid w:val="00255730"/>
    <w:rsid w:val="002572F2"/>
    <w:rsid w:val="00260193"/>
    <w:rsid w:val="002654D2"/>
    <w:rsid w:val="00272930"/>
    <w:rsid w:val="00275385"/>
    <w:rsid w:val="00275D79"/>
    <w:rsid w:val="0027614D"/>
    <w:rsid w:val="00285D7C"/>
    <w:rsid w:val="00292AC7"/>
    <w:rsid w:val="002A346E"/>
    <w:rsid w:val="002A3DC1"/>
    <w:rsid w:val="002A6BB7"/>
    <w:rsid w:val="002C4FD2"/>
    <w:rsid w:val="002C5AFF"/>
    <w:rsid w:val="002D02A3"/>
    <w:rsid w:val="002D0B0D"/>
    <w:rsid w:val="002D24AA"/>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09AA"/>
    <w:rsid w:val="003D2A69"/>
    <w:rsid w:val="003E3765"/>
    <w:rsid w:val="003E4C23"/>
    <w:rsid w:val="00400ACC"/>
    <w:rsid w:val="00401FF2"/>
    <w:rsid w:val="00406267"/>
    <w:rsid w:val="004102D7"/>
    <w:rsid w:val="004168AA"/>
    <w:rsid w:val="00423256"/>
    <w:rsid w:val="00424DB1"/>
    <w:rsid w:val="00435A6B"/>
    <w:rsid w:val="00435B26"/>
    <w:rsid w:val="00435EC4"/>
    <w:rsid w:val="004408B0"/>
    <w:rsid w:val="00444EFA"/>
    <w:rsid w:val="0044510A"/>
    <w:rsid w:val="00453E07"/>
    <w:rsid w:val="0046626A"/>
    <w:rsid w:val="00474B15"/>
    <w:rsid w:val="0048087E"/>
    <w:rsid w:val="00480C87"/>
    <w:rsid w:val="00481512"/>
    <w:rsid w:val="00483A22"/>
    <w:rsid w:val="004850A5"/>
    <w:rsid w:val="004879FD"/>
    <w:rsid w:val="00487DD3"/>
    <w:rsid w:val="0049691A"/>
    <w:rsid w:val="004A1229"/>
    <w:rsid w:val="004A2531"/>
    <w:rsid w:val="004A58D8"/>
    <w:rsid w:val="004A5B09"/>
    <w:rsid w:val="004B0CAE"/>
    <w:rsid w:val="004B52ED"/>
    <w:rsid w:val="004C71DF"/>
    <w:rsid w:val="004D1FFD"/>
    <w:rsid w:val="004D311D"/>
    <w:rsid w:val="004D5ADC"/>
    <w:rsid w:val="004E21AA"/>
    <w:rsid w:val="004E6D46"/>
    <w:rsid w:val="004E78DD"/>
    <w:rsid w:val="004E7A82"/>
    <w:rsid w:val="00506DF1"/>
    <w:rsid w:val="00507081"/>
    <w:rsid w:val="0050721C"/>
    <w:rsid w:val="005152EF"/>
    <w:rsid w:val="00532D17"/>
    <w:rsid w:val="00533069"/>
    <w:rsid w:val="00533716"/>
    <w:rsid w:val="00534D03"/>
    <w:rsid w:val="005401AF"/>
    <w:rsid w:val="00541BFD"/>
    <w:rsid w:val="005472EE"/>
    <w:rsid w:val="005503D2"/>
    <w:rsid w:val="00550D27"/>
    <w:rsid w:val="00557139"/>
    <w:rsid w:val="005627D5"/>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05CD"/>
    <w:rsid w:val="00627DC5"/>
    <w:rsid w:val="00630880"/>
    <w:rsid w:val="00631478"/>
    <w:rsid w:val="0063237D"/>
    <w:rsid w:val="006362B7"/>
    <w:rsid w:val="006440AA"/>
    <w:rsid w:val="00644CA3"/>
    <w:rsid w:val="00652FE8"/>
    <w:rsid w:val="00653B44"/>
    <w:rsid w:val="00654E94"/>
    <w:rsid w:val="00657C3D"/>
    <w:rsid w:val="00664316"/>
    <w:rsid w:val="006706CD"/>
    <w:rsid w:val="00670761"/>
    <w:rsid w:val="00674313"/>
    <w:rsid w:val="00686249"/>
    <w:rsid w:val="006A5FE7"/>
    <w:rsid w:val="006B11DB"/>
    <w:rsid w:val="006B475C"/>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097"/>
    <w:rsid w:val="007B2AE9"/>
    <w:rsid w:val="007B304F"/>
    <w:rsid w:val="007B78C5"/>
    <w:rsid w:val="007C14E4"/>
    <w:rsid w:val="007C1FE7"/>
    <w:rsid w:val="007C4125"/>
    <w:rsid w:val="007C4337"/>
    <w:rsid w:val="007C4338"/>
    <w:rsid w:val="007C437E"/>
    <w:rsid w:val="007C5785"/>
    <w:rsid w:val="007D0A80"/>
    <w:rsid w:val="007D2696"/>
    <w:rsid w:val="007D3A0B"/>
    <w:rsid w:val="007D5C4F"/>
    <w:rsid w:val="007D7E76"/>
    <w:rsid w:val="007E06FC"/>
    <w:rsid w:val="007E1243"/>
    <w:rsid w:val="007F3F48"/>
    <w:rsid w:val="007F75D4"/>
    <w:rsid w:val="00801747"/>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0A05"/>
    <w:rsid w:val="00886CCD"/>
    <w:rsid w:val="008A41FA"/>
    <w:rsid w:val="008A44B7"/>
    <w:rsid w:val="008A44CE"/>
    <w:rsid w:val="008B23E4"/>
    <w:rsid w:val="008C13EF"/>
    <w:rsid w:val="008D101E"/>
    <w:rsid w:val="008D2766"/>
    <w:rsid w:val="008E0785"/>
    <w:rsid w:val="008E5DF2"/>
    <w:rsid w:val="008E6FF0"/>
    <w:rsid w:val="008F07EF"/>
    <w:rsid w:val="00900C6B"/>
    <w:rsid w:val="00900D77"/>
    <w:rsid w:val="009056D0"/>
    <w:rsid w:val="009106D7"/>
    <w:rsid w:val="00923863"/>
    <w:rsid w:val="00923D32"/>
    <w:rsid w:val="00925556"/>
    <w:rsid w:val="00926B3F"/>
    <w:rsid w:val="00943274"/>
    <w:rsid w:val="009453F0"/>
    <w:rsid w:val="0095011B"/>
    <w:rsid w:val="00950830"/>
    <w:rsid w:val="009735E9"/>
    <w:rsid w:val="00975AB5"/>
    <w:rsid w:val="00976BBF"/>
    <w:rsid w:val="00994E87"/>
    <w:rsid w:val="00997E4D"/>
    <w:rsid w:val="009A0A3D"/>
    <w:rsid w:val="009A1877"/>
    <w:rsid w:val="009A4D08"/>
    <w:rsid w:val="009A7A66"/>
    <w:rsid w:val="009B3DC4"/>
    <w:rsid w:val="009C41D6"/>
    <w:rsid w:val="009C5AB2"/>
    <w:rsid w:val="009D0083"/>
    <w:rsid w:val="009E13E0"/>
    <w:rsid w:val="009E1C2B"/>
    <w:rsid w:val="009E1EF2"/>
    <w:rsid w:val="009E5622"/>
    <w:rsid w:val="009F53D5"/>
    <w:rsid w:val="009F69B7"/>
    <w:rsid w:val="009F7386"/>
    <w:rsid w:val="00A10C82"/>
    <w:rsid w:val="00A11640"/>
    <w:rsid w:val="00A124A2"/>
    <w:rsid w:val="00A160E8"/>
    <w:rsid w:val="00A2682D"/>
    <w:rsid w:val="00A3445E"/>
    <w:rsid w:val="00A448A2"/>
    <w:rsid w:val="00A47160"/>
    <w:rsid w:val="00A6606E"/>
    <w:rsid w:val="00A70DBB"/>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24F2E"/>
    <w:rsid w:val="00B32D69"/>
    <w:rsid w:val="00B354E1"/>
    <w:rsid w:val="00B35DB7"/>
    <w:rsid w:val="00B44812"/>
    <w:rsid w:val="00B45907"/>
    <w:rsid w:val="00B47A4F"/>
    <w:rsid w:val="00B51011"/>
    <w:rsid w:val="00B55251"/>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D6E1A"/>
    <w:rsid w:val="00BE5001"/>
    <w:rsid w:val="00BF0ADB"/>
    <w:rsid w:val="00BF2B60"/>
    <w:rsid w:val="00BF5F97"/>
    <w:rsid w:val="00BF677F"/>
    <w:rsid w:val="00C0208F"/>
    <w:rsid w:val="00C06004"/>
    <w:rsid w:val="00C06EDF"/>
    <w:rsid w:val="00C15E11"/>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4248C"/>
    <w:rsid w:val="00D55BF5"/>
    <w:rsid w:val="00D578B1"/>
    <w:rsid w:val="00D622CD"/>
    <w:rsid w:val="00D66714"/>
    <w:rsid w:val="00D70A02"/>
    <w:rsid w:val="00D86E83"/>
    <w:rsid w:val="00D90242"/>
    <w:rsid w:val="00D92CE9"/>
    <w:rsid w:val="00D95676"/>
    <w:rsid w:val="00DA4937"/>
    <w:rsid w:val="00DC1492"/>
    <w:rsid w:val="00DC2410"/>
    <w:rsid w:val="00DD1AB9"/>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C72B2"/>
    <w:rsid w:val="00EC7882"/>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565E"/>
    <w:rsid w:val="00F97EDC"/>
    <w:rsid w:val="00FA1119"/>
    <w:rsid w:val="00FA2686"/>
    <w:rsid w:val="00FA3DC0"/>
    <w:rsid w:val="00FA61C5"/>
    <w:rsid w:val="00FB1BF5"/>
    <w:rsid w:val="00FB200F"/>
    <w:rsid w:val="00FB3664"/>
    <w:rsid w:val="00FC6C5B"/>
    <w:rsid w:val="00FC70CC"/>
    <w:rsid w:val="00FC77EE"/>
    <w:rsid w:val="00FE1B2A"/>
    <w:rsid w:val="00FE2C53"/>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mentor.ieee.org/802.15/dcn/20/15-20-0196-02-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hyperlink" Target="http://standards.ieee.org/board/pat/pat-material.html" TargetMode="Externa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3479</Words>
  <Characters>19835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Menashe Shahar</cp:lastModifiedBy>
  <cp:revision>7</cp:revision>
  <dcterms:created xsi:type="dcterms:W3CDTF">2022-03-14T21:17:00Z</dcterms:created>
  <dcterms:modified xsi:type="dcterms:W3CDTF">2022-03-14T21:20:00Z</dcterms:modified>
</cp:coreProperties>
</file>