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9CC" w:rsidRDefault="002929CC" w:rsidP="002929CC">
      <w:pPr>
        <w:jc w:val="center"/>
      </w:pPr>
    </w:p>
    <w:p w:rsidR="002929CC" w:rsidRPr="00D524D2" w:rsidRDefault="002929CC" w:rsidP="00D524D2">
      <w:pPr>
        <w:spacing w:after="0" w:line="240" w:lineRule="auto"/>
        <w:jc w:val="center"/>
        <w:rPr>
          <w:rFonts w:ascii="Times New Roman" w:eastAsia="Times New Roman" w:hAnsi="Times New Roman" w:cs="Times New Roman"/>
          <w:b/>
          <w:sz w:val="28"/>
          <w:szCs w:val="20"/>
        </w:rPr>
      </w:pPr>
      <w:r w:rsidRPr="00D524D2">
        <w:rPr>
          <w:rFonts w:ascii="Times New Roman" w:eastAsia="Times New Roman" w:hAnsi="Times New Roman" w:cs="Times New Roman"/>
          <w:b/>
          <w:sz w:val="28"/>
          <w:szCs w:val="20"/>
        </w:rPr>
        <w:t>IEEE P802.15</w:t>
      </w:r>
    </w:p>
    <w:p w:rsidR="002929CC" w:rsidRPr="00D524D2" w:rsidRDefault="002929CC" w:rsidP="00D524D2">
      <w:pPr>
        <w:spacing w:after="0" w:line="240" w:lineRule="auto"/>
        <w:jc w:val="center"/>
        <w:rPr>
          <w:rFonts w:ascii="Times New Roman" w:eastAsia="Times New Roman" w:hAnsi="Times New Roman" w:cs="Times New Roman"/>
          <w:b/>
          <w:sz w:val="28"/>
          <w:szCs w:val="20"/>
        </w:rPr>
      </w:pPr>
      <w:r w:rsidRPr="00D524D2">
        <w:rPr>
          <w:rFonts w:ascii="Times New Roman" w:eastAsia="Times New Roman" w:hAnsi="Times New Roman" w:cs="Times New Roman"/>
          <w:b/>
          <w:sz w:val="28"/>
          <w:szCs w:val="20"/>
        </w:rPr>
        <w:t>Wireless Personal Area Networks</w:t>
      </w:r>
    </w:p>
    <w:p w:rsidR="002929CC" w:rsidRDefault="002929CC" w:rsidP="002929CC">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2929CC" w:rsidTr="00E35054">
        <w:tc>
          <w:tcPr>
            <w:tcW w:w="1260" w:type="dxa"/>
            <w:tcBorders>
              <w:top w:val="single" w:sz="6" w:space="0" w:color="auto"/>
            </w:tcBorders>
          </w:tcPr>
          <w:p w:rsidR="002929CC" w:rsidRDefault="002929CC" w:rsidP="00E35054">
            <w:pPr>
              <w:pStyle w:val="covertext"/>
            </w:pPr>
            <w:r>
              <w:t>Project</w:t>
            </w:r>
          </w:p>
        </w:tc>
        <w:tc>
          <w:tcPr>
            <w:tcW w:w="8190" w:type="dxa"/>
            <w:gridSpan w:val="2"/>
            <w:tcBorders>
              <w:top w:val="single" w:sz="6" w:space="0" w:color="auto"/>
            </w:tcBorders>
          </w:tcPr>
          <w:p w:rsidR="002929CC" w:rsidRDefault="002929CC" w:rsidP="00E35054">
            <w:pPr>
              <w:pStyle w:val="covertext"/>
            </w:pPr>
            <w:r>
              <w:t>IEEE P802.15 Working Group for Wireless Personal Area Networks (WPANs)</w:t>
            </w:r>
          </w:p>
        </w:tc>
      </w:tr>
      <w:tr w:rsidR="002929CC" w:rsidTr="00E35054">
        <w:tc>
          <w:tcPr>
            <w:tcW w:w="1260" w:type="dxa"/>
            <w:tcBorders>
              <w:top w:val="single" w:sz="6" w:space="0" w:color="auto"/>
            </w:tcBorders>
          </w:tcPr>
          <w:p w:rsidR="002929CC" w:rsidRDefault="002929CC" w:rsidP="00E35054">
            <w:pPr>
              <w:pStyle w:val="covertext"/>
            </w:pPr>
            <w:r>
              <w:t>Title</w:t>
            </w:r>
          </w:p>
        </w:tc>
        <w:tc>
          <w:tcPr>
            <w:tcW w:w="8190" w:type="dxa"/>
            <w:gridSpan w:val="2"/>
            <w:tcBorders>
              <w:top w:val="single" w:sz="6" w:space="0" w:color="auto"/>
            </w:tcBorders>
          </w:tcPr>
          <w:p w:rsidR="002929CC" w:rsidRDefault="002929CC" w:rsidP="00E35054">
            <w:pPr>
              <w:pStyle w:val="covertext"/>
            </w:pPr>
            <w:r>
              <w:t>Task Group 4z meeting minutes for January 2020</w:t>
            </w:r>
          </w:p>
        </w:tc>
      </w:tr>
      <w:tr w:rsidR="002929CC" w:rsidTr="00E35054">
        <w:tc>
          <w:tcPr>
            <w:tcW w:w="1260" w:type="dxa"/>
            <w:tcBorders>
              <w:top w:val="single" w:sz="6" w:space="0" w:color="auto"/>
            </w:tcBorders>
          </w:tcPr>
          <w:p w:rsidR="002929CC" w:rsidRDefault="002929CC" w:rsidP="00E35054">
            <w:pPr>
              <w:pStyle w:val="covertext"/>
            </w:pPr>
            <w:r>
              <w:t>Date Submitted</w:t>
            </w:r>
          </w:p>
        </w:tc>
        <w:tc>
          <w:tcPr>
            <w:tcW w:w="8190" w:type="dxa"/>
            <w:gridSpan w:val="2"/>
            <w:tcBorders>
              <w:top w:val="single" w:sz="6" w:space="0" w:color="auto"/>
            </w:tcBorders>
          </w:tcPr>
          <w:p w:rsidR="002929CC" w:rsidRDefault="002929CC" w:rsidP="00E35054">
            <w:pPr>
              <w:pStyle w:val="covertext"/>
            </w:pPr>
            <w:r>
              <w:t>16-Jan-2020</w:t>
            </w:r>
          </w:p>
        </w:tc>
      </w:tr>
      <w:tr w:rsidR="002929CC" w:rsidTr="00E35054">
        <w:tc>
          <w:tcPr>
            <w:tcW w:w="1260" w:type="dxa"/>
            <w:tcBorders>
              <w:top w:val="single" w:sz="4" w:space="0" w:color="auto"/>
              <w:bottom w:val="single" w:sz="4" w:space="0" w:color="auto"/>
            </w:tcBorders>
          </w:tcPr>
          <w:p w:rsidR="002929CC" w:rsidRDefault="002929CC" w:rsidP="00E35054">
            <w:pPr>
              <w:pStyle w:val="covertext"/>
            </w:pPr>
            <w:r>
              <w:t>Source</w:t>
            </w:r>
          </w:p>
        </w:tc>
        <w:tc>
          <w:tcPr>
            <w:tcW w:w="4050" w:type="dxa"/>
            <w:tcBorders>
              <w:top w:val="single" w:sz="4" w:space="0" w:color="auto"/>
              <w:bottom w:val="single" w:sz="4" w:space="0" w:color="auto"/>
            </w:tcBorders>
          </w:tcPr>
          <w:p w:rsidR="002929CC" w:rsidRDefault="002929CC" w:rsidP="00E35054">
            <w:pPr>
              <w:pStyle w:val="covertext"/>
              <w:spacing w:before="0" w:after="0"/>
            </w:pPr>
            <w:r>
              <w:t>[Benjamin Rolfe]</w:t>
            </w:r>
            <w:r>
              <w:br/>
              <w:t>[Blind Creek Associates</w:t>
            </w:r>
            <w:r>
              <w:fldChar w:fldCharType="begin"/>
            </w:r>
            <w:r>
              <w:instrText xml:space="preserve"> DOCPROPERTY "Company"  \* MERGEFORMAT </w:instrText>
            </w:r>
            <w:r>
              <w:fldChar w:fldCharType="end"/>
            </w:r>
            <w:r>
              <w:t>]</w:t>
            </w:r>
          </w:p>
          <w:p w:rsidR="002929CC" w:rsidRDefault="002929CC" w:rsidP="00E35054">
            <w:pPr>
              <w:pStyle w:val="covertext"/>
              <w:spacing w:before="0" w:after="0"/>
            </w:pPr>
            <w:r>
              <w:t>[Benjamin A. Rolfe]</w:t>
            </w:r>
          </w:p>
          <w:p w:rsidR="002929CC" w:rsidRDefault="002929CC" w:rsidP="00E35054">
            <w:pPr>
              <w:pStyle w:val="covertext"/>
              <w:spacing w:before="0" w:after="0"/>
            </w:pPr>
            <w:r>
              <w:t>[BCA]</w:t>
            </w:r>
          </w:p>
        </w:tc>
        <w:tc>
          <w:tcPr>
            <w:tcW w:w="4140" w:type="dxa"/>
            <w:tcBorders>
              <w:top w:val="single" w:sz="4" w:space="0" w:color="auto"/>
              <w:bottom w:val="single" w:sz="4" w:space="0" w:color="auto"/>
            </w:tcBorders>
          </w:tcPr>
          <w:p w:rsidR="002929CC" w:rsidRDefault="002929CC" w:rsidP="00E35054">
            <w:pPr>
              <w:pStyle w:val="covertext"/>
              <w:tabs>
                <w:tab w:val="left" w:pos="1152"/>
              </w:tabs>
              <w:spacing w:before="0" w:after="0"/>
            </w:pPr>
            <w:r>
              <w:t>E-mail: [</w:t>
            </w:r>
            <w:proofErr w:type="spellStart"/>
            <w:r>
              <w:t>ben.rolfe</w:t>
            </w:r>
            <w:proofErr w:type="spellEnd"/>
            <w:r>
              <w:t xml:space="preserve"> @ ieee.org ]</w:t>
            </w:r>
          </w:p>
          <w:p w:rsidR="002929CC" w:rsidRPr="0061562F" w:rsidRDefault="002929CC" w:rsidP="00E35054">
            <w:pPr>
              <w:pStyle w:val="covertext"/>
              <w:tabs>
                <w:tab w:val="left" w:pos="1152"/>
              </w:tabs>
              <w:spacing w:before="0" w:after="0"/>
            </w:pPr>
            <w:r>
              <w:t xml:space="preserve">             </w:t>
            </w:r>
          </w:p>
        </w:tc>
      </w:tr>
      <w:tr w:rsidR="002929CC" w:rsidTr="00E35054">
        <w:tc>
          <w:tcPr>
            <w:tcW w:w="1260" w:type="dxa"/>
            <w:tcBorders>
              <w:top w:val="single" w:sz="6" w:space="0" w:color="auto"/>
            </w:tcBorders>
          </w:tcPr>
          <w:p w:rsidR="002929CC" w:rsidRDefault="002929CC" w:rsidP="00E35054">
            <w:pPr>
              <w:pStyle w:val="covertext"/>
            </w:pPr>
            <w:r>
              <w:t>Re:</w:t>
            </w:r>
          </w:p>
        </w:tc>
        <w:tc>
          <w:tcPr>
            <w:tcW w:w="8190" w:type="dxa"/>
            <w:gridSpan w:val="2"/>
            <w:tcBorders>
              <w:top w:val="single" w:sz="6" w:space="0" w:color="auto"/>
            </w:tcBorders>
          </w:tcPr>
          <w:p w:rsidR="002929CC" w:rsidRDefault="002929CC" w:rsidP="00E35054">
            <w:pPr>
              <w:pStyle w:val="covertext"/>
            </w:pPr>
            <w:r>
              <w:t>Meeting minutes</w:t>
            </w:r>
          </w:p>
        </w:tc>
      </w:tr>
      <w:tr w:rsidR="002929CC" w:rsidTr="00E35054">
        <w:tc>
          <w:tcPr>
            <w:tcW w:w="1260" w:type="dxa"/>
            <w:tcBorders>
              <w:top w:val="single" w:sz="6" w:space="0" w:color="auto"/>
            </w:tcBorders>
          </w:tcPr>
          <w:p w:rsidR="002929CC" w:rsidRDefault="002929CC" w:rsidP="00E35054">
            <w:pPr>
              <w:pStyle w:val="covertext"/>
            </w:pPr>
            <w:r>
              <w:t>Abstract</w:t>
            </w:r>
          </w:p>
        </w:tc>
        <w:tc>
          <w:tcPr>
            <w:tcW w:w="8190" w:type="dxa"/>
            <w:gridSpan w:val="2"/>
            <w:tcBorders>
              <w:top w:val="single" w:sz="6" w:space="0" w:color="auto"/>
            </w:tcBorders>
          </w:tcPr>
          <w:p w:rsidR="002929CC" w:rsidRDefault="002929CC" w:rsidP="00E35054">
            <w:pPr>
              <w:pStyle w:val="covertext"/>
            </w:pPr>
            <w:r>
              <w:t>Task</w:t>
            </w:r>
            <w:r w:rsidRPr="00713A35">
              <w:t xml:space="preserve"> Gro</w:t>
            </w:r>
            <w:r>
              <w:t xml:space="preserve">up minutes </w:t>
            </w:r>
          </w:p>
        </w:tc>
      </w:tr>
      <w:tr w:rsidR="002929CC" w:rsidTr="00E35054">
        <w:tc>
          <w:tcPr>
            <w:tcW w:w="1260" w:type="dxa"/>
            <w:tcBorders>
              <w:top w:val="single" w:sz="6" w:space="0" w:color="auto"/>
            </w:tcBorders>
          </w:tcPr>
          <w:p w:rsidR="002929CC" w:rsidRDefault="002929CC" w:rsidP="00E35054">
            <w:pPr>
              <w:pStyle w:val="covertext"/>
            </w:pPr>
            <w:r>
              <w:t>Purpose</w:t>
            </w:r>
          </w:p>
        </w:tc>
        <w:tc>
          <w:tcPr>
            <w:tcW w:w="8190" w:type="dxa"/>
            <w:gridSpan w:val="2"/>
            <w:tcBorders>
              <w:top w:val="single" w:sz="6" w:space="0" w:color="auto"/>
            </w:tcBorders>
          </w:tcPr>
          <w:p w:rsidR="002929CC" w:rsidRDefault="002929CC" w:rsidP="00E35054">
            <w:pPr>
              <w:pStyle w:val="covertext"/>
            </w:pPr>
            <w:r>
              <w:t>Document task group meeting</w:t>
            </w:r>
          </w:p>
        </w:tc>
      </w:tr>
      <w:tr w:rsidR="002929CC" w:rsidTr="00E35054">
        <w:tc>
          <w:tcPr>
            <w:tcW w:w="1260" w:type="dxa"/>
            <w:tcBorders>
              <w:top w:val="single" w:sz="6" w:space="0" w:color="auto"/>
              <w:bottom w:val="single" w:sz="6" w:space="0" w:color="auto"/>
            </w:tcBorders>
          </w:tcPr>
          <w:p w:rsidR="002929CC" w:rsidRDefault="002929CC" w:rsidP="00E35054">
            <w:pPr>
              <w:pStyle w:val="covertext"/>
            </w:pPr>
            <w:r>
              <w:t>Notice</w:t>
            </w:r>
          </w:p>
        </w:tc>
        <w:tc>
          <w:tcPr>
            <w:tcW w:w="8190" w:type="dxa"/>
            <w:gridSpan w:val="2"/>
            <w:tcBorders>
              <w:top w:val="single" w:sz="6" w:space="0" w:color="auto"/>
              <w:bottom w:val="single" w:sz="6" w:space="0" w:color="auto"/>
            </w:tcBorders>
          </w:tcPr>
          <w:p w:rsidR="002929CC" w:rsidRDefault="002929CC" w:rsidP="00E35054">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929CC" w:rsidTr="00E35054">
        <w:tc>
          <w:tcPr>
            <w:tcW w:w="1260" w:type="dxa"/>
            <w:tcBorders>
              <w:top w:val="single" w:sz="6" w:space="0" w:color="auto"/>
              <w:bottom w:val="single" w:sz="6" w:space="0" w:color="auto"/>
            </w:tcBorders>
          </w:tcPr>
          <w:p w:rsidR="002929CC" w:rsidRDefault="002929CC" w:rsidP="00E35054">
            <w:pPr>
              <w:pStyle w:val="covertext"/>
            </w:pPr>
            <w:r>
              <w:t>Release</w:t>
            </w:r>
          </w:p>
        </w:tc>
        <w:tc>
          <w:tcPr>
            <w:tcW w:w="8190" w:type="dxa"/>
            <w:gridSpan w:val="2"/>
            <w:tcBorders>
              <w:top w:val="single" w:sz="6" w:space="0" w:color="auto"/>
              <w:bottom w:val="single" w:sz="6" w:space="0" w:color="auto"/>
            </w:tcBorders>
          </w:tcPr>
          <w:p w:rsidR="002929CC" w:rsidRDefault="002929CC" w:rsidP="00E35054">
            <w:pPr>
              <w:pStyle w:val="covertext"/>
            </w:pPr>
            <w:r>
              <w:t>The contributor acknowledges and accepts that this contribution becomes the property of IEEE and may be made publicly available by P802.15.</w:t>
            </w:r>
          </w:p>
        </w:tc>
      </w:tr>
    </w:tbl>
    <w:p w:rsidR="002929CC" w:rsidRDefault="002929CC">
      <w:r>
        <w:br w:type="page"/>
      </w:r>
    </w:p>
    <w:p w:rsidR="002929CC" w:rsidRDefault="002929CC"/>
    <w:tbl>
      <w:tblPr>
        <w:tblW w:w="14310" w:type="dxa"/>
        <w:tblLook w:val="04A0" w:firstRow="1" w:lastRow="0" w:firstColumn="1" w:lastColumn="0" w:noHBand="0" w:noVBand="1"/>
      </w:tblPr>
      <w:tblGrid>
        <w:gridCol w:w="720"/>
        <w:gridCol w:w="810"/>
        <w:gridCol w:w="1109"/>
        <w:gridCol w:w="585"/>
        <w:gridCol w:w="4356"/>
        <w:gridCol w:w="1260"/>
        <w:gridCol w:w="5470"/>
      </w:tblGrid>
      <w:tr w:rsidR="002929CC" w:rsidRPr="002929CC" w:rsidTr="002929CC">
        <w:tc>
          <w:tcPr>
            <w:tcW w:w="720" w:type="dxa"/>
            <w:tcBorders>
              <w:top w:val="nil"/>
              <w:left w:val="nil"/>
              <w:bottom w:val="nil"/>
              <w:right w:val="nil"/>
            </w:tcBorders>
            <w:shd w:val="clear" w:color="auto" w:fill="auto"/>
            <w:noWrap/>
          </w:tcPr>
          <w:p w:rsidR="002929CC" w:rsidRDefault="002929CC" w:rsidP="002929CC">
            <w:pPr>
              <w:rPr>
                <w:rFonts w:ascii="Calibri" w:hAnsi="Calibri" w:cs="Arial"/>
                <w:color w:val="000000"/>
              </w:rPr>
            </w:pPr>
            <w:r>
              <w:rPr>
                <w:rFonts w:ascii="Calibri" w:hAnsi="Calibri" w:cs="Arial"/>
                <w:color w:val="000000"/>
              </w:rPr>
              <w:t>CID</w:t>
            </w:r>
          </w:p>
        </w:tc>
        <w:tc>
          <w:tcPr>
            <w:tcW w:w="810" w:type="dxa"/>
            <w:tcBorders>
              <w:top w:val="nil"/>
              <w:left w:val="nil"/>
              <w:bottom w:val="nil"/>
              <w:right w:val="nil"/>
            </w:tcBorders>
            <w:shd w:val="clear" w:color="auto" w:fill="auto"/>
            <w:noWrap/>
          </w:tcPr>
          <w:p w:rsidR="002929CC" w:rsidRDefault="002929CC" w:rsidP="002929CC">
            <w:pPr>
              <w:rPr>
                <w:rFonts w:ascii="Calibri" w:hAnsi="Calibri" w:cs="Arial"/>
                <w:color w:val="000000"/>
              </w:rPr>
            </w:pPr>
            <w:r>
              <w:rPr>
                <w:rFonts w:ascii="Calibri" w:hAnsi="Calibri" w:cs="Arial"/>
                <w:color w:val="000000"/>
              </w:rPr>
              <w:t>Page</w:t>
            </w:r>
          </w:p>
        </w:tc>
        <w:tc>
          <w:tcPr>
            <w:tcW w:w="1109" w:type="dxa"/>
            <w:tcBorders>
              <w:top w:val="nil"/>
              <w:left w:val="nil"/>
              <w:bottom w:val="nil"/>
              <w:right w:val="nil"/>
            </w:tcBorders>
            <w:shd w:val="clear" w:color="auto" w:fill="auto"/>
            <w:noWrap/>
          </w:tcPr>
          <w:p w:rsidR="002929CC" w:rsidRDefault="002929CC" w:rsidP="002929CC">
            <w:pPr>
              <w:rPr>
                <w:rFonts w:ascii="Calibri" w:hAnsi="Calibri" w:cs="Arial"/>
                <w:color w:val="000000"/>
              </w:rPr>
            </w:pPr>
            <w:r>
              <w:rPr>
                <w:rFonts w:ascii="Calibri" w:hAnsi="Calibri" w:cs="Arial"/>
                <w:color w:val="000000"/>
              </w:rPr>
              <w:t>Subclause</w:t>
            </w:r>
          </w:p>
        </w:tc>
        <w:tc>
          <w:tcPr>
            <w:tcW w:w="585" w:type="dxa"/>
            <w:tcBorders>
              <w:top w:val="nil"/>
              <w:left w:val="nil"/>
              <w:bottom w:val="nil"/>
              <w:right w:val="nil"/>
            </w:tcBorders>
            <w:shd w:val="clear" w:color="auto" w:fill="auto"/>
            <w:noWrap/>
          </w:tcPr>
          <w:p w:rsidR="002929CC" w:rsidRDefault="002929CC" w:rsidP="002929CC">
            <w:pPr>
              <w:rPr>
                <w:rFonts w:ascii="Calibri" w:hAnsi="Calibri" w:cs="Arial"/>
                <w:color w:val="000000"/>
              </w:rPr>
            </w:pPr>
            <w:r>
              <w:rPr>
                <w:rFonts w:ascii="Calibri" w:hAnsi="Calibri" w:cs="Arial"/>
                <w:color w:val="000000"/>
              </w:rPr>
              <w:t>Line</w:t>
            </w:r>
          </w:p>
        </w:tc>
        <w:tc>
          <w:tcPr>
            <w:tcW w:w="4356" w:type="dxa"/>
            <w:tcBorders>
              <w:top w:val="nil"/>
              <w:left w:val="nil"/>
              <w:bottom w:val="nil"/>
              <w:right w:val="nil"/>
            </w:tcBorders>
            <w:shd w:val="clear" w:color="auto" w:fill="auto"/>
          </w:tcPr>
          <w:p w:rsidR="002929CC" w:rsidRDefault="002929CC" w:rsidP="002929CC">
            <w:pPr>
              <w:rPr>
                <w:rFonts w:ascii="Calibri" w:hAnsi="Calibri" w:cs="Arial"/>
                <w:color w:val="000000"/>
              </w:rPr>
            </w:pPr>
            <w:r>
              <w:rPr>
                <w:rFonts w:ascii="Calibri" w:hAnsi="Calibri" w:cs="Arial"/>
                <w:color w:val="000000"/>
              </w:rPr>
              <w:t>Comment</w:t>
            </w:r>
          </w:p>
        </w:tc>
        <w:tc>
          <w:tcPr>
            <w:tcW w:w="1260" w:type="dxa"/>
            <w:tcBorders>
              <w:top w:val="nil"/>
              <w:left w:val="nil"/>
              <w:bottom w:val="nil"/>
              <w:right w:val="nil"/>
            </w:tcBorders>
            <w:shd w:val="clear" w:color="auto" w:fill="auto"/>
            <w:noWrap/>
          </w:tcPr>
          <w:p w:rsidR="002929CC" w:rsidRDefault="002929CC" w:rsidP="002929CC">
            <w:pPr>
              <w:rPr>
                <w:rFonts w:ascii="Calibri" w:hAnsi="Calibri" w:cs="Arial"/>
                <w:color w:val="000000"/>
              </w:rPr>
            </w:pPr>
            <w:r>
              <w:rPr>
                <w:rFonts w:ascii="Calibri" w:hAnsi="Calibri" w:cs="Arial"/>
                <w:color w:val="000000"/>
              </w:rPr>
              <w:t>Disposition Status</w:t>
            </w:r>
          </w:p>
        </w:tc>
        <w:tc>
          <w:tcPr>
            <w:tcW w:w="5470" w:type="dxa"/>
            <w:tcBorders>
              <w:top w:val="nil"/>
              <w:left w:val="nil"/>
              <w:bottom w:val="nil"/>
              <w:right w:val="nil"/>
            </w:tcBorders>
            <w:shd w:val="clear" w:color="auto" w:fill="auto"/>
          </w:tcPr>
          <w:p w:rsidR="002929CC" w:rsidRDefault="002929CC" w:rsidP="002929CC">
            <w:pPr>
              <w:rPr>
                <w:rFonts w:ascii="Calibri" w:hAnsi="Calibri" w:cs="Arial"/>
                <w:color w:val="000000"/>
              </w:rPr>
            </w:pPr>
            <w:r>
              <w:rPr>
                <w:rFonts w:ascii="Calibri" w:hAnsi="Calibri" w:cs="Arial"/>
                <w:color w:val="000000"/>
              </w:rPr>
              <w:t>Disposition Detail</w:t>
            </w:r>
          </w:p>
        </w:tc>
      </w:tr>
      <w:tr w:rsidR="00EA17D6" w:rsidRPr="002929CC" w:rsidTr="00EA17D6">
        <w:tc>
          <w:tcPr>
            <w:tcW w:w="720" w:type="dxa"/>
            <w:tcBorders>
              <w:top w:val="nil"/>
              <w:left w:val="nil"/>
              <w:bottom w:val="nil"/>
              <w:right w:val="nil"/>
            </w:tcBorders>
            <w:shd w:val="clear" w:color="auto" w:fill="auto"/>
            <w:noWrap/>
          </w:tcPr>
          <w:p w:rsidR="00EA17D6" w:rsidRDefault="00EA17D6" w:rsidP="00EA17D6">
            <w:pPr>
              <w:rPr>
                <w:rFonts w:ascii="Calibri" w:hAnsi="Calibri" w:cs="Arial"/>
                <w:color w:val="000000"/>
              </w:rPr>
            </w:pPr>
            <w:r>
              <w:rPr>
                <w:rFonts w:ascii="Calibri" w:hAnsi="Calibri" w:cs="Arial"/>
                <w:color w:val="000000"/>
              </w:rPr>
              <w:t>i-222</w:t>
            </w:r>
          </w:p>
        </w:tc>
        <w:tc>
          <w:tcPr>
            <w:tcW w:w="810" w:type="dxa"/>
            <w:tcBorders>
              <w:top w:val="nil"/>
              <w:left w:val="nil"/>
              <w:bottom w:val="nil"/>
              <w:right w:val="nil"/>
            </w:tcBorders>
            <w:shd w:val="clear" w:color="auto" w:fill="auto"/>
            <w:noWrap/>
          </w:tcPr>
          <w:p w:rsidR="00EA17D6" w:rsidRDefault="00EA17D6" w:rsidP="00EA17D6">
            <w:pPr>
              <w:jc w:val="right"/>
              <w:rPr>
                <w:rFonts w:ascii="Calibri" w:hAnsi="Calibri" w:cs="Arial"/>
                <w:color w:val="000000"/>
              </w:rPr>
            </w:pPr>
            <w:r>
              <w:rPr>
                <w:rFonts w:ascii="Calibri" w:hAnsi="Calibri" w:cs="Arial"/>
                <w:color w:val="000000"/>
              </w:rPr>
              <w:t>0</w:t>
            </w:r>
          </w:p>
        </w:tc>
        <w:tc>
          <w:tcPr>
            <w:tcW w:w="1109" w:type="dxa"/>
            <w:tcBorders>
              <w:top w:val="nil"/>
              <w:left w:val="nil"/>
              <w:bottom w:val="nil"/>
              <w:right w:val="nil"/>
            </w:tcBorders>
            <w:shd w:val="clear" w:color="auto" w:fill="auto"/>
            <w:noWrap/>
          </w:tcPr>
          <w:p w:rsidR="00EA17D6" w:rsidRDefault="00EA17D6" w:rsidP="00EA17D6">
            <w:pPr>
              <w:jc w:val="right"/>
              <w:rPr>
                <w:rFonts w:ascii="Calibri" w:hAnsi="Calibri" w:cs="Arial"/>
                <w:color w:val="000000"/>
              </w:rPr>
            </w:pPr>
            <w:r>
              <w:rPr>
                <w:rFonts w:ascii="Calibri" w:hAnsi="Calibri" w:cs="Arial"/>
                <w:color w:val="000000"/>
              </w:rPr>
              <w:t>0</w:t>
            </w:r>
          </w:p>
        </w:tc>
        <w:tc>
          <w:tcPr>
            <w:tcW w:w="585" w:type="dxa"/>
            <w:tcBorders>
              <w:top w:val="nil"/>
              <w:left w:val="nil"/>
              <w:bottom w:val="nil"/>
              <w:right w:val="nil"/>
            </w:tcBorders>
            <w:shd w:val="clear" w:color="auto" w:fill="auto"/>
            <w:noWrap/>
          </w:tcPr>
          <w:p w:rsidR="00EA17D6" w:rsidRDefault="00EA17D6" w:rsidP="00EA17D6">
            <w:pPr>
              <w:jc w:val="right"/>
              <w:rPr>
                <w:rFonts w:ascii="Calibri" w:hAnsi="Calibri" w:cs="Arial"/>
                <w:color w:val="000000"/>
              </w:rPr>
            </w:pPr>
            <w:r>
              <w:rPr>
                <w:rFonts w:ascii="Calibri" w:hAnsi="Calibri" w:cs="Arial"/>
                <w:color w:val="000000"/>
              </w:rPr>
              <w:t>0</w:t>
            </w:r>
          </w:p>
        </w:tc>
        <w:tc>
          <w:tcPr>
            <w:tcW w:w="4356" w:type="dxa"/>
            <w:tcBorders>
              <w:top w:val="nil"/>
              <w:left w:val="nil"/>
              <w:bottom w:val="nil"/>
              <w:right w:val="nil"/>
            </w:tcBorders>
            <w:shd w:val="clear" w:color="auto" w:fill="auto"/>
          </w:tcPr>
          <w:p w:rsidR="00EA17D6" w:rsidRDefault="00EA17D6" w:rsidP="00EA17D6">
            <w:pPr>
              <w:rPr>
                <w:rFonts w:ascii="Calibri" w:hAnsi="Calibri" w:cs="Arial"/>
                <w:color w:val="000000"/>
              </w:rPr>
            </w:pPr>
            <w:r>
              <w:rPr>
                <w:rFonts w:ascii="Calibri" w:hAnsi="Calibri" w:cs="Arial"/>
                <w:color w:val="000000"/>
              </w:rPr>
              <w:t>This whole amendment is way too complex. I think it would be good idea to remove some optional features, or at least try to reduce number of different configurations how this can be configured.</w:t>
            </w:r>
            <w:bookmarkStart w:id="0" w:name="_GoBack"/>
            <w:bookmarkEnd w:id="0"/>
          </w:p>
        </w:tc>
        <w:tc>
          <w:tcPr>
            <w:tcW w:w="1260" w:type="dxa"/>
            <w:tcBorders>
              <w:top w:val="nil"/>
              <w:left w:val="nil"/>
              <w:bottom w:val="nil"/>
              <w:right w:val="nil"/>
            </w:tcBorders>
            <w:shd w:val="clear" w:color="auto" w:fill="auto"/>
            <w:noWrap/>
          </w:tcPr>
          <w:p w:rsidR="00EA17D6" w:rsidRDefault="00EA17D6" w:rsidP="00EA17D6">
            <w:pPr>
              <w:rPr>
                <w:rFonts w:ascii="Calibri" w:hAnsi="Calibri" w:cs="Arial"/>
                <w:color w:val="000000"/>
              </w:rPr>
            </w:pPr>
            <w:r>
              <w:rPr>
                <w:rFonts w:ascii="Calibri" w:hAnsi="Calibri" w:cs="Arial"/>
                <w:color w:val="000000"/>
              </w:rPr>
              <w:t>Rejected</w:t>
            </w:r>
          </w:p>
        </w:tc>
        <w:tc>
          <w:tcPr>
            <w:tcW w:w="5470" w:type="dxa"/>
            <w:tcBorders>
              <w:top w:val="nil"/>
              <w:left w:val="nil"/>
              <w:bottom w:val="nil"/>
              <w:right w:val="nil"/>
            </w:tcBorders>
            <w:shd w:val="clear" w:color="auto" w:fill="auto"/>
          </w:tcPr>
          <w:p w:rsidR="00EA17D6" w:rsidRDefault="00EA17D6" w:rsidP="00EA17D6">
            <w:pPr>
              <w:rPr>
                <w:rFonts w:ascii="Calibri" w:hAnsi="Calibri" w:cs="Arial"/>
                <w:color w:val="000000"/>
              </w:rPr>
            </w:pPr>
            <w:r>
              <w:rPr>
                <w:rFonts w:ascii="Calibri" w:hAnsi="Calibri" w:cs="Arial"/>
                <w:color w:val="000000"/>
              </w:rPr>
              <w:t>The Comment Resolution Group (CRG) disagrees with the comment that amendment is too complex. The CRG believes the features in the draft are within the project scope of the project. The features in this amendment enhance the UWB PHYs and associated ranging technique. The amendment includes features that enhance ranging integrity and accuracy, and provide for exchange of ranging information.</w:t>
            </w:r>
          </w:p>
        </w:tc>
      </w:tr>
      <w:tr w:rsidR="00EA17D6" w:rsidRPr="002929CC" w:rsidTr="00EA17D6">
        <w:tc>
          <w:tcPr>
            <w:tcW w:w="720" w:type="dxa"/>
            <w:tcBorders>
              <w:top w:val="nil"/>
              <w:left w:val="nil"/>
              <w:bottom w:val="nil"/>
              <w:right w:val="nil"/>
            </w:tcBorders>
            <w:shd w:val="clear" w:color="auto" w:fill="auto"/>
            <w:noWrap/>
          </w:tcPr>
          <w:p w:rsidR="00EA17D6" w:rsidRDefault="00EA17D6" w:rsidP="00EA17D6">
            <w:pPr>
              <w:rPr>
                <w:rFonts w:ascii="Calibri" w:hAnsi="Calibri" w:cs="Arial"/>
                <w:color w:val="000000"/>
              </w:rPr>
            </w:pPr>
            <w:r>
              <w:rPr>
                <w:rFonts w:ascii="Calibri" w:hAnsi="Calibri" w:cs="Arial"/>
                <w:color w:val="000000"/>
              </w:rPr>
              <w:t>i-223</w:t>
            </w:r>
          </w:p>
        </w:tc>
        <w:tc>
          <w:tcPr>
            <w:tcW w:w="810" w:type="dxa"/>
            <w:tcBorders>
              <w:top w:val="nil"/>
              <w:left w:val="nil"/>
              <w:bottom w:val="nil"/>
              <w:right w:val="nil"/>
            </w:tcBorders>
            <w:shd w:val="clear" w:color="auto" w:fill="auto"/>
            <w:noWrap/>
          </w:tcPr>
          <w:p w:rsidR="00EA17D6" w:rsidRDefault="00EA17D6" w:rsidP="00EA17D6">
            <w:pPr>
              <w:jc w:val="right"/>
              <w:rPr>
                <w:rFonts w:ascii="Calibri" w:hAnsi="Calibri" w:cs="Arial"/>
                <w:color w:val="000000"/>
              </w:rPr>
            </w:pPr>
            <w:r>
              <w:rPr>
                <w:rFonts w:ascii="Calibri" w:hAnsi="Calibri" w:cs="Arial"/>
                <w:color w:val="000000"/>
              </w:rPr>
              <w:t>0</w:t>
            </w:r>
          </w:p>
        </w:tc>
        <w:tc>
          <w:tcPr>
            <w:tcW w:w="1109" w:type="dxa"/>
            <w:tcBorders>
              <w:top w:val="nil"/>
              <w:left w:val="nil"/>
              <w:bottom w:val="nil"/>
              <w:right w:val="nil"/>
            </w:tcBorders>
            <w:shd w:val="clear" w:color="auto" w:fill="auto"/>
            <w:noWrap/>
          </w:tcPr>
          <w:p w:rsidR="00EA17D6" w:rsidRDefault="00EA17D6" w:rsidP="00EA17D6">
            <w:pPr>
              <w:jc w:val="right"/>
              <w:rPr>
                <w:rFonts w:ascii="Calibri" w:hAnsi="Calibri" w:cs="Arial"/>
                <w:color w:val="000000"/>
              </w:rPr>
            </w:pPr>
            <w:r>
              <w:rPr>
                <w:rFonts w:ascii="Calibri" w:hAnsi="Calibri" w:cs="Arial"/>
                <w:color w:val="000000"/>
              </w:rPr>
              <w:t>0</w:t>
            </w:r>
          </w:p>
        </w:tc>
        <w:tc>
          <w:tcPr>
            <w:tcW w:w="585" w:type="dxa"/>
            <w:tcBorders>
              <w:top w:val="nil"/>
              <w:left w:val="nil"/>
              <w:bottom w:val="nil"/>
              <w:right w:val="nil"/>
            </w:tcBorders>
            <w:shd w:val="clear" w:color="auto" w:fill="auto"/>
            <w:noWrap/>
          </w:tcPr>
          <w:p w:rsidR="00EA17D6" w:rsidRDefault="00EA17D6" w:rsidP="00EA17D6">
            <w:pPr>
              <w:jc w:val="right"/>
              <w:rPr>
                <w:rFonts w:ascii="Calibri" w:hAnsi="Calibri" w:cs="Arial"/>
                <w:color w:val="000000"/>
              </w:rPr>
            </w:pPr>
            <w:r>
              <w:rPr>
                <w:rFonts w:ascii="Calibri" w:hAnsi="Calibri" w:cs="Arial"/>
                <w:color w:val="000000"/>
              </w:rPr>
              <w:t>0</w:t>
            </w:r>
          </w:p>
        </w:tc>
        <w:tc>
          <w:tcPr>
            <w:tcW w:w="4356" w:type="dxa"/>
            <w:tcBorders>
              <w:top w:val="nil"/>
              <w:left w:val="nil"/>
              <w:bottom w:val="nil"/>
              <w:right w:val="nil"/>
            </w:tcBorders>
            <w:shd w:val="clear" w:color="auto" w:fill="auto"/>
          </w:tcPr>
          <w:p w:rsidR="00EA17D6" w:rsidRDefault="00EA17D6" w:rsidP="00EA17D6">
            <w:pPr>
              <w:rPr>
                <w:rFonts w:ascii="Calibri" w:hAnsi="Calibri" w:cs="Arial"/>
                <w:color w:val="000000"/>
              </w:rPr>
            </w:pPr>
            <w:r>
              <w:rPr>
                <w:rFonts w:ascii="Calibri" w:hAnsi="Calibri" w:cs="Arial"/>
                <w:color w:val="000000"/>
              </w:rPr>
              <w:t>Adding 21 new information elements just for ranging is absurd.</w:t>
            </w:r>
          </w:p>
        </w:tc>
        <w:tc>
          <w:tcPr>
            <w:tcW w:w="1260" w:type="dxa"/>
            <w:tcBorders>
              <w:top w:val="nil"/>
              <w:left w:val="nil"/>
              <w:bottom w:val="nil"/>
              <w:right w:val="nil"/>
            </w:tcBorders>
            <w:shd w:val="clear" w:color="auto" w:fill="auto"/>
            <w:noWrap/>
          </w:tcPr>
          <w:p w:rsidR="00EA17D6" w:rsidRDefault="00EA17D6" w:rsidP="00EA17D6">
            <w:pPr>
              <w:rPr>
                <w:rFonts w:ascii="Calibri" w:hAnsi="Calibri" w:cs="Arial"/>
                <w:color w:val="000000"/>
              </w:rPr>
            </w:pPr>
            <w:r>
              <w:rPr>
                <w:rFonts w:ascii="Calibri" w:hAnsi="Calibri" w:cs="Arial"/>
                <w:color w:val="000000"/>
              </w:rPr>
              <w:t>Rejected</w:t>
            </w:r>
          </w:p>
        </w:tc>
        <w:tc>
          <w:tcPr>
            <w:tcW w:w="5470" w:type="dxa"/>
            <w:tcBorders>
              <w:top w:val="nil"/>
              <w:left w:val="nil"/>
              <w:bottom w:val="nil"/>
              <w:right w:val="nil"/>
            </w:tcBorders>
            <w:shd w:val="clear" w:color="auto" w:fill="auto"/>
          </w:tcPr>
          <w:p w:rsidR="00EA17D6" w:rsidRDefault="00EA17D6" w:rsidP="00EA17D6">
            <w:pPr>
              <w:rPr>
                <w:rFonts w:ascii="Calibri" w:hAnsi="Calibri" w:cs="Arial"/>
                <w:color w:val="000000"/>
              </w:rPr>
            </w:pPr>
            <w:r>
              <w:rPr>
                <w:rFonts w:ascii="Calibri" w:hAnsi="Calibri" w:cs="Arial"/>
                <w:color w:val="000000"/>
              </w:rPr>
              <w:t xml:space="preserve">The Comment Resolution Group (CRG) disagrees with the comment that the additional Information Elements (IE) are in any way absurd.  The group has discussed extensively each new IE and refined the content of each to balance the trade-off between number of IEs, IE length and IE complexity.   The group </w:t>
            </w:r>
            <w:proofErr w:type="spellStart"/>
            <w:r>
              <w:rPr>
                <w:rFonts w:ascii="Calibri" w:hAnsi="Calibri" w:cs="Arial"/>
                <w:color w:val="000000"/>
              </w:rPr>
              <w:t>concensus</w:t>
            </w:r>
            <w:proofErr w:type="spellEnd"/>
            <w:r>
              <w:rPr>
                <w:rFonts w:ascii="Calibri" w:hAnsi="Calibri" w:cs="Arial"/>
                <w:color w:val="000000"/>
              </w:rPr>
              <w:t xml:space="preserve"> is that further </w:t>
            </w:r>
            <w:proofErr w:type="spellStart"/>
            <w:r>
              <w:rPr>
                <w:rFonts w:ascii="Calibri" w:hAnsi="Calibri" w:cs="Arial"/>
                <w:color w:val="000000"/>
              </w:rPr>
              <w:t>consolodation</w:t>
            </w:r>
            <w:proofErr w:type="spellEnd"/>
            <w:r>
              <w:rPr>
                <w:rFonts w:ascii="Calibri" w:hAnsi="Calibri" w:cs="Arial"/>
                <w:color w:val="000000"/>
              </w:rPr>
              <w:t xml:space="preserve"> will make individual IEs more complex and less efficient, increasing the overall complexity of the standard without benefit.  </w:t>
            </w:r>
          </w:p>
        </w:tc>
      </w:tr>
      <w:tr w:rsidR="002929CC" w:rsidRPr="002929CC" w:rsidTr="002929CC">
        <w:trPr>
          <w:trHeight w:val="6336"/>
        </w:trPr>
        <w:tc>
          <w:tcPr>
            <w:tcW w:w="720" w:type="dxa"/>
            <w:tcBorders>
              <w:top w:val="nil"/>
              <w:left w:val="nil"/>
              <w:bottom w:val="nil"/>
              <w:right w:val="nil"/>
            </w:tcBorders>
            <w:shd w:val="clear" w:color="auto" w:fill="auto"/>
            <w:noWrap/>
            <w:hideMark/>
          </w:tcPr>
          <w:p w:rsidR="002929CC" w:rsidRPr="002929CC" w:rsidRDefault="002929CC" w:rsidP="002929CC">
            <w:pPr>
              <w:spacing w:after="0" w:line="240" w:lineRule="auto"/>
              <w:rPr>
                <w:rFonts w:ascii="Calibri" w:eastAsia="Times New Roman" w:hAnsi="Calibri" w:cs="Arial"/>
                <w:color w:val="000000"/>
              </w:rPr>
            </w:pPr>
            <w:r w:rsidRPr="002929CC">
              <w:rPr>
                <w:rFonts w:ascii="Calibri" w:eastAsia="Times New Roman" w:hAnsi="Calibri" w:cs="Arial"/>
                <w:color w:val="000000"/>
              </w:rPr>
              <w:t>i-221</w:t>
            </w:r>
          </w:p>
        </w:tc>
        <w:tc>
          <w:tcPr>
            <w:tcW w:w="810" w:type="dxa"/>
            <w:tcBorders>
              <w:top w:val="nil"/>
              <w:left w:val="nil"/>
              <w:bottom w:val="nil"/>
              <w:right w:val="nil"/>
            </w:tcBorders>
            <w:shd w:val="clear" w:color="auto" w:fill="auto"/>
            <w:noWrap/>
            <w:hideMark/>
          </w:tcPr>
          <w:p w:rsidR="002929CC" w:rsidRPr="002929CC" w:rsidRDefault="002929CC" w:rsidP="002929CC">
            <w:pPr>
              <w:spacing w:after="0" w:line="240" w:lineRule="auto"/>
              <w:jc w:val="right"/>
              <w:rPr>
                <w:rFonts w:ascii="Calibri" w:eastAsia="Times New Roman" w:hAnsi="Calibri" w:cs="Arial"/>
                <w:color w:val="000000"/>
              </w:rPr>
            </w:pPr>
            <w:r w:rsidRPr="002929CC">
              <w:rPr>
                <w:rFonts w:ascii="Calibri" w:eastAsia="Times New Roman" w:hAnsi="Calibri" w:cs="Arial"/>
                <w:color w:val="000000"/>
              </w:rPr>
              <w:t>12</w:t>
            </w:r>
          </w:p>
        </w:tc>
        <w:tc>
          <w:tcPr>
            <w:tcW w:w="1109" w:type="dxa"/>
            <w:tcBorders>
              <w:top w:val="nil"/>
              <w:left w:val="nil"/>
              <w:bottom w:val="nil"/>
              <w:right w:val="nil"/>
            </w:tcBorders>
            <w:shd w:val="clear" w:color="auto" w:fill="auto"/>
            <w:noWrap/>
            <w:hideMark/>
          </w:tcPr>
          <w:p w:rsidR="002929CC" w:rsidRPr="002929CC" w:rsidRDefault="002929CC" w:rsidP="002929CC">
            <w:pPr>
              <w:spacing w:after="0" w:line="240" w:lineRule="auto"/>
              <w:jc w:val="right"/>
              <w:rPr>
                <w:rFonts w:ascii="Calibri" w:eastAsia="Times New Roman" w:hAnsi="Calibri" w:cs="Arial"/>
                <w:color w:val="000000"/>
              </w:rPr>
            </w:pPr>
            <w:r w:rsidRPr="002929CC">
              <w:rPr>
                <w:rFonts w:ascii="Calibri" w:eastAsia="Times New Roman" w:hAnsi="Calibri" w:cs="Arial"/>
                <w:color w:val="000000"/>
              </w:rPr>
              <w:t>2</w:t>
            </w:r>
          </w:p>
        </w:tc>
        <w:tc>
          <w:tcPr>
            <w:tcW w:w="585" w:type="dxa"/>
            <w:tcBorders>
              <w:top w:val="nil"/>
              <w:left w:val="nil"/>
              <w:bottom w:val="nil"/>
              <w:right w:val="nil"/>
            </w:tcBorders>
            <w:shd w:val="clear" w:color="auto" w:fill="auto"/>
            <w:noWrap/>
            <w:hideMark/>
          </w:tcPr>
          <w:p w:rsidR="002929CC" w:rsidRPr="002929CC" w:rsidRDefault="002929CC" w:rsidP="002929CC">
            <w:pPr>
              <w:spacing w:after="0" w:line="240" w:lineRule="auto"/>
              <w:jc w:val="right"/>
              <w:rPr>
                <w:rFonts w:ascii="Calibri" w:eastAsia="Times New Roman" w:hAnsi="Calibri" w:cs="Arial"/>
                <w:color w:val="000000"/>
              </w:rPr>
            </w:pPr>
            <w:r w:rsidRPr="002929CC">
              <w:rPr>
                <w:rFonts w:ascii="Calibri" w:eastAsia="Times New Roman" w:hAnsi="Calibri" w:cs="Arial"/>
                <w:color w:val="000000"/>
              </w:rPr>
              <w:t>3</w:t>
            </w:r>
          </w:p>
        </w:tc>
        <w:tc>
          <w:tcPr>
            <w:tcW w:w="4356" w:type="dxa"/>
            <w:tcBorders>
              <w:top w:val="nil"/>
              <w:left w:val="nil"/>
              <w:bottom w:val="nil"/>
              <w:right w:val="nil"/>
            </w:tcBorders>
            <w:shd w:val="clear" w:color="auto" w:fill="auto"/>
            <w:hideMark/>
          </w:tcPr>
          <w:p w:rsidR="002929CC" w:rsidRPr="002929CC" w:rsidRDefault="002929CC" w:rsidP="002929CC">
            <w:pPr>
              <w:spacing w:after="0" w:line="240" w:lineRule="auto"/>
              <w:rPr>
                <w:rFonts w:ascii="Calibri" w:eastAsia="Times New Roman" w:hAnsi="Calibri" w:cs="Arial"/>
                <w:color w:val="000000"/>
              </w:rPr>
            </w:pPr>
            <w:r w:rsidRPr="002929CC">
              <w:rPr>
                <w:rFonts w:ascii="Calibri" w:eastAsia="Times New Roman" w:hAnsi="Calibri" w:cs="Arial"/>
                <w:color w:val="000000"/>
              </w:rPr>
              <w:t>I do not think the IEEE 802.15.9 is normative reference for this amendment. The 6.9.6.9 using it says it can be used, it is not mandatory, thus 802.15.4z can be implemented without implementing 802.15.9 or even reading that document at all.</w:t>
            </w:r>
          </w:p>
        </w:tc>
        <w:tc>
          <w:tcPr>
            <w:tcW w:w="1260" w:type="dxa"/>
            <w:tcBorders>
              <w:top w:val="nil"/>
              <w:left w:val="nil"/>
              <w:bottom w:val="nil"/>
              <w:right w:val="nil"/>
            </w:tcBorders>
            <w:shd w:val="clear" w:color="auto" w:fill="auto"/>
            <w:noWrap/>
            <w:hideMark/>
          </w:tcPr>
          <w:p w:rsidR="002929CC" w:rsidRPr="002929CC" w:rsidRDefault="002929CC" w:rsidP="002929CC">
            <w:pPr>
              <w:spacing w:after="0" w:line="240" w:lineRule="auto"/>
              <w:rPr>
                <w:rFonts w:ascii="Calibri" w:eastAsia="Times New Roman" w:hAnsi="Calibri" w:cs="Arial"/>
                <w:color w:val="000000"/>
              </w:rPr>
            </w:pPr>
            <w:r w:rsidRPr="002929CC">
              <w:rPr>
                <w:rFonts w:ascii="Calibri" w:eastAsia="Times New Roman" w:hAnsi="Calibri" w:cs="Arial"/>
                <w:color w:val="000000"/>
              </w:rPr>
              <w:t>Revised</w:t>
            </w:r>
          </w:p>
        </w:tc>
        <w:tc>
          <w:tcPr>
            <w:tcW w:w="5470" w:type="dxa"/>
            <w:tcBorders>
              <w:top w:val="nil"/>
              <w:left w:val="nil"/>
              <w:bottom w:val="nil"/>
              <w:right w:val="nil"/>
            </w:tcBorders>
            <w:shd w:val="clear" w:color="auto" w:fill="auto"/>
            <w:hideMark/>
          </w:tcPr>
          <w:p w:rsidR="002929CC" w:rsidRPr="002929CC" w:rsidRDefault="002929CC" w:rsidP="002929CC">
            <w:pPr>
              <w:spacing w:after="0" w:line="240" w:lineRule="auto"/>
              <w:rPr>
                <w:rFonts w:ascii="Calibri" w:eastAsia="Times New Roman" w:hAnsi="Calibri" w:cs="Arial"/>
                <w:color w:val="000000"/>
              </w:rPr>
            </w:pPr>
            <w:r w:rsidRPr="002929CC">
              <w:rPr>
                <w:rFonts w:ascii="Calibri" w:eastAsia="Times New Roman" w:hAnsi="Calibri" w:cs="Arial"/>
                <w:color w:val="000000"/>
              </w:rPr>
              <w:t xml:space="preserve">Replace the third and </w:t>
            </w:r>
            <w:proofErr w:type="spellStart"/>
            <w:r w:rsidRPr="002929CC">
              <w:rPr>
                <w:rFonts w:ascii="Calibri" w:eastAsia="Times New Roman" w:hAnsi="Calibri" w:cs="Arial"/>
                <w:color w:val="000000"/>
              </w:rPr>
              <w:t>forth</w:t>
            </w:r>
            <w:proofErr w:type="spellEnd"/>
            <w:r w:rsidRPr="002929CC">
              <w:rPr>
                <w:rFonts w:ascii="Calibri" w:eastAsia="Times New Roman" w:hAnsi="Calibri" w:cs="Arial"/>
                <w:color w:val="000000"/>
              </w:rPr>
              <w:t xml:space="preserve"> sentences of the first paragraph of 6.9.6.9 as follows</w:t>
            </w:r>
            <w:proofErr w:type="gramStart"/>
            <w:r w:rsidRPr="002929CC">
              <w:rPr>
                <w:rFonts w:ascii="Calibri" w:eastAsia="Times New Roman" w:hAnsi="Calibri" w:cs="Arial"/>
                <w:color w:val="000000"/>
              </w:rPr>
              <w:t>:</w:t>
            </w:r>
            <w:proofErr w:type="gramEnd"/>
            <w:r w:rsidRPr="002929CC">
              <w:rPr>
                <w:rFonts w:ascii="Calibri" w:eastAsia="Times New Roman" w:hAnsi="Calibri" w:cs="Arial"/>
                <w:color w:val="000000"/>
              </w:rPr>
              <w:br/>
              <w:t>When used for this purpose, the MPX IE shall be used as follows: (refer to Figure 9 of 21 IEEE Std 802.15.9).</w:t>
            </w:r>
            <w:r w:rsidRPr="002929CC">
              <w:rPr>
                <w:rFonts w:ascii="Calibri" w:eastAsia="Times New Roman" w:hAnsi="Calibri" w:cs="Arial"/>
                <w:color w:val="000000"/>
              </w:rPr>
              <w:br/>
            </w:r>
            <w:r w:rsidRPr="002929CC">
              <w:rPr>
                <w:rFonts w:ascii="Calibri" w:eastAsia="Times New Roman" w:hAnsi="Calibri" w:cs="Arial"/>
                <w:color w:val="000000"/>
              </w:rPr>
              <w:br/>
              <w:t>Replace the second paragraph of 6.9.6.9</w:t>
            </w:r>
            <w:proofErr w:type="gramStart"/>
            <w:r w:rsidRPr="002929CC">
              <w:rPr>
                <w:rFonts w:ascii="Calibri" w:eastAsia="Times New Roman" w:hAnsi="Calibri" w:cs="Arial"/>
                <w:color w:val="000000"/>
              </w:rPr>
              <w:t>:</w:t>
            </w:r>
            <w:proofErr w:type="gramEnd"/>
            <w:r w:rsidRPr="002929CC">
              <w:rPr>
                <w:rFonts w:ascii="Calibri" w:eastAsia="Times New Roman" w:hAnsi="Calibri" w:cs="Arial"/>
                <w:color w:val="000000"/>
              </w:rPr>
              <w:br/>
              <w:t>The Transfer Type field shall be set to one (0b001) to indicate that the Multiplex ID associated with the dispatch code for the MPX IE is indicated by the Transaction ID field of the Transaction Control field. The Transaction ID field contains the five least significant bits of the Multiplex ID used as the dispatch code as defined in Table 20, of IEEE Std 802.15.9, and is used as an identifier to specify that this frame contains information used for Ranging Enhanced Secure Transactions.</w:t>
            </w:r>
            <w:r w:rsidRPr="002929CC">
              <w:rPr>
                <w:rFonts w:ascii="Calibri" w:eastAsia="Times New Roman" w:hAnsi="Calibri" w:cs="Arial"/>
                <w:color w:val="000000"/>
              </w:rPr>
              <w:br/>
            </w:r>
            <w:r w:rsidRPr="002929CC">
              <w:rPr>
                <w:rFonts w:ascii="Calibri" w:eastAsia="Times New Roman" w:hAnsi="Calibri" w:cs="Arial"/>
                <w:color w:val="000000"/>
              </w:rPr>
              <w:br/>
              <w:t>Change third sentence of third paragraph of 6.9.6.9 to</w:t>
            </w:r>
            <w:proofErr w:type="gramStart"/>
            <w:r w:rsidRPr="002929CC">
              <w:rPr>
                <w:rFonts w:ascii="Calibri" w:eastAsia="Times New Roman" w:hAnsi="Calibri" w:cs="Arial"/>
                <w:color w:val="000000"/>
              </w:rPr>
              <w:t>:</w:t>
            </w:r>
            <w:proofErr w:type="gramEnd"/>
            <w:r w:rsidRPr="002929CC">
              <w:rPr>
                <w:rFonts w:ascii="Calibri" w:eastAsia="Times New Roman" w:hAnsi="Calibri" w:cs="Arial"/>
                <w:color w:val="000000"/>
              </w:rPr>
              <w:br/>
              <w:t xml:space="preserve">When used for this purpose, the Upper-Layer Frame Fragment field of the MPX IE </w:t>
            </w:r>
            <w:r w:rsidRPr="002929CC">
              <w:rPr>
                <w:rFonts w:ascii="Calibri" w:eastAsia="Times New Roman" w:hAnsi="Calibri" w:cs="Arial"/>
                <w:color w:val="000000"/>
              </w:rPr>
              <w:br/>
              <w:t xml:space="preserve">carries information to identify and distinguish transactions, with MAC payload used by the next higher layer to route the payload, and shall be formatted as shown in Figure 12.  </w:t>
            </w:r>
          </w:p>
        </w:tc>
      </w:tr>
      <w:tr w:rsidR="002929CC" w:rsidRPr="002929CC" w:rsidTr="002929CC">
        <w:trPr>
          <w:trHeight w:val="2304"/>
        </w:trPr>
        <w:tc>
          <w:tcPr>
            <w:tcW w:w="720" w:type="dxa"/>
            <w:tcBorders>
              <w:top w:val="nil"/>
              <w:left w:val="nil"/>
              <w:bottom w:val="nil"/>
              <w:right w:val="nil"/>
            </w:tcBorders>
            <w:shd w:val="clear" w:color="auto" w:fill="auto"/>
            <w:noWrap/>
            <w:hideMark/>
          </w:tcPr>
          <w:p w:rsidR="002929CC" w:rsidRPr="002929CC" w:rsidRDefault="002929CC" w:rsidP="002929CC">
            <w:pPr>
              <w:spacing w:after="0" w:line="240" w:lineRule="auto"/>
              <w:rPr>
                <w:rFonts w:ascii="Calibri" w:eastAsia="Times New Roman" w:hAnsi="Calibri" w:cs="Arial"/>
                <w:color w:val="000000"/>
              </w:rPr>
            </w:pPr>
            <w:r w:rsidRPr="002929CC">
              <w:rPr>
                <w:rFonts w:ascii="Calibri" w:eastAsia="Times New Roman" w:hAnsi="Calibri" w:cs="Arial"/>
                <w:color w:val="000000"/>
              </w:rPr>
              <w:t>i-217</w:t>
            </w:r>
          </w:p>
        </w:tc>
        <w:tc>
          <w:tcPr>
            <w:tcW w:w="810" w:type="dxa"/>
            <w:tcBorders>
              <w:top w:val="nil"/>
              <w:left w:val="nil"/>
              <w:bottom w:val="nil"/>
              <w:right w:val="nil"/>
            </w:tcBorders>
            <w:shd w:val="clear" w:color="auto" w:fill="auto"/>
            <w:noWrap/>
            <w:hideMark/>
          </w:tcPr>
          <w:p w:rsidR="002929CC" w:rsidRPr="002929CC" w:rsidRDefault="002929CC" w:rsidP="002929CC">
            <w:pPr>
              <w:spacing w:after="0" w:line="240" w:lineRule="auto"/>
              <w:jc w:val="right"/>
              <w:rPr>
                <w:rFonts w:ascii="Calibri" w:eastAsia="Times New Roman" w:hAnsi="Calibri" w:cs="Arial"/>
                <w:color w:val="000000"/>
              </w:rPr>
            </w:pPr>
            <w:r w:rsidRPr="002929CC">
              <w:rPr>
                <w:rFonts w:ascii="Calibri" w:eastAsia="Times New Roman" w:hAnsi="Calibri" w:cs="Arial"/>
                <w:color w:val="000000"/>
              </w:rPr>
              <w:t>12</w:t>
            </w:r>
          </w:p>
        </w:tc>
        <w:tc>
          <w:tcPr>
            <w:tcW w:w="1109" w:type="dxa"/>
            <w:tcBorders>
              <w:top w:val="nil"/>
              <w:left w:val="nil"/>
              <w:bottom w:val="nil"/>
              <w:right w:val="nil"/>
            </w:tcBorders>
            <w:shd w:val="clear" w:color="auto" w:fill="auto"/>
            <w:noWrap/>
            <w:hideMark/>
          </w:tcPr>
          <w:p w:rsidR="002929CC" w:rsidRPr="002929CC" w:rsidRDefault="002929CC" w:rsidP="002929CC">
            <w:pPr>
              <w:spacing w:after="0" w:line="240" w:lineRule="auto"/>
              <w:jc w:val="right"/>
              <w:rPr>
                <w:rFonts w:ascii="Calibri" w:eastAsia="Times New Roman" w:hAnsi="Calibri" w:cs="Arial"/>
                <w:color w:val="000000"/>
              </w:rPr>
            </w:pPr>
            <w:r w:rsidRPr="002929CC">
              <w:rPr>
                <w:rFonts w:ascii="Calibri" w:eastAsia="Times New Roman" w:hAnsi="Calibri" w:cs="Arial"/>
                <w:color w:val="000000"/>
              </w:rPr>
              <w:t>2</w:t>
            </w:r>
          </w:p>
        </w:tc>
        <w:tc>
          <w:tcPr>
            <w:tcW w:w="585" w:type="dxa"/>
            <w:tcBorders>
              <w:top w:val="nil"/>
              <w:left w:val="nil"/>
              <w:bottom w:val="nil"/>
              <w:right w:val="nil"/>
            </w:tcBorders>
            <w:shd w:val="clear" w:color="auto" w:fill="auto"/>
            <w:noWrap/>
            <w:hideMark/>
          </w:tcPr>
          <w:p w:rsidR="002929CC" w:rsidRPr="002929CC" w:rsidRDefault="002929CC" w:rsidP="002929CC">
            <w:pPr>
              <w:spacing w:after="0" w:line="240" w:lineRule="auto"/>
              <w:jc w:val="right"/>
              <w:rPr>
                <w:rFonts w:ascii="Calibri" w:eastAsia="Times New Roman" w:hAnsi="Calibri" w:cs="Arial"/>
                <w:color w:val="000000"/>
              </w:rPr>
            </w:pPr>
            <w:r w:rsidRPr="002929CC">
              <w:rPr>
                <w:rFonts w:ascii="Calibri" w:eastAsia="Times New Roman" w:hAnsi="Calibri" w:cs="Arial"/>
                <w:color w:val="000000"/>
              </w:rPr>
              <w:t>5</w:t>
            </w:r>
          </w:p>
        </w:tc>
        <w:tc>
          <w:tcPr>
            <w:tcW w:w="4356" w:type="dxa"/>
            <w:tcBorders>
              <w:top w:val="nil"/>
              <w:left w:val="nil"/>
              <w:bottom w:val="nil"/>
              <w:right w:val="nil"/>
            </w:tcBorders>
            <w:shd w:val="clear" w:color="auto" w:fill="auto"/>
            <w:hideMark/>
          </w:tcPr>
          <w:p w:rsidR="002929CC" w:rsidRPr="002929CC" w:rsidRDefault="002929CC" w:rsidP="002929CC">
            <w:pPr>
              <w:spacing w:after="0" w:line="240" w:lineRule="auto"/>
              <w:rPr>
                <w:rFonts w:ascii="Calibri" w:eastAsia="Times New Roman" w:hAnsi="Calibri" w:cs="Arial"/>
                <w:color w:val="000000"/>
              </w:rPr>
            </w:pPr>
            <w:r w:rsidRPr="002929CC">
              <w:rPr>
                <w:rFonts w:ascii="Calibri" w:eastAsia="Times New Roman" w:hAnsi="Calibri" w:cs="Arial"/>
                <w:color w:val="000000"/>
              </w:rPr>
              <w:t>I do not think ISO/IEC 7816-4:2013 is normative reference for 802.15.4.</w:t>
            </w:r>
          </w:p>
        </w:tc>
        <w:tc>
          <w:tcPr>
            <w:tcW w:w="1260" w:type="dxa"/>
            <w:tcBorders>
              <w:top w:val="nil"/>
              <w:left w:val="nil"/>
              <w:bottom w:val="nil"/>
              <w:right w:val="nil"/>
            </w:tcBorders>
            <w:shd w:val="clear" w:color="auto" w:fill="auto"/>
            <w:noWrap/>
            <w:hideMark/>
          </w:tcPr>
          <w:p w:rsidR="002929CC" w:rsidRPr="002929CC" w:rsidRDefault="002929CC" w:rsidP="002929CC">
            <w:pPr>
              <w:spacing w:after="0" w:line="240" w:lineRule="auto"/>
              <w:rPr>
                <w:rFonts w:ascii="Calibri" w:eastAsia="Times New Roman" w:hAnsi="Calibri" w:cs="Arial"/>
                <w:color w:val="000000"/>
              </w:rPr>
            </w:pPr>
            <w:r w:rsidRPr="002929CC">
              <w:rPr>
                <w:rFonts w:ascii="Calibri" w:eastAsia="Times New Roman" w:hAnsi="Calibri" w:cs="Arial"/>
                <w:color w:val="000000"/>
              </w:rPr>
              <w:t>Rejected</w:t>
            </w:r>
          </w:p>
        </w:tc>
        <w:tc>
          <w:tcPr>
            <w:tcW w:w="5470" w:type="dxa"/>
            <w:tcBorders>
              <w:top w:val="nil"/>
              <w:left w:val="nil"/>
              <w:bottom w:val="nil"/>
              <w:right w:val="nil"/>
            </w:tcBorders>
            <w:shd w:val="clear" w:color="auto" w:fill="auto"/>
            <w:hideMark/>
          </w:tcPr>
          <w:p w:rsidR="002929CC" w:rsidRPr="002929CC" w:rsidRDefault="002929CC" w:rsidP="002929CC">
            <w:pPr>
              <w:spacing w:after="0" w:line="240" w:lineRule="auto"/>
              <w:rPr>
                <w:rFonts w:ascii="Calibri" w:eastAsia="Times New Roman" w:hAnsi="Calibri" w:cs="Arial"/>
                <w:color w:val="000000"/>
              </w:rPr>
            </w:pPr>
            <w:r w:rsidRPr="002929CC">
              <w:rPr>
                <w:rFonts w:ascii="Calibri" w:eastAsia="Times New Roman" w:hAnsi="Calibri" w:cs="Arial"/>
                <w:color w:val="000000"/>
              </w:rPr>
              <w:t xml:space="preserve">The CRG disagrees with the comment:  ISO/IEC 7816-4 is referenced normatively in Table 5 and Table 6 (6.9.6.9); the role and </w:t>
            </w:r>
            <w:proofErr w:type="spellStart"/>
            <w:r w:rsidRPr="002929CC">
              <w:rPr>
                <w:rFonts w:ascii="Calibri" w:eastAsia="Times New Roman" w:hAnsi="Calibri" w:cs="Arial"/>
                <w:color w:val="000000"/>
              </w:rPr>
              <w:t>siginficance</w:t>
            </w:r>
            <w:proofErr w:type="spellEnd"/>
            <w:r w:rsidRPr="002929CC">
              <w:rPr>
                <w:rFonts w:ascii="Calibri" w:eastAsia="Times New Roman" w:hAnsi="Calibri" w:cs="Arial"/>
                <w:color w:val="000000"/>
              </w:rPr>
              <w:t xml:space="preserve"> of the reference is clear: it is defining format of a field in an over the air data structure, the format of which is defined in this standard. The reference contains information users of the standard must have and understand in order to correctly implement the Information Element.</w:t>
            </w:r>
          </w:p>
        </w:tc>
      </w:tr>
      <w:tr w:rsidR="002929CC" w:rsidRPr="002929CC" w:rsidTr="002929CC">
        <w:trPr>
          <w:trHeight w:val="2304"/>
        </w:trPr>
        <w:tc>
          <w:tcPr>
            <w:tcW w:w="720" w:type="dxa"/>
            <w:tcBorders>
              <w:top w:val="nil"/>
              <w:left w:val="nil"/>
              <w:bottom w:val="nil"/>
              <w:right w:val="nil"/>
            </w:tcBorders>
            <w:shd w:val="clear" w:color="auto" w:fill="auto"/>
            <w:noWrap/>
            <w:hideMark/>
          </w:tcPr>
          <w:p w:rsidR="002929CC" w:rsidRPr="002929CC" w:rsidRDefault="002929CC" w:rsidP="002929CC">
            <w:pPr>
              <w:spacing w:after="0" w:line="240" w:lineRule="auto"/>
              <w:rPr>
                <w:rFonts w:ascii="Calibri" w:eastAsia="Times New Roman" w:hAnsi="Calibri" w:cs="Arial"/>
                <w:color w:val="000000"/>
              </w:rPr>
            </w:pPr>
            <w:r w:rsidRPr="002929CC">
              <w:rPr>
                <w:rFonts w:ascii="Calibri" w:eastAsia="Times New Roman" w:hAnsi="Calibri" w:cs="Arial"/>
                <w:color w:val="000000"/>
              </w:rPr>
              <w:t>i-218</w:t>
            </w:r>
          </w:p>
        </w:tc>
        <w:tc>
          <w:tcPr>
            <w:tcW w:w="810" w:type="dxa"/>
            <w:tcBorders>
              <w:top w:val="nil"/>
              <w:left w:val="nil"/>
              <w:bottom w:val="nil"/>
              <w:right w:val="nil"/>
            </w:tcBorders>
            <w:shd w:val="clear" w:color="auto" w:fill="auto"/>
            <w:noWrap/>
            <w:hideMark/>
          </w:tcPr>
          <w:p w:rsidR="002929CC" w:rsidRPr="002929CC" w:rsidRDefault="002929CC" w:rsidP="002929CC">
            <w:pPr>
              <w:spacing w:after="0" w:line="240" w:lineRule="auto"/>
              <w:jc w:val="right"/>
              <w:rPr>
                <w:rFonts w:ascii="Calibri" w:eastAsia="Times New Roman" w:hAnsi="Calibri" w:cs="Arial"/>
                <w:color w:val="000000"/>
              </w:rPr>
            </w:pPr>
            <w:r w:rsidRPr="002929CC">
              <w:rPr>
                <w:rFonts w:ascii="Calibri" w:eastAsia="Times New Roman" w:hAnsi="Calibri" w:cs="Arial"/>
                <w:color w:val="000000"/>
              </w:rPr>
              <w:t>12</w:t>
            </w:r>
          </w:p>
        </w:tc>
        <w:tc>
          <w:tcPr>
            <w:tcW w:w="1109" w:type="dxa"/>
            <w:tcBorders>
              <w:top w:val="nil"/>
              <w:left w:val="nil"/>
              <w:bottom w:val="nil"/>
              <w:right w:val="nil"/>
            </w:tcBorders>
            <w:shd w:val="clear" w:color="auto" w:fill="auto"/>
            <w:noWrap/>
            <w:hideMark/>
          </w:tcPr>
          <w:p w:rsidR="002929CC" w:rsidRPr="002929CC" w:rsidRDefault="002929CC" w:rsidP="002929CC">
            <w:pPr>
              <w:spacing w:after="0" w:line="240" w:lineRule="auto"/>
              <w:jc w:val="right"/>
              <w:rPr>
                <w:rFonts w:ascii="Calibri" w:eastAsia="Times New Roman" w:hAnsi="Calibri" w:cs="Arial"/>
                <w:color w:val="000000"/>
              </w:rPr>
            </w:pPr>
            <w:r w:rsidRPr="002929CC">
              <w:rPr>
                <w:rFonts w:ascii="Calibri" w:eastAsia="Times New Roman" w:hAnsi="Calibri" w:cs="Arial"/>
                <w:color w:val="000000"/>
              </w:rPr>
              <w:t>2</w:t>
            </w:r>
          </w:p>
        </w:tc>
        <w:tc>
          <w:tcPr>
            <w:tcW w:w="585" w:type="dxa"/>
            <w:tcBorders>
              <w:top w:val="nil"/>
              <w:left w:val="nil"/>
              <w:bottom w:val="nil"/>
              <w:right w:val="nil"/>
            </w:tcBorders>
            <w:shd w:val="clear" w:color="auto" w:fill="auto"/>
            <w:noWrap/>
            <w:hideMark/>
          </w:tcPr>
          <w:p w:rsidR="002929CC" w:rsidRPr="002929CC" w:rsidRDefault="002929CC" w:rsidP="002929CC">
            <w:pPr>
              <w:spacing w:after="0" w:line="240" w:lineRule="auto"/>
              <w:jc w:val="right"/>
              <w:rPr>
                <w:rFonts w:ascii="Calibri" w:eastAsia="Times New Roman" w:hAnsi="Calibri" w:cs="Arial"/>
                <w:color w:val="000000"/>
              </w:rPr>
            </w:pPr>
            <w:r w:rsidRPr="002929CC">
              <w:rPr>
                <w:rFonts w:ascii="Calibri" w:eastAsia="Times New Roman" w:hAnsi="Calibri" w:cs="Arial"/>
                <w:color w:val="000000"/>
              </w:rPr>
              <w:t>7</w:t>
            </w:r>
          </w:p>
        </w:tc>
        <w:tc>
          <w:tcPr>
            <w:tcW w:w="4356" w:type="dxa"/>
            <w:tcBorders>
              <w:top w:val="nil"/>
              <w:left w:val="nil"/>
              <w:bottom w:val="nil"/>
              <w:right w:val="nil"/>
            </w:tcBorders>
            <w:shd w:val="clear" w:color="auto" w:fill="auto"/>
            <w:hideMark/>
          </w:tcPr>
          <w:p w:rsidR="002929CC" w:rsidRPr="002929CC" w:rsidRDefault="002929CC" w:rsidP="002929CC">
            <w:pPr>
              <w:spacing w:after="0" w:line="240" w:lineRule="auto"/>
              <w:rPr>
                <w:rFonts w:ascii="Calibri" w:eastAsia="Times New Roman" w:hAnsi="Calibri" w:cs="Arial"/>
                <w:color w:val="000000"/>
              </w:rPr>
            </w:pPr>
            <w:r w:rsidRPr="002929CC">
              <w:rPr>
                <w:rFonts w:ascii="Calibri" w:eastAsia="Times New Roman" w:hAnsi="Calibri" w:cs="Arial"/>
                <w:color w:val="000000"/>
              </w:rPr>
              <w:t>I do not think ISO/IEC 7816-5:2013 is normative reference for 802.15.4.</w:t>
            </w:r>
          </w:p>
        </w:tc>
        <w:tc>
          <w:tcPr>
            <w:tcW w:w="1260" w:type="dxa"/>
            <w:tcBorders>
              <w:top w:val="nil"/>
              <w:left w:val="nil"/>
              <w:bottom w:val="nil"/>
              <w:right w:val="nil"/>
            </w:tcBorders>
            <w:shd w:val="clear" w:color="auto" w:fill="auto"/>
            <w:noWrap/>
            <w:hideMark/>
          </w:tcPr>
          <w:p w:rsidR="002929CC" w:rsidRPr="002929CC" w:rsidRDefault="002929CC" w:rsidP="002929CC">
            <w:pPr>
              <w:spacing w:after="0" w:line="240" w:lineRule="auto"/>
              <w:rPr>
                <w:rFonts w:ascii="Calibri" w:eastAsia="Times New Roman" w:hAnsi="Calibri" w:cs="Arial"/>
                <w:color w:val="000000"/>
              </w:rPr>
            </w:pPr>
            <w:r w:rsidRPr="002929CC">
              <w:rPr>
                <w:rFonts w:ascii="Calibri" w:eastAsia="Times New Roman" w:hAnsi="Calibri" w:cs="Arial"/>
                <w:color w:val="000000"/>
              </w:rPr>
              <w:t>Rejected</w:t>
            </w:r>
          </w:p>
        </w:tc>
        <w:tc>
          <w:tcPr>
            <w:tcW w:w="5470" w:type="dxa"/>
            <w:tcBorders>
              <w:top w:val="nil"/>
              <w:left w:val="nil"/>
              <w:bottom w:val="nil"/>
              <w:right w:val="nil"/>
            </w:tcBorders>
            <w:shd w:val="clear" w:color="auto" w:fill="auto"/>
            <w:hideMark/>
          </w:tcPr>
          <w:p w:rsidR="002929CC" w:rsidRPr="002929CC" w:rsidRDefault="002929CC" w:rsidP="002929CC">
            <w:pPr>
              <w:spacing w:after="0" w:line="240" w:lineRule="auto"/>
              <w:rPr>
                <w:rFonts w:ascii="Calibri" w:eastAsia="Times New Roman" w:hAnsi="Calibri" w:cs="Arial"/>
                <w:color w:val="000000"/>
              </w:rPr>
            </w:pPr>
            <w:r w:rsidRPr="002929CC">
              <w:rPr>
                <w:rFonts w:ascii="Calibri" w:eastAsia="Times New Roman" w:hAnsi="Calibri" w:cs="Arial"/>
                <w:color w:val="000000"/>
              </w:rPr>
              <w:t xml:space="preserve">The CRG disagrees with the comment:  ISO/IEC 7816-4 is referenced normatively in Table 5 and Table 6 (6.9.6.9); the role and </w:t>
            </w:r>
            <w:proofErr w:type="spellStart"/>
            <w:r w:rsidRPr="002929CC">
              <w:rPr>
                <w:rFonts w:ascii="Calibri" w:eastAsia="Times New Roman" w:hAnsi="Calibri" w:cs="Arial"/>
                <w:color w:val="000000"/>
              </w:rPr>
              <w:t>siginficance</w:t>
            </w:r>
            <w:proofErr w:type="spellEnd"/>
            <w:r w:rsidRPr="002929CC">
              <w:rPr>
                <w:rFonts w:ascii="Calibri" w:eastAsia="Times New Roman" w:hAnsi="Calibri" w:cs="Arial"/>
                <w:color w:val="000000"/>
              </w:rPr>
              <w:t xml:space="preserve"> of the reference is clear: it is defining format of a field in an over the air data structure, the format of which is defined in this standard. The reference contains information users of the standard must have and understand in order to correctly implement the Information Element.</w:t>
            </w:r>
          </w:p>
        </w:tc>
      </w:tr>
      <w:tr w:rsidR="002929CC" w:rsidRPr="002929CC" w:rsidTr="002929CC">
        <w:trPr>
          <w:trHeight w:val="2304"/>
        </w:trPr>
        <w:tc>
          <w:tcPr>
            <w:tcW w:w="720" w:type="dxa"/>
            <w:tcBorders>
              <w:top w:val="nil"/>
              <w:left w:val="nil"/>
              <w:bottom w:val="nil"/>
              <w:right w:val="nil"/>
            </w:tcBorders>
            <w:shd w:val="clear" w:color="auto" w:fill="auto"/>
            <w:noWrap/>
            <w:hideMark/>
          </w:tcPr>
          <w:p w:rsidR="002929CC" w:rsidRPr="002929CC" w:rsidRDefault="002929CC" w:rsidP="002929CC">
            <w:pPr>
              <w:spacing w:after="0" w:line="240" w:lineRule="auto"/>
              <w:rPr>
                <w:rFonts w:ascii="Calibri" w:eastAsia="Times New Roman" w:hAnsi="Calibri" w:cs="Arial"/>
                <w:color w:val="000000"/>
              </w:rPr>
            </w:pPr>
            <w:r w:rsidRPr="002929CC">
              <w:rPr>
                <w:rFonts w:ascii="Calibri" w:eastAsia="Times New Roman" w:hAnsi="Calibri" w:cs="Arial"/>
                <w:color w:val="000000"/>
              </w:rPr>
              <w:t>i-219</w:t>
            </w:r>
          </w:p>
        </w:tc>
        <w:tc>
          <w:tcPr>
            <w:tcW w:w="810" w:type="dxa"/>
            <w:tcBorders>
              <w:top w:val="nil"/>
              <w:left w:val="nil"/>
              <w:bottom w:val="nil"/>
              <w:right w:val="nil"/>
            </w:tcBorders>
            <w:shd w:val="clear" w:color="auto" w:fill="auto"/>
            <w:noWrap/>
            <w:hideMark/>
          </w:tcPr>
          <w:p w:rsidR="002929CC" w:rsidRPr="002929CC" w:rsidRDefault="002929CC" w:rsidP="002929CC">
            <w:pPr>
              <w:spacing w:after="0" w:line="240" w:lineRule="auto"/>
              <w:jc w:val="right"/>
              <w:rPr>
                <w:rFonts w:ascii="Calibri" w:eastAsia="Times New Roman" w:hAnsi="Calibri" w:cs="Arial"/>
                <w:color w:val="000000"/>
              </w:rPr>
            </w:pPr>
            <w:r w:rsidRPr="002929CC">
              <w:rPr>
                <w:rFonts w:ascii="Calibri" w:eastAsia="Times New Roman" w:hAnsi="Calibri" w:cs="Arial"/>
                <w:color w:val="000000"/>
              </w:rPr>
              <w:t>12</w:t>
            </w:r>
          </w:p>
        </w:tc>
        <w:tc>
          <w:tcPr>
            <w:tcW w:w="1109" w:type="dxa"/>
            <w:tcBorders>
              <w:top w:val="nil"/>
              <w:left w:val="nil"/>
              <w:bottom w:val="nil"/>
              <w:right w:val="nil"/>
            </w:tcBorders>
            <w:shd w:val="clear" w:color="auto" w:fill="auto"/>
            <w:noWrap/>
            <w:hideMark/>
          </w:tcPr>
          <w:p w:rsidR="002929CC" w:rsidRPr="002929CC" w:rsidRDefault="002929CC" w:rsidP="002929CC">
            <w:pPr>
              <w:spacing w:after="0" w:line="240" w:lineRule="auto"/>
              <w:jc w:val="right"/>
              <w:rPr>
                <w:rFonts w:ascii="Calibri" w:eastAsia="Times New Roman" w:hAnsi="Calibri" w:cs="Arial"/>
                <w:color w:val="000000"/>
              </w:rPr>
            </w:pPr>
            <w:r w:rsidRPr="002929CC">
              <w:rPr>
                <w:rFonts w:ascii="Calibri" w:eastAsia="Times New Roman" w:hAnsi="Calibri" w:cs="Arial"/>
                <w:color w:val="000000"/>
              </w:rPr>
              <w:t>2</w:t>
            </w:r>
          </w:p>
        </w:tc>
        <w:tc>
          <w:tcPr>
            <w:tcW w:w="585" w:type="dxa"/>
            <w:tcBorders>
              <w:top w:val="nil"/>
              <w:left w:val="nil"/>
              <w:bottom w:val="nil"/>
              <w:right w:val="nil"/>
            </w:tcBorders>
            <w:shd w:val="clear" w:color="auto" w:fill="auto"/>
            <w:noWrap/>
            <w:hideMark/>
          </w:tcPr>
          <w:p w:rsidR="002929CC" w:rsidRPr="002929CC" w:rsidRDefault="002929CC" w:rsidP="002929CC">
            <w:pPr>
              <w:spacing w:after="0" w:line="240" w:lineRule="auto"/>
              <w:jc w:val="right"/>
              <w:rPr>
                <w:rFonts w:ascii="Calibri" w:eastAsia="Times New Roman" w:hAnsi="Calibri" w:cs="Arial"/>
                <w:color w:val="000000"/>
              </w:rPr>
            </w:pPr>
            <w:r w:rsidRPr="002929CC">
              <w:rPr>
                <w:rFonts w:ascii="Calibri" w:eastAsia="Times New Roman" w:hAnsi="Calibri" w:cs="Arial"/>
                <w:color w:val="000000"/>
              </w:rPr>
              <w:t>9</w:t>
            </w:r>
          </w:p>
        </w:tc>
        <w:tc>
          <w:tcPr>
            <w:tcW w:w="4356" w:type="dxa"/>
            <w:tcBorders>
              <w:top w:val="nil"/>
              <w:left w:val="nil"/>
              <w:bottom w:val="nil"/>
              <w:right w:val="nil"/>
            </w:tcBorders>
            <w:shd w:val="clear" w:color="auto" w:fill="auto"/>
            <w:hideMark/>
          </w:tcPr>
          <w:p w:rsidR="002929CC" w:rsidRPr="002929CC" w:rsidRDefault="002929CC" w:rsidP="002929CC">
            <w:pPr>
              <w:spacing w:after="0" w:line="240" w:lineRule="auto"/>
              <w:rPr>
                <w:rFonts w:ascii="Calibri" w:eastAsia="Times New Roman" w:hAnsi="Calibri" w:cs="Arial"/>
                <w:color w:val="000000"/>
              </w:rPr>
            </w:pPr>
            <w:r w:rsidRPr="002929CC">
              <w:rPr>
                <w:rFonts w:ascii="Calibri" w:eastAsia="Times New Roman" w:hAnsi="Calibri" w:cs="Arial"/>
                <w:color w:val="000000"/>
              </w:rPr>
              <w:t>I do not think JIS X 6319-4:2016 is normative reference for 802.15.4.</w:t>
            </w:r>
          </w:p>
        </w:tc>
        <w:tc>
          <w:tcPr>
            <w:tcW w:w="1260" w:type="dxa"/>
            <w:tcBorders>
              <w:top w:val="nil"/>
              <w:left w:val="nil"/>
              <w:bottom w:val="nil"/>
              <w:right w:val="nil"/>
            </w:tcBorders>
            <w:shd w:val="clear" w:color="auto" w:fill="auto"/>
            <w:noWrap/>
            <w:hideMark/>
          </w:tcPr>
          <w:p w:rsidR="002929CC" w:rsidRPr="002929CC" w:rsidRDefault="002929CC" w:rsidP="002929CC">
            <w:pPr>
              <w:spacing w:after="0" w:line="240" w:lineRule="auto"/>
              <w:rPr>
                <w:rFonts w:ascii="Calibri" w:eastAsia="Times New Roman" w:hAnsi="Calibri" w:cs="Arial"/>
                <w:color w:val="000000"/>
              </w:rPr>
            </w:pPr>
            <w:r w:rsidRPr="002929CC">
              <w:rPr>
                <w:rFonts w:ascii="Calibri" w:eastAsia="Times New Roman" w:hAnsi="Calibri" w:cs="Arial"/>
                <w:color w:val="000000"/>
              </w:rPr>
              <w:t>Rejected</w:t>
            </w:r>
          </w:p>
        </w:tc>
        <w:tc>
          <w:tcPr>
            <w:tcW w:w="5470" w:type="dxa"/>
            <w:tcBorders>
              <w:top w:val="nil"/>
              <w:left w:val="nil"/>
              <w:bottom w:val="nil"/>
              <w:right w:val="nil"/>
            </w:tcBorders>
            <w:shd w:val="clear" w:color="auto" w:fill="auto"/>
            <w:hideMark/>
          </w:tcPr>
          <w:p w:rsidR="002929CC" w:rsidRPr="002929CC" w:rsidRDefault="002929CC" w:rsidP="002929CC">
            <w:pPr>
              <w:spacing w:after="0" w:line="240" w:lineRule="auto"/>
              <w:rPr>
                <w:rFonts w:ascii="Calibri" w:eastAsia="Times New Roman" w:hAnsi="Calibri" w:cs="Arial"/>
                <w:color w:val="000000"/>
              </w:rPr>
            </w:pPr>
            <w:r w:rsidRPr="002929CC">
              <w:rPr>
                <w:rFonts w:ascii="Calibri" w:eastAsia="Times New Roman" w:hAnsi="Calibri" w:cs="Arial"/>
                <w:color w:val="000000"/>
              </w:rPr>
              <w:t xml:space="preserve">The CRG disagrees with the comment:  JIS X 6319 is referenced normatively in Table 5 and text in 6.9.6.9; the role and </w:t>
            </w:r>
            <w:proofErr w:type="spellStart"/>
            <w:r w:rsidRPr="002929CC">
              <w:rPr>
                <w:rFonts w:ascii="Calibri" w:eastAsia="Times New Roman" w:hAnsi="Calibri" w:cs="Arial"/>
                <w:color w:val="000000"/>
              </w:rPr>
              <w:t>siginficance</w:t>
            </w:r>
            <w:proofErr w:type="spellEnd"/>
            <w:r w:rsidRPr="002929CC">
              <w:rPr>
                <w:rFonts w:ascii="Calibri" w:eastAsia="Times New Roman" w:hAnsi="Calibri" w:cs="Arial"/>
                <w:color w:val="000000"/>
              </w:rPr>
              <w:t xml:space="preserve"> of the reference is clear as it is defining format of a field in an over the air data structure defined in this standard.   The reference contains information users of the standard must have and understand in order to correctly implement the Information Element.</w:t>
            </w:r>
          </w:p>
        </w:tc>
      </w:tr>
      <w:tr w:rsidR="002929CC" w:rsidRPr="002929CC" w:rsidTr="002929CC">
        <w:trPr>
          <w:trHeight w:val="3744"/>
        </w:trPr>
        <w:tc>
          <w:tcPr>
            <w:tcW w:w="720" w:type="dxa"/>
            <w:tcBorders>
              <w:top w:val="nil"/>
              <w:left w:val="nil"/>
              <w:bottom w:val="nil"/>
              <w:right w:val="nil"/>
            </w:tcBorders>
            <w:shd w:val="clear" w:color="auto" w:fill="auto"/>
            <w:noWrap/>
            <w:hideMark/>
          </w:tcPr>
          <w:p w:rsidR="002929CC" w:rsidRPr="002929CC" w:rsidRDefault="002929CC" w:rsidP="002929CC">
            <w:pPr>
              <w:spacing w:after="0" w:line="240" w:lineRule="auto"/>
              <w:rPr>
                <w:rFonts w:ascii="Calibri" w:eastAsia="Times New Roman" w:hAnsi="Calibri" w:cs="Arial"/>
                <w:color w:val="000000"/>
              </w:rPr>
            </w:pPr>
            <w:r w:rsidRPr="002929CC">
              <w:rPr>
                <w:rFonts w:ascii="Calibri" w:eastAsia="Times New Roman" w:hAnsi="Calibri" w:cs="Arial"/>
                <w:color w:val="000000"/>
              </w:rPr>
              <w:t>i-216</w:t>
            </w:r>
          </w:p>
        </w:tc>
        <w:tc>
          <w:tcPr>
            <w:tcW w:w="810" w:type="dxa"/>
            <w:tcBorders>
              <w:top w:val="nil"/>
              <w:left w:val="nil"/>
              <w:bottom w:val="nil"/>
              <w:right w:val="nil"/>
            </w:tcBorders>
            <w:shd w:val="clear" w:color="auto" w:fill="auto"/>
            <w:noWrap/>
            <w:hideMark/>
          </w:tcPr>
          <w:p w:rsidR="002929CC" w:rsidRPr="002929CC" w:rsidRDefault="002929CC" w:rsidP="002929CC">
            <w:pPr>
              <w:spacing w:after="0" w:line="240" w:lineRule="auto"/>
              <w:jc w:val="right"/>
              <w:rPr>
                <w:rFonts w:ascii="Calibri" w:eastAsia="Times New Roman" w:hAnsi="Calibri" w:cs="Arial"/>
                <w:color w:val="000000"/>
              </w:rPr>
            </w:pPr>
            <w:r w:rsidRPr="002929CC">
              <w:rPr>
                <w:rFonts w:ascii="Calibri" w:eastAsia="Times New Roman" w:hAnsi="Calibri" w:cs="Arial"/>
                <w:color w:val="000000"/>
              </w:rPr>
              <w:t>34</w:t>
            </w:r>
          </w:p>
        </w:tc>
        <w:tc>
          <w:tcPr>
            <w:tcW w:w="1109" w:type="dxa"/>
            <w:tcBorders>
              <w:top w:val="nil"/>
              <w:left w:val="nil"/>
              <w:bottom w:val="nil"/>
              <w:right w:val="nil"/>
            </w:tcBorders>
            <w:shd w:val="clear" w:color="auto" w:fill="auto"/>
            <w:noWrap/>
            <w:hideMark/>
          </w:tcPr>
          <w:p w:rsidR="002929CC" w:rsidRPr="002929CC" w:rsidRDefault="002929CC" w:rsidP="002929CC">
            <w:pPr>
              <w:spacing w:after="0" w:line="240" w:lineRule="auto"/>
              <w:rPr>
                <w:rFonts w:ascii="Calibri" w:eastAsia="Times New Roman" w:hAnsi="Calibri" w:cs="Arial"/>
                <w:color w:val="000000"/>
              </w:rPr>
            </w:pPr>
            <w:r w:rsidRPr="002929CC">
              <w:rPr>
                <w:rFonts w:ascii="Calibri" w:eastAsia="Times New Roman" w:hAnsi="Calibri" w:cs="Arial"/>
                <w:color w:val="000000"/>
              </w:rPr>
              <w:t>6.9.6.9</w:t>
            </w:r>
          </w:p>
        </w:tc>
        <w:tc>
          <w:tcPr>
            <w:tcW w:w="585" w:type="dxa"/>
            <w:tcBorders>
              <w:top w:val="nil"/>
              <w:left w:val="nil"/>
              <w:bottom w:val="nil"/>
              <w:right w:val="nil"/>
            </w:tcBorders>
            <w:shd w:val="clear" w:color="auto" w:fill="auto"/>
            <w:noWrap/>
            <w:hideMark/>
          </w:tcPr>
          <w:p w:rsidR="002929CC" w:rsidRPr="002929CC" w:rsidRDefault="002929CC" w:rsidP="002929CC">
            <w:pPr>
              <w:spacing w:after="0" w:line="240" w:lineRule="auto"/>
              <w:jc w:val="right"/>
              <w:rPr>
                <w:rFonts w:ascii="Calibri" w:eastAsia="Times New Roman" w:hAnsi="Calibri" w:cs="Arial"/>
                <w:color w:val="000000"/>
              </w:rPr>
            </w:pPr>
            <w:r w:rsidRPr="002929CC">
              <w:rPr>
                <w:rFonts w:ascii="Calibri" w:eastAsia="Times New Roman" w:hAnsi="Calibri" w:cs="Arial"/>
                <w:color w:val="000000"/>
              </w:rPr>
              <w:t>33</w:t>
            </w:r>
          </w:p>
        </w:tc>
        <w:tc>
          <w:tcPr>
            <w:tcW w:w="4356" w:type="dxa"/>
            <w:tcBorders>
              <w:top w:val="nil"/>
              <w:left w:val="nil"/>
              <w:bottom w:val="nil"/>
              <w:right w:val="nil"/>
            </w:tcBorders>
            <w:shd w:val="clear" w:color="auto" w:fill="auto"/>
            <w:hideMark/>
          </w:tcPr>
          <w:p w:rsidR="002929CC" w:rsidRPr="002929CC" w:rsidRDefault="002929CC" w:rsidP="002929CC">
            <w:pPr>
              <w:spacing w:after="0" w:line="240" w:lineRule="auto"/>
              <w:rPr>
                <w:rFonts w:ascii="Calibri" w:eastAsia="Times New Roman" w:hAnsi="Calibri" w:cs="Arial"/>
                <w:color w:val="000000"/>
              </w:rPr>
            </w:pPr>
            <w:r w:rsidRPr="002929CC">
              <w:rPr>
                <w:rFonts w:ascii="Calibri" w:eastAsia="Times New Roman" w:hAnsi="Calibri" w:cs="Arial"/>
                <w:color w:val="000000"/>
              </w:rPr>
              <w:t>Text starting from the line 33 with sentence "The Upper-Layer Frame Fragment" describes application protocol to be run between two secure elements and which does not belong to this standard. The MPX IE with &lt;ANA&gt; allocated dispatch code allows upper layers to include their own data with ranging data for secure transactions. The actual specification of this application layer protocol belongs to some other document, and most likely to some other SDO. This application layer protocol is also outside the PAR of the 802.15.4z.</w:t>
            </w:r>
          </w:p>
        </w:tc>
        <w:tc>
          <w:tcPr>
            <w:tcW w:w="1260" w:type="dxa"/>
            <w:tcBorders>
              <w:top w:val="nil"/>
              <w:left w:val="nil"/>
              <w:bottom w:val="nil"/>
              <w:right w:val="nil"/>
            </w:tcBorders>
            <w:shd w:val="clear" w:color="auto" w:fill="auto"/>
            <w:noWrap/>
            <w:hideMark/>
          </w:tcPr>
          <w:p w:rsidR="002929CC" w:rsidRPr="002929CC" w:rsidRDefault="002929CC" w:rsidP="002929CC">
            <w:pPr>
              <w:spacing w:after="0" w:line="240" w:lineRule="auto"/>
              <w:rPr>
                <w:rFonts w:ascii="Calibri" w:eastAsia="Times New Roman" w:hAnsi="Calibri" w:cs="Arial"/>
                <w:color w:val="000000"/>
              </w:rPr>
            </w:pPr>
            <w:r w:rsidRPr="002929CC">
              <w:rPr>
                <w:rFonts w:ascii="Calibri" w:eastAsia="Times New Roman" w:hAnsi="Calibri" w:cs="Arial"/>
                <w:color w:val="000000"/>
              </w:rPr>
              <w:t>Rejected</w:t>
            </w:r>
          </w:p>
        </w:tc>
        <w:tc>
          <w:tcPr>
            <w:tcW w:w="5470" w:type="dxa"/>
            <w:tcBorders>
              <w:top w:val="nil"/>
              <w:left w:val="nil"/>
              <w:bottom w:val="nil"/>
              <w:right w:val="nil"/>
            </w:tcBorders>
            <w:shd w:val="clear" w:color="auto" w:fill="auto"/>
            <w:hideMark/>
          </w:tcPr>
          <w:p w:rsidR="002929CC" w:rsidRPr="002929CC" w:rsidRDefault="002929CC" w:rsidP="002929CC">
            <w:pPr>
              <w:spacing w:after="0" w:line="240" w:lineRule="auto"/>
              <w:rPr>
                <w:rFonts w:ascii="Calibri" w:eastAsia="Times New Roman" w:hAnsi="Calibri" w:cs="Arial"/>
                <w:color w:val="000000"/>
              </w:rPr>
            </w:pPr>
            <w:r w:rsidRPr="002929CC">
              <w:rPr>
                <w:rFonts w:ascii="Calibri" w:eastAsia="Times New Roman" w:hAnsi="Calibri" w:cs="Arial"/>
                <w:color w:val="000000"/>
              </w:rPr>
              <w:t xml:space="preserve">The CRG disagrees with the comment:  This sub-clause provides a capability that </w:t>
            </w:r>
            <w:proofErr w:type="spellStart"/>
            <w:r w:rsidRPr="002929CC">
              <w:rPr>
                <w:rFonts w:ascii="Calibri" w:eastAsia="Times New Roman" w:hAnsi="Calibri" w:cs="Arial"/>
                <w:color w:val="000000"/>
              </w:rPr>
              <w:t>ehances</w:t>
            </w:r>
            <w:proofErr w:type="spellEnd"/>
            <w:r w:rsidRPr="002929CC">
              <w:rPr>
                <w:rFonts w:ascii="Calibri" w:eastAsia="Times New Roman" w:hAnsi="Calibri" w:cs="Arial"/>
                <w:color w:val="000000"/>
              </w:rPr>
              <w:t xml:space="preserve"> ranging techniques by providing a standardized information exchanged supporting a widely used ranging application. The feature is optional, but when used, the group believes defining how it is done enables doing so in an interoperable manner. </w:t>
            </w:r>
          </w:p>
        </w:tc>
      </w:tr>
    </w:tbl>
    <w:p w:rsidR="00793A73" w:rsidRDefault="00EA17D6"/>
    <w:sectPr w:rsidR="00793A73" w:rsidSect="002929CC">
      <w:headerReference w:type="default" r:id="rId6"/>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9CC" w:rsidRDefault="002929CC" w:rsidP="002929CC">
      <w:pPr>
        <w:spacing w:after="0" w:line="240" w:lineRule="auto"/>
      </w:pPr>
      <w:r>
        <w:separator/>
      </w:r>
    </w:p>
  </w:endnote>
  <w:endnote w:type="continuationSeparator" w:id="0">
    <w:p w:rsidR="002929CC" w:rsidRDefault="002929CC" w:rsidP="00292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9CC" w:rsidRPr="008B2E13" w:rsidRDefault="002929CC" w:rsidP="002929CC">
    <w:pPr>
      <w:pStyle w:val="Footer"/>
      <w:widowControl w:val="0"/>
      <w:pBdr>
        <w:top w:val="single" w:sz="6" w:space="0" w:color="auto"/>
      </w:pBdr>
      <w:rPr>
        <w:szCs w:val="24"/>
      </w:rPr>
    </w:pPr>
    <w:r>
      <w:t>Submission</w:t>
    </w:r>
    <w:r>
      <w:tab/>
      <w:t xml:space="preserve">Page </w:t>
    </w:r>
    <w:r>
      <w:pgNum/>
    </w:r>
    <w:r>
      <w:tab/>
      <w:t xml:space="preserve">Benjamin A. Rolfe (BCA) </w:t>
    </w:r>
  </w:p>
  <w:p w:rsidR="002929CC" w:rsidRDefault="002929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9CC" w:rsidRDefault="002929CC" w:rsidP="002929CC">
      <w:pPr>
        <w:spacing w:after="0" w:line="240" w:lineRule="auto"/>
      </w:pPr>
      <w:r>
        <w:separator/>
      </w:r>
    </w:p>
  </w:footnote>
  <w:footnote w:type="continuationSeparator" w:id="0">
    <w:p w:rsidR="002929CC" w:rsidRDefault="002929CC" w:rsidP="002929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9CC" w:rsidRPr="002929CC" w:rsidRDefault="002929CC" w:rsidP="002929CC">
    <w:pPr>
      <w:pStyle w:val="Header"/>
      <w:widowControl w:val="0"/>
      <w:pBdr>
        <w:bottom w:val="single" w:sz="6" w:space="0" w:color="auto"/>
        <w:between w:val="single" w:sz="6" w:space="0" w:color="auto"/>
      </w:pBdr>
      <w:tabs>
        <w:tab w:val="clear" w:pos="4680"/>
        <w:tab w:val="clear" w:pos="9360"/>
        <w:tab w:val="right" w:pos="9270"/>
      </w:tabs>
      <w:spacing w:after="360"/>
      <w:jc w:val="both"/>
      <w:rPr>
        <w:rFonts w:ascii="Times New Roman" w:eastAsia="Times New Roman" w:hAnsi="Times New Roman" w:cs="Times New Roman"/>
        <w:b/>
        <w:sz w:val="28"/>
        <w:szCs w:val="20"/>
      </w:rPr>
    </w:pPr>
    <w:r w:rsidRPr="002929CC">
      <w:rPr>
        <w:rFonts w:ascii="Times New Roman" w:eastAsia="Times New Roman" w:hAnsi="Times New Roman" w:cs="Times New Roman"/>
        <w:b/>
        <w:sz w:val="28"/>
        <w:szCs w:val="20"/>
      </w:rPr>
      <w:t>Jan 2020</w:t>
    </w:r>
    <w:r w:rsidRPr="002929CC">
      <w:rPr>
        <w:rFonts w:ascii="Times New Roman" w:eastAsia="Times New Roman" w:hAnsi="Times New Roman" w:cs="Times New Roman"/>
        <w:b/>
        <w:sz w:val="28"/>
        <w:szCs w:val="20"/>
      </w:rPr>
      <w:tab/>
      <w:t xml:space="preserve"> IEEE </w:t>
    </w:r>
    <w:r w:rsidR="00D524D2">
      <w:rPr>
        <w:rFonts w:ascii="Times New Roman" w:eastAsia="Times New Roman" w:hAnsi="Times New Roman" w:cs="Times New Roman"/>
        <w:b/>
        <w:sz w:val="28"/>
        <w:szCs w:val="20"/>
      </w:rPr>
      <w:t>802.</w:t>
    </w:r>
    <w:r w:rsidR="00D524D2" w:rsidRPr="00D524D2">
      <w:rPr>
        <w:rFonts w:ascii="Times New Roman" w:eastAsia="Times New Roman" w:hAnsi="Times New Roman" w:cs="Times New Roman"/>
        <w:b/>
        <w:sz w:val="28"/>
        <w:szCs w:val="20"/>
      </w:rPr>
      <w:t>15-20-0031-00-004z</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9CC"/>
    <w:rsid w:val="0015548E"/>
    <w:rsid w:val="002929CC"/>
    <w:rsid w:val="008A3797"/>
    <w:rsid w:val="009B5A2B"/>
    <w:rsid w:val="00D524D2"/>
    <w:rsid w:val="00E1051B"/>
    <w:rsid w:val="00EA1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D958676-C366-476F-8466-A57073FC7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2929CC"/>
    <w:pPr>
      <w:spacing w:before="120" w:after="120" w:line="240" w:lineRule="auto"/>
    </w:pPr>
    <w:rPr>
      <w:rFonts w:ascii="Times New Roman" w:eastAsia="Times New Roman" w:hAnsi="Times New Roman" w:cs="Times New Roman"/>
      <w:sz w:val="24"/>
      <w:szCs w:val="20"/>
    </w:rPr>
  </w:style>
  <w:style w:type="paragraph" w:styleId="Header">
    <w:name w:val="header"/>
    <w:basedOn w:val="Normal"/>
    <w:link w:val="HeaderChar"/>
    <w:unhideWhenUsed/>
    <w:rsid w:val="002929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9CC"/>
  </w:style>
  <w:style w:type="paragraph" w:styleId="Footer">
    <w:name w:val="footer"/>
    <w:basedOn w:val="Normal"/>
    <w:link w:val="FooterChar"/>
    <w:unhideWhenUsed/>
    <w:rsid w:val="002929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10848">
      <w:bodyDiv w:val="1"/>
      <w:marLeft w:val="0"/>
      <w:marRight w:val="0"/>
      <w:marTop w:val="0"/>
      <w:marBottom w:val="0"/>
      <w:divBdr>
        <w:top w:val="none" w:sz="0" w:space="0" w:color="auto"/>
        <w:left w:val="none" w:sz="0" w:space="0" w:color="auto"/>
        <w:bottom w:val="none" w:sz="0" w:space="0" w:color="auto"/>
        <w:right w:val="none" w:sz="0" w:space="0" w:color="auto"/>
      </w:divBdr>
    </w:div>
    <w:div w:id="604070516">
      <w:bodyDiv w:val="1"/>
      <w:marLeft w:val="0"/>
      <w:marRight w:val="0"/>
      <w:marTop w:val="0"/>
      <w:marBottom w:val="0"/>
      <w:divBdr>
        <w:top w:val="none" w:sz="0" w:space="0" w:color="auto"/>
        <w:left w:val="none" w:sz="0" w:space="0" w:color="auto"/>
        <w:bottom w:val="none" w:sz="0" w:space="0" w:color="auto"/>
        <w:right w:val="none" w:sz="0" w:space="0" w:color="auto"/>
      </w:divBdr>
    </w:div>
    <w:div w:id="205137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Rolfe</dc:creator>
  <cp:keywords/>
  <dc:description/>
  <cp:lastModifiedBy>Benjamin Rolfe</cp:lastModifiedBy>
  <cp:revision>2</cp:revision>
  <dcterms:created xsi:type="dcterms:W3CDTF">2020-01-14T18:49:00Z</dcterms:created>
  <dcterms:modified xsi:type="dcterms:W3CDTF">2020-01-14T18:49:00Z</dcterms:modified>
</cp:coreProperties>
</file>