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jc w:val="left"/>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Meeting Minutes for Kona</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2</w:t>
            </w:r>
            <w:r>
              <w:rPr/>
              <w:t xml:space="preserve">, </w:t>
            </w:r>
            <w:r>
              <w:rPr/>
              <w:t>November</w:t>
            </w:r>
            <w:r>
              <w:rPr/>
              <w:t xml:space="preserve">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+358 40 547 4476</w:t>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Kona</w:t>
            </w:r>
            <w:r>
              <w:rPr/>
              <w:t xml:space="preserve">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Meeting minutes for </w:t>
            </w:r>
            <w:r>
              <w:rPr/>
              <w:t>Kona</w:t>
            </w:r>
            <w:r>
              <w:rPr/>
              <w:t xml:space="preserve">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 Task Group 9ma (KMP Transport Updates)</w:t>
      </w:r>
    </w:p>
    <w:p>
      <w:pPr>
        <w:pStyle w:val="Heading2"/>
        <w:numPr>
          <w:ilvl w:val="1"/>
          <w:numId w:val="2"/>
        </w:numPr>
        <w:rPr/>
      </w:pPr>
      <w:r>
        <w:rPr/>
        <w:t xml:space="preserve">Monday </w:t>
      </w:r>
      <w:r>
        <w:rPr/>
        <w:t>PM1</w:t>
      </w:r>
    </w:p>
    <w:p>
      <w:pPr>
        <w:pStyle w:val="Normal"/>
        <w:rPr/>
      </w:pPr>
      <w:r>
        <w:rPr/>
        <w:t xml:space="preserve">Tero Kivinen (self) convened the meeting on Monday, </w:t>
      </w:r>
      <w:r>
        <w:rPr/>
        <w:t>November</w:t>
      </w:r>
      <w:r>
        <w:rPr/>
        <w:t xml:space="preserve"> 1</w:t>
      </w:r>
      <w:r>
        <w:rPr/>
        <w:t>1</w:t>
      </w:r>
      <w:r>
        <w:rPr/>
        <w:t xml:space="preserve">th at </w:t>
      </w:r>
      <w:r>
        <w:rPr/>
        <w:t>13</w:t>
      </w:r>
      <w:r>
        <w:rPr/>
        <w:t>:</w:t>
      </w:r>
      <w:r>
        <w:rPr/>
        <w:t>40</w:t>
      </w:r>
      <w:r>
        <w:rPr/>
        <w:t>.  He displayed the IEEE-SA patent slides and made a call for essential patents.  No one mentioned any such patents.</w:t>
      </w:r>
    </w:p>
    <w:p>
      <w:pPr>
        <w:pStyle w:val="Normal"/>
        <w:rPr/>
      </w:pPr>
      <w:r>
        <w:rPr/>
        <w:t xml:space="preserve">Tero Kivinen presented the opening slides </w:t>
      </w:r>
      <w:r>
        <w:rPr/>
        <w:t>(15-19/0</w:t>
      </w:r>
      <w:r>
        <w:rPr/>
        <w:t>507</w:t>
      </w:r>
      <w:r>
        <w:rPr/>
        <w:t>r0</w:t>
      </w:r>
      <w:r>
        <w:rPr/>
        <w:t>0). The agenda (15-19/0420r01</w:t>
      </w:r>
      <w:r>
        <w:rPr/>
        <w:t xml:space="preserve">) for Task Group (TG) 9ma was approved by unanimous consent </w:t>
      </w:r>
      <w:bookmarkStart w:id="0" w:name="__DdeLink__158_4038371213"/>
      <w:r>
        <w:rPr/>
        <w:t>(moved by Chris Hett, seconded Kunal Shah)</w:t>
      </w:r>
      <w:bookmarkEnd w:id="0"/>
      <w:r>
        <w:rPr/>
        <w:t xml:space="preserve">. </w:t>
      </w:r>
      <w:r>
        <w:rPr/>
        <w:t xml:space="preserve">The minutes of the </w:t>
      </w:r>
      <w:r>
        <w:rPr/>
        <w:t xml:space="preserve">September </w:t>
      </w:r>
      <w:r>
        <w:rPr/>
        <w:t>meeting (15-19/0</w:t>
      </w:r>
      <w:r>
        <w:rPr/>
        <w:t>453</w:t>
      </w:r>
      <w:r>
        <w:rPr/>
        <w:t xml:space="preserve">r00) were also approved by unanimous consent </w:t>
      </w:r>
      <w:r>
        <w:rPr/>
        <w:t>(moved by Chris Hett, seconded Kunal Shah)</w:t>
      </w:r>
      <w:r>
        <w:rPr/>
        <w:t>.</w:t>
      </w:r>
    </w:p>
    <w:p>
      <w:pPr>
        <w:pStyle w:val="Normal"/>
        <w:rPr/>
      </w:pPr>
      <w:r>
        <w:rPr/>
        <w:t>Group r</w:t>
      </w:r>
      <w:r>
        <w:rPr/>
        <w:t xml:space="preserve">eviewed draft changes in an annotated PDF for 9ma in the private area, </w:t>
      </w:r>
      <w:r>
        <w:rPr/>
        <w:t>and also went through the 15-19/0416r00 document listing all the changes.</w:t>
      </w:r>
    </w:p>
    <w:p>
      <w:pPr>
        <w:pStyle w:val="Normal"/>
        <w:rPr/>
      </w:pPr>
      <w:r>
        <w:rPr/>
        <w:t xml:space="preserve">Meeting recessed at </w:t>
      </w:r>
      <w:r>
        <w:rPr/>
        <w:t>14</w:t>
      </w:r>
      <w:r>
        <w:rPr/>
        <w:t>:04.</w:t>
      </w:r>
    </w:p>
    <w:p>
      <w:pPr>
        <w:pStyle w:val="Heading2"/>
        <w:numPr>
          <w:ilvl w:val="1"/>
          <w:numId w:val="2"/>
        </w:numPr>
        <w:rPr/>
      </w:pPr>
      <w:r>
        <w:rPr/>
        <w:t>Monday</w:t>
      </w:r>
      <w:r>
        <w:rPr/>
        <w:t xml:space="preserve"> </w:t>
      </w:r>
      <w:r>
        <w:rPr/>
        <w:t>PM</w:t>
      </w:r>
      <w:r>
        <w:rPr/>
        <w:t>2</w:t>
      </w:r>
    </w:p>
    <w:p>
      <w:pPr>
        <w:pStyle w:val="Normal"/>
        <w:rPr/>
      </w:pPr>
      <w:r>
        <w:rPr/>
        <w:t xml:space="preserve">Kivinen reconvened the meeting at </w:t>
      </w:r>
      <w:r>
        <w:rPr/>
        <w:t>16</w:t>
      </w:r>
      <w:r>
        <w:rPr/>
        <w:t>:</w:t>
      </w:r>
      <w:r>
        <w:rPr/>
        <w:t>20</w:t>
      </w:r>
      <w:r>
        <w:rPr/>
        <w:t>.</w:t>
      </w:r>
    </w:p>
    <w:p>
      <w:pPr>
        <w:pStyle w:val="Normal"/>
        <w:rPr/>
      </w:pPr>
      <w:r>
        <w:rPr/>
        <w:t>This session was supposed to cover review and completion of changes to be made in the draft. That actually took place in an earlier session today. Kivinen has now obtained the requisite version of FrameMaker needed to supply the draft to the IEEE technical editors. Kunal Shah (Silver Spring Network) assisted Kivinen with detailed instructions on how to format the document correctly for submission.</w:t>
      </w:r>
    </w:p>
    <w:p>
      <w:pPr>
        <w:pStyle w:val="Normal"/>
        <w:rPr/>
      </w:pPr>
      <w:r>
        <w:rPr/>
        <w:t>The meeting was recessed at 1</w:t>
      </w:r>
      <w:r>
        <w:rPr/>
        <w:t>7</w:t>
      </w:r>
      <w:r>
        <w:rPr/>
        <w:t>:</w:t>
      </w:r>
      <w:r>
        <w:rPr/>
        <w:t>15</w:t>
      </w:r>
      <w:r>
        <w:rPr/>
        <w:t>.</w:t>
      </w:r>
    </w:p>
    <w:p>
      <w:pPr>
        <w:pStyle w:val="Heading2"/>
        <w:numPr>
          <w:ilvl w:val="1"/>
          <w:numId w:val="2"/>
        </w:numPr>
        <w:rPr/>
      </w:pPr>
      <w:r>
        <w:rPr/>
        <w:t>Tuesday</w:t>
      </w:r>
      <w:r>
        <w:rPr/>
        <w:t xml:space="preserve"> AM2</w:t>
      </w:r>
    </w:p>
    <w:p>
      <w:pPr>
        <w:pStyle w:val="Normal"/>
        <w:rPr/>
      </w:pPr>
      <w:r>
        <w:rPr/>
        <w:t>Kivinen reconvened the meeting at 10:3</w:t>
      </w:r>
      <w:r>
        <w:rPr/>
        <w:t>5</w:t>
      </w:r>
      <w:r>
        <w:rPr/>
        <w:t>. on T</w:t>
      </w:r>
      <w:r>
        <w:rPr/>
        <w:t>uesday</w:t>
      </w:r>
      <w:r>
        <w:rPr/>
        <w:t xml:space="preserve">, </w:t>
      </w:r>
      <w:r>
        <w:rPr/>
        <w:t>November 12nd</w:t>
      </w:r>
      <w:r>
        <w:rPr/>
        <w:t xml:space="preserve">. </w:t>
      </w:r>
    </w:p>
    <w:p>
      <w:pPr>
        <w:pStyle w:val="Normal"/>
        <w:rPr/>
      </w:pPr>
      <w:r>
        <w:rPr/>
        <w:t xml:space="preserve">Kivinen displayed the tracked changes in IEEE 802.15.9 that he believes are necessary to change it to IEEE 802 Standard and update the text. The PANA (Protocol for Carrying Authentication for Network Access) KMP will be deprecated (but not removed). </w:t>
      </w:r>
    </w:p>
    <w:p>
      <w:pPr>
        <w:pStyle w:val="Normal"/>
        <w:rPr/>
      </w:pPr>
      <w:r>
        <w:rPr/>
        <w:t xml:space="preserve">Kivinen pointed out that in section 8.2, the Vendor OUI needs to indicate that it is specified in the byte order given in IEEE 802.15.4. He will make this change in an update to the draft specification. </w:t>
      </w:r>
    </w:p>
    <w:p>
      <w:pPr>
        <w:pStyle w:val="Normal"/>
        <w:rPr/>
      </w:pPr>
      <w:r>
        <w:rPr/>
        <w:t xml:space="preserve">The references to IEEE 802.11-2012 will be updated to IEEE 802.11-2016 (the current version) and the renumbered clause numbers within IEEE 802.11-2016 will be correctly reflected in the new IEEE 802.15.9. </w:t>
      </w:r>
    </w:p>
    <w:p>
      <w:pPr>
        <w:pStyle w:val="Normal"/>
        <w:rPr/>
      </w:pPr>
      <w:r>
        <w:rPr/>
        <w:t xml:space="preserve">The source of the cipher suite selector OUIs used in the EAPOL appendix was determined to be 11-11/0270r50 (the current revision of the IEEE 802.11 ANA (Assigned Numbers Authority) database). The references within the document to IEEE 802.11 cipher suite selectors will be updated and the format corrected to match IEEE 802.11’s usage. </w:t>
      </w:r>
    </w:p>
    <w:p>
      <w:pPr>
        <w:pStyle w:val="Normal"/>
        <w:rPr/>
      </w:pPr>
      <w:r>
        <w:rPr/>
        <w:t>In appendix B.3.5, Kivinen noted that for IKEv2, there needs to be a mapping from encryption ID. Reference B12 (IEEE 802.11s) will be removed as it is subsumed by IEEE 802.11-2016.</w:t>
      </w:r>
    </w:p>
    <w:p>
      <w:pPr>
        <w:pStyle w:val="Normal"/>
        <w:rPr/>
      </w:pPr>
      <w:r>
        <w:rPr/>
        <w:t xml:space="preserve">Finally, Kivinen presented the closing report </w:t>
      </w:r>
      <w:r>
        <w:rPr/>
        <w:t>(15-19/0508r01)</w:t>
      </w:r>
      <w:r>
        <w:rPr/>
        <w:t xml:space="preserve">. Because he will be departing the meeting  </w:t>
      </w:r>
      <w:r>
        <w:rPr/>
        <w:t>p</w:t>
      </w:r>
      <w:r>
        <w:rPr/>
        <w:t>rior to Thursday’s closing plenary, the closing report will be presented during Wednesday’s mid-week working group plenary.</w:t>
      </w:r>
    </w:p>
    <w:p>
      <w:pPr>
        <w:pStyle w:val="Normal"/>
        <w:rPr/>
      </w:pPr>
      <w:r>
        <w:rPr/>
        <w:t>The meeting was adjourned at 1</w:t>
      </w:r>
      <w:r>
        <w:rPr/>
        <w:t>1</w:t>
      </w:r>
      <w:r>
        <w:rPr/>
        <w:t>:</w:t>
      </w:r>
      <w:r>
        <w:rPr/>
        <w:t>15</w:t>
      </w:r>
      <w:r>
        <w:rPr/>
        <w:t>.</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olbook"/>
    <w:charset w:val="01"/>
    <w:family w:val="roman"/>
    <w:pitch w:val="variable"/>
  </w:font>
  <w:font w:name="Tahoma">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3</w:t>
    </w:r>
    <w:r>
      <w:rPr/>
      <w:fldChar w:fldCharType="end"/>
    </w:r>
    <w:r>
      <w:rPr/>
      <w:tab/>
      <w:t xml:space="preserve">Tero Kivinen,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Nov 2019</w:t>
    </w:r>
    <w:r>
      <w:rPr>
        <w:sz w:val="28"/>
        <w:b/>
      </w:rPr>
      <w:fldChar w:fldCharType="end"/>
    </w:r>
    <w:r>
      <w:rPr>
        <w:b/>
        <w:sz w:val="28"/>
      </w:rPr>
      <w:tab/>
      <w:t xml:space="preserve"> IEEE P802.15 - 15-19-0</w:t>
    </w:r>
    <w:r>
      <w:rPr>
        <w:b/>
        <w:sz w:val="28"/>
      </w:rPr>
      <w:t>537</w:t>
    </w:r>
    <w:r>
      <w:rPr>
        <w:b/>
        <w:sz w:val="28"/>
      </w:rPr>
      <w:t>-00-09ma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408"/>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overflowPunct w:val="false"/>
      <w:bidi w:val="0"/>
      <w:spacing w:before="115" w:after="0"/>
      <w:ind w:left="0" w:right="0" w:hanging="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jc w:val="left"/>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TableofFigures">
    <w:name w:val="Table of Figures"/>
    <w:basedOn w:val="Caption"/>
    <w:qFormat/>
    <w:pPr/>
    <w:rPr/>
  </w:style>
  <w:style w:type="paragraph" w:styleId="YangExample">
    <w:name w:val="YangExample"/>
    <w:basedOn w:val="Normal"/>
    <w:qFormat/>
    <w:pPr>
      <w:tabs>
        <w:tab w:val="clear" w:pos="408"/>
      </w:tabs>
      <w:bidi w:val="0"/>
      <w:spacing w:before="0" w:after="0"/>
      <w:jc w:val="left"/>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463</TotalTime>
  <Application>LibreOffice/6.1.5.2$Linux_X86_64 LibreOffice_project/10$Build-2</Application>
  <Pages>3</Pages>
  <Words>578</Words>
  <Characters>3130</Characters>
  <CharactersWithSpaces>3677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2019-11-12T23:41:16Z</dcterms:modified>
  <cp:revision>60</cp:revision>
  <dc:subject/>
  <dc:title>Meeting Minutes for Kona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