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80" w:rsidRPr="00F1788E" w:rsidRDefault="00AC5D80" w:rsidP="00AC5D80">
      <w:pPr>
        <w:pStyle w:val="Heading1"/>
        <w:rPr>
          <w:sz w:val="18"/>
        </w:rPr>
      </w:pPr>
    </w:p>
    <w:p w:rsidR="00AC5D80" w:rsidRDefault="00AC5D80" w:rsidP="00AC5D80">
      <w:pPr>
        <w:jc w:val="center"/>
        <w:rPr>
          <w:b/>
          <w:sz w:val="28"/>
        </w:rPr>
      </w:pPr>
      <w:r>
        <w:rPr>
          <w:b/>
          <w:sz w:val="28"/>
        </w:rPr>
        <w:t>IEEE P802.15</w:t>
      </w:r>
    </w:p>
    <w:p w:rsidR="00AC5D80" w:rsidRDefault="00AC5D80" w:rsidP="00AC5D80">
      <w:pPr>
        <w:jc w:val="center"/>
        <w:rPr>
          <w:b/>
          <w:sz w:val="28"/>
        </w:rPr>
      </w:pPr>
      <w:r>
        <w:rPr>
          <w:b/>
          <w:sz w:val="28"/>
        </w:rPr>
        <w:t>Wireless Personal Area Networks</w:t>
      </w:r>
    </w:p>
    <w:p w:rsidR="00AC5D80" w:rsidRDefault="00AC5D80" w:rsidP="00AC5D80">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AC5D80" w:rsidTr="007C74B4">
        <w:tc>
          <w:tcPr>
            <w:tcW w:w="1260" w:type="dxa"/>
            <w:tcBorders>
              <w:top w:val="single" w:sz="6" w:space="0" w:color="auto"/>
            </w:tcBorders>
          </w:tcPr>
          <w:p w:rsidR="00AC5D80" w:rsidRDefault="00AC5D80" w:rsidP="007C74B4">
            <w:pPr>
              <w:pStyle w:val="covertext"/>
            </w:pPr>
            <w:r>
              <w:t>Project</w:t>
            </w:r>
          </w:p>
        </w:tc>
        <w:tc>
          <w:tcPr>
            <w:tcW w:w="8190" w:type="dxa"/>
            <w:tcBorders>
              <w:top w:val="single" w:sz="6" w:space="0" w:color="auto"/>
            </w:tcBorders>
          </w:tcPr>
          <w:p w:rsidR="00AC5D80" w:rsidRDefault="00AC5D80" w:rsidP="007C74B4">
            <w:pPr>
              <w:pStyle w:val="covertext"/>
            </w:pPr>
            <w:r>
              <w:t>IEEE P802.15 Working Group for Wireless Personal Area Networks (WPANs)</w:t>
            </w:r>
          </w:p>
        </w:tc>
      </w:tr>
      <w:tr w:rsidR="00AC5D80" w:rsidTr="007C74B4">
        <w:tc>
          <w:tcPr>
            <w:tcW w:w="1260" w:type="dxa"/>
            <w:tcBorders>
              <w:top w:val="single" w:sz="6" w:space="0" w:color="auto"/>
            </w:tcBorders>
          </w:tcPr>
          <w:p w:rsidR="00AC5D80" w:rsidRDefault="00AC5D80" w:rsidP="007C74B4">
            <w:pPr>
              <w:pStyle w:val="covertext"/>
            </w:pPr>
            <w:r>
              <w:t>Title</w:t>
            </w:r>
          </w:p>
        </w:tc>
        <w:tc>
          <w:tcPr>
            <w:tcW w:w="8190" w:type="dxa"/>
            <w:tcBorders>
              <w:top w:val="single" w:sz="6" w:space="0" w:color="auto"/>
            </w:tcBorders>
          </w:tcPr>
          <w:p w:rsidR="00AC5D80" w:rsidRDefault="00AC5D80" w:rsidP="00FF08A2">
            <w:pPr>
              <w:pStyle w:val="covertext"/>
            </w:pPr>
            <w:r>
              <w:rPr>
                <w:b/>
                <w:sz w:val="28"/>
              </w:rPr>
              <w:t xml:space="preserve">Kookmin </w:t>
            </w:r>
            <w:r w:rsidR="00FF08A2">
              <w:rPr>
                <w:b/>
                <w:sz w:val="28"/>
              </w:rPr>
              <w:t>Comments on NTU</w:t>
            </w:r>
            <w:r w:rsidR="00ED01D2">
              <w:rPr>
                <w:b/>
                <w:sz w:val="28"/>
              </w:rPr>
              <w:t>’s</w:t>
            </w:r>
            <w:r w:rsidR="00FF08A2">
              <w:rPr>
                <w:b/>
                <w:sz w:val="28"/>
              </w:rPr>
              <w:t xml:space="preserve"> RS-FSK modes</w:t>
            </w:r>
          </w:p>
        </w:tc>
      </w:tr>
      <w:tr w:rsidR="00AC5D80" w:rsidTr="007C74B4">
        <w:tc>
          <w:tcPr>
            <w:tcW w:w="1260" w:type="dxa"/>
            <w:tcBorders>
              <w:top w:val="single" w:sz="6" w:space="0" w:color="auto"/>
            </w:tcBorders>
          </w:tcPr>
          <w:p w:rsidR="00AC5D80" w:rsidRDefault="00AC5D80" w:rsidP="007C74B4">
            <w:pPr>
              <w:pStyle w:val="covertext"/>
            </w:pPr>
            <w:r>
              <w:t>Date Submitted</w:t>
            </w:r>
          </w:p>
        </w:tc>
        <w:tc>
          <w:tcPr>
            <w:tcW w:w="8190" w:type="dxa"/>
            <w:tcBorders>
              <w:top w:val="single" w:sz="6" w:space="0" w:color="auto"/>
            </w:tcBorders>
          </w:tcPr>
          <w:p w:rsidR="00AC5D80" w:rsidRDefault="00AC5D80" w:rsidP="0054372D">
            <w:pPr>
              <w:pStyle w:val="covertext"/>
            </w:pPr>
            <w:r w:rsidRPr="005A6601">
              <w:rPr>
                <w:noProof/>
              </w:rPr>
              <w:t>[</w:t>
            </w:r>
            <w:r w:rsidR="0054372D">
              <w:rPr>
                <w:noProof/>
              </w:rPr>
              <w:t>October</w:t>
            </w:r>
            <w:r>
              <w:t xml:space="preserve"> 2016]</w:t>
            </w:r>
          </w:p>
        </w:tc>
      </w:tr>
      <w:tr w:rsidR="00AC5D80" w:rsidTr="007C74B4">
        <w:tc>
          <w:tcPr>
            <w:tcW w:w="1260" w:type="dxa"/>
            <w:tcBorders>
              <w:top w:val="single" w:sz="4" w:space="0" w:color="auto"/>
              <w:bottom w:val="single" w:sz="4" w:space="0" w:color="auto"/>
            </w:tcBorders>
          </w:tcPr>
          <w:p w:rsidR="00AC5D80" w:rsidRDefault="00AC5D80" w:rsidP="007C74B4">
            <w:pPr>
              <w:pStyle w:val="covertext"/>
            </w:pPr>
            <w:r>
              <w:t>Source</w:t>
            </w:r>
          </w:p>
        </w:tc>
        <w:tc>
          <w:tcPr>
            <w:tcW w:w="8190" w:type="dxa"/>
            <w:tcBorders>
              <w:top w:val="single" w:sz="4" w:space="0" w:color="auto"/>
              <w:bottom w:val="single" w:sz="4" w:space="0" w:color="auto"/>
            </w:tcBorders>
          </w:tcPr>
          <w:p w:rsidR="00AC5D80" w:rsidRPr="00752F22" w:rsidRDefault="00AC5D80" w:rsidP="007C74B4">
            <w:pPr>
              <w:pStyle w:val="covertext"/>
              <w:spacing w:before="0" w:after="0"/>
              <w:ind w:right="-4140"/>
              <w:rPr>
                <w:rFonts w:ascii="Arial" w:hAnsi="Arial" w:cs="Arial"/>
                <w:szCs w:val="24"/>
              </w:rPr>
            </w:pPr>
            <w:r>
              <w:rPr>
                <w:rFonts w:ascii="Arial" w:hAnsi="Arial" w:cs="Arial"/>
                <w:szCs w:val="24"/>
              </w:rPr>
              <w:t xml:space="preserve">Trang Nguyen, and </w:t>
            </w:r>
            <w:proofErr w:type="spellStart"/>
            <w:r>
              <w:rPr>
                <w:rFonts w:ascii="Arial" w:hAnsi="Arial" w:cs="Arial"/>
                <w:szCs w:val="24"/>
              </w:rPr>
              <w:t>Yeong</w:t>
            </w:r>
            <w:proofErr w:type="spellEnd"/>
            <w:r>
              <w:rPr>
                <w:rFonts w:ascii="Arial" w:hAnsi="Arial" w:cs="Arial"/>
                <w:szCs w:val="24"/>
              </w:rPr>
              <w:t xml:space="preserve"> Min Jang (Kookmin University)</w:t>
            </w:r>
          </w:p>
          <w:p w:rsidR="00AC5D80" w:rsidRPr="00D12662" w:rsidRDefault="00AC5D80" w:rsidP="007C74B4">
            <w:pPr>
              <w:pStyle w:val="covertext"/>
              <w:tabs>
                <w:tab w:val="left" w:pos="1152"/>
              </w:tabs>
              <w:spacing w:before="0" w:after="0"/>
              <w:ind w:left="-3366"/>
              <w:rPr>
                <w:rFonts w:ascii="Arial Narrow" w:hAnsi="Arial Narrow"/>
                <w:sz w:val="20"/>
              </w:rPr>
            </w:pPr>
          </w:p>
        </w:tc>
      </w:tr>
      <w:tr w:rsidR="00AC5D80" w:rsidTr="007C74B4">
        <w:tc>
          <w:tcPr>
            <w:tcW w:w="1260" w:type="dxa"/>
            <w:tcBorders>
              <w:top w:val="single" w:sz="6" w:space="0" w:color="auto"/>
            </w:tcBorders>
          </w:tcPr>
          <w:p w:rsidR="00AC5D80" w:rsidRDefault="00AC5D80" w:rsidP="007C74B4">
            <w:pPr>
              <w:pStyle w:val="covertext"/>
            </w:pPr>
            <w:r>
              <w:t>Re:</w:t>
            </w:r>
          </w:p>
        </w:tc>
        <w:tc>
          <w:tcPr>
            <w:tcW w:w="8190" w:type="dxa"/>
            <w:tcBorders>
              <w:top w:val="single" w:sz="6" w:space="0" w:color="auto"/>
            </w:tcBorders>
          </w:tcPr>
          <w:p w:rsidR="00FF08A2" w:rsidRPr="00FF08A2" w:rsidRDefault="00FF08A2" w:rsidP="00FF08A2">
            <w:pPr>
              <w:pStyle w:val="covertext"/>
              <w:spacing w:before="0" w:after="0"/>
              <w:ind w:right="-4140"/>
              <w:rPr>
                <w:rFonts w:ascii="Arial" w:hAnsi="Arial" w:cs="Arial"/>
                <w:szCs w:val="24"/>
              </w:rPr>
            </w:pPr>
            <w:r w:rsidRPr="00FF08A2">
              <w:rPr>
                <w:rFonts w:ascii="Arial" w:hAnsi="Arial" w:cs="Arial"/>
                <w:szCs w:val="24"/>
              </w:rPr>
              <w:t>Combined Sorted D0 Comments (477r10)</w:t>
            </w:r>
          </w:p>
          <w:p w:rsidR="00AC5D80" w:rsidRDefault="00FF08A2" w:rsidP="00FF08A2">
            <w:pPr>
              <w:pStyle w:val="covertext"/>
              <w:tabs>
                <w:tab w:val="left" w:pos="1122"/>
              </w:tabs>
            </w:pPr>
            <w:r>
              <w:tab/>
            </w:r>
          </w:p>
        </w:tc>
      </w:tr>
      <w:tr w:rsidR="00AC5D80" w:rsidTr="007C74B4">
        <w:tc>
          <w:tcPr>
            <w:tcW w:w="1260" w:type="dxa"/>
            <w:tcBorders>
              <w:top w:val="single" w:sz="6" w:space="0" w:color="auto"/>
            </w:tcBorders>
          </w:tcPr>
          <w:p w:rsidR="00AC5D80" w:rsidRDefault="00AC5D80" w:rsidP="007C74B4">
            <w:pPr>
              <w:pStyle w:val="covertext"/>
            </w:pPr>
            <w:r>
              <w:t>Abstract</w:t>
            </w:r>
          </w:p>
        </w:tc>
        <w:tc>
          <w:tcPr>
            <w:tcW w:w="8190" w:type="dxa"/>
            <w:tcBorders>
              <w:top w:val="single" w:sz="6" w:space="0" w:color="auto"/>
            </w:tcBorders>
          </w:tcPr>
          <w:p w:rsidR="00AC5D80" w:rsidRDefault="00FF08A2" w:rsidP="00FF08A2">
            <w:pPr>
              <w:pStyle w:val="covertext"/>
            </w:pPr>
            <w:r>
              <w:t xml:space="preserve">Some technical comments on NTU’s RS-FSK modes before merging with Kookmin M-FSK modes. </w:t>
            </w:r>
            <w:r w:rsidR="00AC5D80">
              <w:t xml:space="preserve"> </w:t>
            </w:r>
          </w:p>
        </w:tc>
      </w:tr>
      <w:tr w:rsidR="00AC5D80" w:rsidTr="007C74B4">
        <w:tc>
          <w:tcPr>
            <w:tcW w:w="1260" w:type="dxa"/>
            <w:tcBorders>
              <w:top w:val="single" w:sz="6" w:space="0" w:color="auto"/>
            </w:tcBorders>
          </w:tcPr>
          <w:p w:rsidR="00AC5D80" w:rsidRDefault="00AC5D80" w:rsidP="007C74B4">
            <w:pPr>
              <w:pStyle w:val="covertext"/>
            </w:pPr>
            <w:r>
              <w:t>Purpose</w:t>
            </w:r>
          </w:p>
        </w:tc>
        <w:tc>
          <w:tcPr>
            <w:tcW w:w="8190" w:type="dxa"/>
            <w:tcBorders>
              <w:top w:val="single" w:sz="6" w:space="0" w:color="auto"/>
            </w:tcBorders>
          </w:tcPr>
          <w:p w:rsidR="00AC5D80" w:rsidRDefault="002D3177" w:rsidP="007C74B4">
            <w:pPr>
              <w:pStyle w:val="covertext"/>
            </w:pPr>
            <w:r>
              <w:t>Discuss</w:t>
            </w:r>
            <w:r w:rsidR="00FF08A2">
              <w:t xml:space="preserve"> the suggested resolution on D0 comments</w:t>
            </w:r>
          </w:p>
        </w:tc>
      </w:tr>
      <w:tr w:rsidR="00AC5D80" w:rsidTr="007C74B4">
        <w:tc>
          <w:tcPr>
            <w:tcW w:w="1260" w:type="dxa"/>
            <w:tcBorders>
              <w:top w:val="single" w:sz="6" w:space="0" w:color="auto"/>
              <w:bottom w:val="single" w:sz="6" w:space="0" w:color="auto"/>
            </w:tcBorders>
          </w:tcPr>
          <w:p w:rsidR="00AC5D80" w:rsidRDefault="00AC5D80" w:rsidP="007C74B4">
            <w:pPr>
              <w:pStyle w:val="covertext"/>
            </w:pPr>
            <w:r>
              <w:t>Notice</w:t>
            </w:r>
          </w:p>
        </w:tc>
        <w:tc>
          <w:tcPr>
            <w:tcW w:w="8190" w:type="dxa"/>
            <w:tcBorders>
              <w:top w:val="single" w:sz="6" w:space="0" w:color="auto"/>
              <w:bottom w:val="single" w:sz="6" w:space="0" w:color="auto"/>
            </w:tcBorders>
          </w:tcPr>
          <w:p w:rsidR="00AC5D80" w:rsidRDefault="00AC5D80" w:rsidP="007C74B4">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5A6601">
              <w:rPr>
                <w:noProof/>
              </w:rPr>
              <w:t>after</w:t>
            </w:r>
            <w:r>
              <w:t xml:space="preserve"> further study. The contributor(s) reserve(s) the right to add, amend or withdraw material contained herein.</w:t>
            </w:r>
          </w:p>
        </w:tc>
      </w:tr>
      <w:tr w:rsidR="00AC5D80" w:rsidTr="007C74B4">
        <w:tc>
          <w:tcPr>
            <w:tcW w:w="1260" w:type="dxa"/>
            <w:tcBorders>
              <w:top w:val="single" w:sz="6" w:space="0" w:color="auto"/>
              <w:bottom w:val="single" w:sz="6" w:space="0" w:color="auto"/>
            </w:tcBorders>
          </w:tcPr>
          <w:p w:rsidR="00AC5D80" w:rsidRDefault="00AC5D80" w:rsidP="007C74B4">
            <w:pPr>
              <w:pStyle w:val="covertext"/>
            </w:pPr>
            <w:r>
              <w:t>Release</w:t>
            </w:r>
          </w:p>
        </w:tc>
        <w:tc>
          <w:tcPr>
            <w:tcW w:w="8190" w:type="dxa"/>
            <w:tcBorders>
              <w:top w:val="single" w:sz="6" w:space="0" w:color="auto"/>
              <w:bottom w:val="single" w:sz="6" w:space="0" w:color="auto"/>
            </w:tcBorders>
          </w:tcPr>
          <w:p w:rsidR="00AC5D80" w:rsidRDefault="00AC5D80" w:rsidP="007C74B4">
            <w:pPr>
              <w:pStyle w:val="covertext"/>
            </w:pPr>
            <w:r>
              <w:t>The contributor acknowledges and accepts that this contribution becomes the property of IEEE and may be made publicly available by P802.15.</w:t>
            </w:r>
          </w:p>
        </w:tc>
      </w:tr>
    </w:tbl>
    <w:p w:rsidR="00AC5D80" w:rsidRPr="00204A9B" w:rsidRDefault="00AC5D80" w:rsidP="00AC5D80">
      <w:r>
        <w:br w:type="page"/>
      </w:r>
    </w:p>
    <w:p w:rsidR="00216BF9" w:rsidRDefault="00216BF9">
      <w:r>
        <w:lastRenderedPageBreak/>
        <w:t>A brief</w:t>
      </w:r>
      <w:r w:rsidR="003D0D3C">
        <w:t xml:space="preserve"> comparison</w:t>
      </w:r>
      <w:r w:rsidR="00456C65">
        <w:t xml:space="preserve"> </w:t>
      </w:r>
      <w:r w:rsidR="003D0D3C">
        <w:t>between</w:t>
      </w:r>
      <w:r>
        <w:t xml:space="preserve"> Kookmin M-FSK modulation and NTU RS-FSK modulation:</w:t>
      </w:r>
    </w:p>
    <w:tbl>
      <w:tblPr>
        <w:tblStyle w:val="TableGrid"/>
        <w:tblW w:w="9895" w:type="dxa"/>
        <w:tblLook w:val="04A0" w:firstRow="1" w:lastRow="0" w:firstColumn="1" w:lastColumn="0" w:noHBand="0" w:noVBand="1"/>
      </w:tblPr>
      <w:tblGrid>
        <w:gridCol w:w="1545"/>
        <w:gridCol w:w="3130"/>
        <w:gridCol w:w="2430"/>
        <w:gridCol w:w="2790"/>
      </w:tblGrid>
      <w:tr w:rsidR="00D6623E" w:rsidTr="003E7501">
        <w:trPr>
          <w:trHeight w:val="647"/>
        </w:trPr>
        <w:tc>
          <w:tcPr>
            <w:tcW w:w="1545" w:type="dxa"/>
          </w:tcPr>
          <w:p w:rsidR="00D6623E" w:rsidRDefault="00D6623E"/>
        </w:tc>
        <w:tc>
          <w:tcPr>
            <w:tcW w:w="3130" w:type="dxa"/>
            <w:vAlign w:val="center"/>
          </w:tcPr>
          <w:p w:rsidR="00D6623E" w:rsidRPr="004765AB" w:rsidRDefault="00D6623E" w:rsidP="00823898">
            <w:pPr>
              <w:jc w:val="center"/>
              <w:rPr>
                <w:b/>
              </w:rPr>
            </w:pPr>
            <w:r w:rsidRPr="004765AB">
              <w:rPr>
                <w:b/>
              </w:rPr>
              <w:t>Kookmin</w:t>
            </w:r>
            <w:r>
              <w:rPr>
                <w:b/>
              </w:rPr>
              <w:t xml:space="preserve"> M-FSK</w:t>
            </w:r>
          </w:p>
        </w:tc>
        <w:tc>
          <w:tcPr>
            <w:tcW w:w="2430" w:type="dxa"/>
            <w:vAlign w:val="center"/>
          </w:tcPr>
          <w:p w:rsidR="00D6623E" w:rsidRPr="004765AB" w:rsidRDefault="00D6623E" w:rsidP="00823898">
            <w:pPr>
              <w:jc w:val="center"/>
              <w:rPr>
                <w:b/>
              </w:rPr>
            </w:pPr>
            <w:r w:rsidRPr="004765AB">
              <w:rPr>
                <w:b/>
              </w:rPr>
              <w:t>NTU</w:t>
            </w:r>
            <w:r>
              <w:rPr>
                <w:b/>
              </w:rPr>
              <w:t xml:space="preserve"> RS-FSK</w:t>
            </w:r>
          </w:p>
        </w:tc>
        <w:tc>
          <w:tcPr>
            <w:tcW w:w="2790" w:type="dxa"/>
            <w:shd w:val="clear" w:color="auto" w:fill="D9D9D9" w:themeFill="background1" w:themeFillShade="D9"/>
          </w:tcPr>
          <w:p w:rsidR="00D6623E" w:rsidRPr="004765AB" w:rsidRDefault="00D6623E" w:rsidP="00823898">
            <w:pPr>
              <w:jc w:val="center"/>
              <w:rPr>
                <w:b/>
              </w:rPr>
            </w:pPr>
            <w:r>
              <w:rPr>
                <w:b/>
              </w:rPr>
              <w:t>Merging and conflicting</w:t>
            </w:r>
          </w:p>
        </w:tc>
      </w:tr>
      <w:tr w:rsidR="00D6623E" w:rsidRPr="004765AB" w:rsidTr="003E7501">
        <w:tc>
          <w:tcPr>
            <w:tcW w:w="1545" w:type="dxa"/>
            <w:shd w:val="clear" w:color="auto" w:fill="D9D9D9" w:themeFill="background1" w:themeFillShade="D9"/>
          </w:tcPr>
          <w:p w:rsidR="00D6623E" w:rsidRPr="004765AB" w:rsidRDefault="00D6623E" w:rsidP="00332A93">
            <w:pPr>
              <w:spacing w:after="120"/>
              <w:rPr>
                <w:sz w:val="20"/>
              </w:rPr>
            </w:pPr>
            <w:r w:rsidRPr="004765AB">
              <w:rPr>
                <w:sz w:val="20"/>
              </w:rPr>
              <w:t>Preamble</w:t>
            </w:r>
          </w:p>
        </w:tc>
        <w:tc>
          <w:tcPr>
            <w:tcW w:w="3130" w:type="dxa"/>
          </w:tcPr>
          <w:p w:rsidR="00D6623E" w:rsidRPr="004765AB" w:rsidRDefault="00D6623E" w:rsidP="00332A93">
            <w:pPr>
              <w:spacing w:after="120"/>
              <w:rPr>
                <w:sz w:val="20"/>
              </w:rPr>
            </w:pPr>
            <w:r w:rsidRPr="004765AB">
              <w:rPr>
                <w:sz w:val="20"/>
              </w:rPr>
              <w:t>f</w:t>
            </w:r>
            <w:r w:rsidRPr="004765AB">
              <w:rPr>
                <w:sz w:val="20"/>
                <w:vertAlign w:val="subscript"/>
              </w:rPr>
              <w:t>preamble_1</w:t>
            </w:r>
            <w:r w:rsidRPr="004765AB">
              <w:rPr>
                <w:sz w:val="20"/>
              </w:rPr>
              <w:t xml:space="preserve"> = constant</w:t>
            </w:r>
          </w:p>
          <w:p w:rsidR="00D6623E" w:rsidRPr="004765AB" w:rsidRDefault="00D6623E" w:rsidP="00332A93">
            <w:pPr>
              <w:spacing w:after="120"/>
              <w:rPr>
                <w:sz w:val="20"/>
              </w:rPr>
            </w:pPr>
            <w:r w:rsidRPr="004765AB">
              <w:rPr>
                <w:sz w:val="20"/>
              </w:rPr>
              <w:t>f</w:t>
            </w:r>
            <w:r w:rsidRPr="004765AB">
              <w:rPr>
                <w:sz w:val="20"/>
                <w:vertAlign w:val="subscript"/>
              </w:rPr>
              <w:t>preamble_2</w:t>
            </w:r>
            <w:r w:rsidRPr="004765AB">
              <w:rPr>
                <w:sz w:val="20"/>
              </w:rPr>
              <w:t xml:space="preserve"> = variable to rescale BW</w:t>
            </w:r>
          </w:p>
        </w:tc>
        <w:tc>
          <w:tcPr>
            <w:tcW w:w="2430" w:type="dxa"/>
          </w:tcPr>
          <w:p w:rsidR="00D6623E" w:rsidRPr="004765AB" w:rsidRDefault="00D6623E" w:rsidP="00332A93">
            <w:pPr>
              <w:spacing w:after="120"/>
              <w:rPr>
                <w:sz w:val="20"/>
              </w:rPr>
            </w:pPr>
            <w:proofErr w:type="spellStart"/>
            <w:r w:rsidRPr="004765AB">
              <w:rPr>
                <w:sz w:val="20"/>
              </w:rPr>
              <w:t>f</w:t>
            </w:r>
            <w:r w:rsidRPr="004765AB">
              <w:rPr>
                <w:sz w:val="20"/>
                <w:vertAlign w:val="subscript"/>
              </w:rPr>
              <w:t>preamble</w:t>
            </w:r>
            <w:proofErr w:type="spellEnd"/>
            <w:r w:rsidRPr="004765AB">
              <w:rPr>
                <w:sz w:val="20"/>
              </w:rPr>
              <w:t xml:space="preserve"> = constant</w:t>
            </w:r>
          </w:p>
          <w:p w:rsidR="00D6623E" w:rsidRPr="004765AB" w:rsidRDefault="00D6623E" w:rsidP="00332A93">
            <w:pPr>
              <w:spacing w:after="120"/>
              <w:rPr>
                <w:sz w:val="20"/>
              </w:rPr>
            </w:pPr>
          </w:p>
        </w:tc>
        <w:tc>
          <w:tcPr>
            <w:tcW w:w="2790" w:type="dxa"/>
            <w:shd w:val="clear" w:color="auto" w:fill="D9D9D9" w:themeFill="background1" w:themeFillShade="D9"/>
          </w:tcPr>
          <w:p w:rsidR="00D6623E" w:rsidRDefault="00D03638" w:rsidP="00D6623E">
            <w:pPr>
              <w:rPr>
                <w:sz w:val="20"/>
              </w:rPr>
            </w:pPr>
            <w:r>
              <w:rPr>
                <w:sz w:val="20"/>
              </w:rPr>
              <w:t>C</w:t>
            </w:r>
            <w:r w:rsidR="00D6623E">
              <w:rPr>
                <w:sz w:val="20"/>
              </w:rPr>
              <w:t>onflict</w:t>
            </w:r>
            <w:r>
              <w:rPr>
                <w:sz w:val="20"/>
              </w:rPr>
              <w:t>ing.</w:t>
            </w:r>
          </w:p>
          <w:p w:rsidR="00D6623E" w:rsidRPr="004765AB" w:rsidRDefault="00D03638" w:rsidP="003E7501">
            <w:pPr>
              <w:spacing w:after="120"/>
              <w:rPr>
                <w:sz w:val="20"/>
              </w:rPr>
            </w:pPr>
            <w:r>
              <w:rPr>
                <w:sz w:val="20"/>
              </w:rPr>
              <w:t>But optional to merge.</w:t>
            </w:r>
          </w:p>
        </w:tc>
      </w:tr>
      <w:tr w:rsidR="00D6623E" w:rsidRPr="004765AB" w:rsidTr="003E7501">
        <w:tc>
          <w:tcPr>
            <w:tcW w:w="1545" w:type="dxa"/>
            <w:shd w:val="clear" w:color="auto" w:fill="D9D9D9" w:themeFill="background1" w:themeFillShade="D9"/>
          </w:tcPr>
          <w:p w:rsidR="00D6623E" w:rsidRPr="004765AB" w:rsidRDefault="00D6623E" w:rsidP="00332A93">
            <w:pPr>
              <w:spacing w:after="120"/>
              <w:rPr>
                <w:sz w:val="20"/>
              </w:rPr>
            </w:pPr>
            <w:r w:rsidRPr="004765AB">
              <w:rPr>
                <w:sz w:val="20"/>
              </w:rPr>
              <w:t>Data frequency symbol</w:t>
            </w:r>
          </w:p>
        </w:tc>
        <w:tc>
          <w:tcPr>
            <w:tcW w:w="3130" w:type="dxa"/>
          </w:tcPr>
          <w:p w:rsidR="00D6623E" w:rsidRPr="004765AB" w:rsidRDefault="00D6623E" w:rsidP="00332A93">
            <w:pPr>
              <w:spacing w:after="120"/>
              <w:rPr>
                <w:sz w:val="20"/>
              </w:rPr>
            </w:pPr>
            <w:r w:rsidRPr="004765AB">
              <w:rPr>
                <w:sz w:val="20"/>
              </w:rPr>
              <w:t>f</w:t>
            </w:r>
            <w:r w:rsidRPr="004765AB">
              <w:rPr>
                <w:sz w:val="20"/>
                <w:vertAlign w:val="subscript"/>
              </w:rPr>
              <w:t>preamble_2</w:t>
            </w:r>
            <w:r w:rsidRPr="004765AB">
              <w:rPr>
                <w:sz w:val="20"/>
              </w:rPr>
              <w:t xml:space="preserve"> upper-limits the BW for data frequencies</w:t>
            </w:r>
          </w:p>
        </w:tc>
        <w:tc>
          <w:tcPr>
            <w:tcW w:w="2430" w:type="dxa"/>
          </w:tcPr>
          <w:p w:rsidR="00D6623E" w:rsidRPr="004765AB" w:rsidRDefault="00D6623E" w:rsidP="00332A93">
            <w:pPr>
              <w:spacing w:after="120"/>
              <w:rPr>
                <w:sz w:val="20"/>
              </w:rPr>
            </w:pPr>
            <w:r w:rsidRPr="004765AB">
              <w:rPr>
                <w:sz w:val="20"/>
              </w:rPr>
              <w:t xml:space="preserve">No relationship between </w:t>
            </w:r>
            <w:r w:rsidRPr="005A6601">
              <w:rPr>
                <w:noProof/>
                <w:sz w:val="20"/>
              </w:rPr>
              <w:t>f</w:t>
            </w:r>
            <w:r w:rsidRPr="005A6601">
              <w:rPr>
                <w:noProof/>
                <w:sz w:val="20"/>
                <w:vertAlign w:val="subscript"/>
              </w:rPr>
              <w:t>preamble</w:t>
            </w:r>
            <w:r w:rsidRPr="004765AB">
              <w:rPr>
                <w:sz w:val="20"/>
                <w:vertAlign w:val="subscript"/>
              </w:rPr>
              <w:t xml:space="preserve"> </w:t>
            </w:r>
            <w:r w:rsidRPr="004765AB">
              <w:rPr>
                <w:sz w:val="20"/>
              </w:rPr>
              <w:t>and data frequencies?</w:t>
            </w:r>
          </w:p>
        </w:tc>
        <w:tc>
          <w:tcPr>
            <w:tcW w:w="2790" w:type="dxa"/>
            <w:shd w:val="clear" w:color="auto" w:fill="D9D9D9" w:themeFill="background1" w:themeFillShade="D9"/>
          </w:tcPr>
          <w:p w:rsidR="00D6623E" w:rsidRDefault="00D03638" w:rsidP="00D6623E">
            <w:pPr>
              <w:rPr>
                <w:sz w:val="20"/>
              </w:rPr>
            </w:pPr>
            <w:r>
              <w:rPr>
                <w:sz w:val="20"/>
              </w:rPr>
              <w:t>C</w:t>
            </w:r>
            <w:r w:rsidR="00D6623E">
              <w:rPr>
                <w:sz w:val="20"/>
              </w:rPr>
              <w:t>onflict</w:t>
            </w:r>
            <w:r>
              <w:rPr>
                <w:sz w:val="20"/>
              </w:rPr>
              <w:t>ing</w:t>
            </w:r>
            <w:r w:rsidR="00C24B7B">
              <w:rPr>
                <w:sz w:val="20"/>
              </w:rPr>
              <w:t>.</w:t>
            </w:r>
          </w:p>
          <w:p w:rsidR="00D6623E" w:rsidRPr="004765AB" w:rsidRDefault="00D03638" w:rsidP="003E7501">
            <w:pPr>
              <w:spacing w:after="120"/>
              <w:rPr>
                <w:sz w:val="20"/>
              </w:rPr>
            </w:pPr>
            <w:r>
              <w:rPr>
                <w:sz w:val="20"/>
              </w:rPr>
              <w:t>But optional to</w:t>
            </w:r>
            <w:r w:rsidR="00D6623E">
              <w:rPr>
                <w:sz w:val="20"/>
              </w:rPr>
              <w:t xml:space="preserve"> merge</w:t>
            </w:r>
            <w:r w:rsidR="00C24B7B">
              <w:rPr>
                <w:sz w:val="20"/>
              </w:rPr>
              <w:t>.</w:t>
            </w:r>
          </w:p>
        </w:tc>
      </w:tr>
      <w:tr w:rsidR="00D6623E" w:rsidRPr="004765AB" w:rsidTr="003E7501">
        <w:tc>
          <w:tcPr>
            <w:tcW w:w="1545" w:type="dxa"/>
            <w:shd w:val="clear" w:color="auto" w:fill="D9D9D9" w:themeFill="background1" w:themeFillShade="D9"/>
          </w:tcPr>
          <w:p w:rsidR="00D6623E" w:rsidRPr="00ED01D2" w:rsidRDefault="00D6623E" w:rsidP="00332A93">
            <w:pPr>
              <w:spacing w:after="120"/>
              <w:rPr>
                <w:b/>
                <w:sz w:val="20"/>
              </w:rPr>
            </w:pPr>
            <w:r w:rsidRPr="00ED01D2">
              <w:rPr>
                <w:b/>
                <w:sz w:val="20"/>
              </w:rPr>
              <w:t>Frequency separation</w:t>
            </w:r>
          </w:p>
        </w:tc>
        <w:tc>
          <w:tcPr>
            <w:tcW w:w="3130" w:type="dxa"/>
          </w:tcPr>
          <w:p w:rsidR="00D6623E" w:rsidRPr="004765AB" w:rsidRDefault="00D6623E" w:rsidP="00332A93">
            <w:pPr>
              <w:spacing w:after="120"/>
              <w:rPr>
                <w:sz w:val="20"/>
              </w:rPr>
            </w:pPr>
            <w:proofErr w:type="spellStart"/>
            <w:r w:rsidRPr="004765AB">
              <w:rPr>
                <w:sz w:val="20"/>
              </w:rPr>
              <w:t>Δf</w:t>
            </w:r>
            <w:proofErr w:type="spellEnd"/>
            <w:r w:rsidRPr="004765AB">
              <w:rPr>
                <w:sz w:val="20"/>
              </w:rPr>
              <w:t xml:space="preserve"> = constant</w:t>
            </w:r>
          </w:p>
        </w:tc>
        <w:tc>
          <w:tcPr>
            <w:tcW w:w="2430" w:type="dxa"/>
          </w:tcPr>
          <w:p w:rsidR="00D6623E" w:rsidRPr="004765AB" w:rsidRDefault="00D6623E" w:rsidP="00332A93">
            <w:pPr>
              <w:spacing w:after="120"/>
              <w:rPr>
                <w:sz w:val="20"/>
              </w:rPr>
            </w:pPr>
            <w:proofErr w:type="spellStart"/>
            <w:r w:rsidRPr="004765AB">
              <w:rPr>
                <w:sz w:val="20"/>
              </w:rPr>
              <w:t>Δf</w:t>
            </w:r>
            <w:proofErr w:type="spellEnd"/>
            <w:r w:rsidRPr="004765AB">
              <w:rPr>
                <w:sz w:val="20"/>
              </w:rPr>
              <w:t xml:space="preserve"> is variable</w:t>
            </w:r>
          </w:p>
        </w:tc>
        <w:tc>
          <w:tcPr>
            <w:tcW w:w="2790" w:type="dxa"/>
            <w:shd w:val="clear" w:color="auto" w:fill="D9D9D9" w:themeFill="background1" w:themeFillShade="D9"/>
          </w:tcPr>
          <w:p w:rsidR="00D6623E" w:rsidRDefault="00D6623E" w:rsidP="00B262C0">
            <w:pPr>
              <w:spacing w:after="120"/>
              <w:rPr>
                <w:b/>
                <w:sz w:val="20"/>
              </w:rPr>
            </w:pPr>
            <w:r w:rsidRPr="00D6623E">
              <w:rPr>
                <w:b/>
                <w:sz w:val="20"/>
              </w:rPr>
              <w:t>Critical conflicting</w:t>
            </w:r>
            <w:r w:rsidR="002F22A8">
              <w:rPr>
                <w:b/>
                <w:sz w:val="20"/>
              </w:rPr>
              <w:t>.</w:t>
            </w:r>
          </w:p>
          <w:p w:rsidR="002F22A8" w:rsidRPr="00D6623E" w:rsidRDefault="002F22A8" w:rsidP="003E7501">
            <w:pPr>
              <w:rPr>
                <w:b/>
                <w:sz w:val="20"/>
              </w:rPr>
            </w:pPr>
            <w:r>
              <w:rPr>
                <w:b/>
                <w:sz w:val="20"/>
              </w:rPr>
              <w:t xml:space="preserve">But </w:t>
            </w:r>
            <w:r w:rsidR="003E7501">
              <w:rPr>
                <w:b/>
                <w:sz w:val="20"/>
              </w:rPr>
              <w:t>need</w:t>
            </w:r>
            <w:r>
              <w:rPr>
                <w:b/>
                <w:sz w:val="20"/>
              </w:rPr>
              <w:t xml:space="preserve"> to be merged.</w:t>
            </w:r>
          </w:p>
        </w:tc>
      </w:tr>
      <w:tr w:rsidR="00D6623E" w:rsidRPr="004765AB" w:rsidTr="003E7501">
        <w:tc>
          <w:tcPr>
            <w:tcW w:w="1545" w:type="dxa"/>
            <w:shd w:val="clear" w:color="auto" w:fill="D9D9D9" w:themeFill="background1" w:themeFillShade="D9"/>
          </w:tcPr>
          <w:p w:rsidR="00D6623E" w:rsidRPr="00ED01D2" w:rsidRDefault="00D6623E" w:rsidP="00D6623E">
            <w:pPr>
              <w:spacing w:after="120"/>
              <w:rPr>
                <w:b/>
                <w:sz w:val="20"/>
              </w:rPr>
            </w:pPr>
            <w:r w:rsidRPr="00ED01D2">
              <w:rPr>
                <w:b/>
                <w:sz w:val="20"/>
              </w:rPr>
              <w:t>Splitter symbol</w:t>
            </w:r>
          </w:p>
        </w:tc>
        <w:tc>
          <w:tcPr>
            <w:tcW w:w="3130" w:type="dxa"/>
          </w:tcPr>
          <w:p w:rsidR="00D6623E" w:rsidRDefault="001A212A" w:rsidP="00D6623E">
            <w:pPr>
              <w:spacing w:after="120"/>
              <w:rPr>
                <w:sz w:val="20"/>
              </w:rPr>
            </w:pPr>
            <w:r>
              <w:rPr>
                <w:sz w:val="20"/>
              </w:rPr>
              <w:t>Optional</w:t>
            </w:r>
            <w:r w:rsidR="006B3BCF">
              <w:rPr>
                <w:sz w:val="20"/>
              </w:rPr>
              <w:t xml:space="preserve"> for PSDU</w:t>
            </w:r>
            <w:r>
              <w:rPr>
                <w:sz w:val="20"/>
              </w:rPr>
              <w:t>.</w:t>
            </w:r>
            <w:r w:rsidR="006B3BCF">
              <w:rPr>
                <w:sz w:val="20"/>
              </w:rPr>
              <w:t xml:space="preserve"> </w:t>
            </w:r>
            <w:r w:rsidR="00326986">
              <w:rPr>
                <w:sz w:val="20"/>
              </w:rPr>
              <w:t>No splitter</w:t>
            </w:r>
            <w:r w:rsidR="006B3BCF">
              <w:rPr>
                <w:sz w:val="20"/>
              </w:rPr>
              <w:t xml:space="preserve"> in sending PHY header subfield.</w:t>
            </w:r>
          </w:p>
          <w:p w:rsidR="005E43E9" w:rsidRDefault="00326986" w:rsidP="005E43E9">
            <w:pPr>
              <w:spacing w:after="120"/>
              <w:rPr>
                <w:sz w:val="20"/>
              </w:rPr>
            </w:pPr>
            <w:r>
              <w:rPr>
                <w:sz w:val="20"/>
              </w:rPr>
              <w:t xml:space="preserve">* </w:t>
            </w:r>
            <w:r w:rsidR="005E43E9">
              <w:rPr>
                <w:sz w:val="20"/>
              </w:rPr>
              <w:t>We usually do not use the guard symbol in between data symbols.</w:t>
            </w:r>
          </w:p>
          <w:p w:rsidR="001A212A" w:rsidRPr="004765AB" w:rsidRDefault="00326986" w:rsidP="00A533AF">
            <w:pPr>
              <w:rPr>
                <w:sz w:val="20"/>
              </w:rPr>
            </w:pPr>
            <w:r>
              <w:rPr>
                <w:sz w:val="20"/>
              </w:rPr>
              <w:t xml:space="preserve">* </w:t>
            </w:r>
            <w:r w:rsidR="001A212A">
              <w:rPr>
                <w:sz w:val="20"/>
              </w:rPr>
              <w:t xml:space="preserve">We optionally use 10kHz signal </w:t>
            </w:r>
            <w:r w:rsidR="00A533AF">
              <w:rPr>
                <w:sz w:val="20"/>
              </w:rPr>
              <w:t>in</w:t>
            </w:r>
            <w:r w:rsidR="001A212A">
              <w:rPr>
                <w:sz w:val="20"/>
              </w:rPr>
              <w:t xml:space="preserve"> between two </w:t>
            </w:r>
            <w:r w:rsidR="00874844">
              <w:rPr>
                <w:sz w:val="20"/>
              </w:rPr>
              <w:t xml:space="preserve">data </w:t>
            </w:r>
            <w:r w:rsidR="001A212A">
              <w:rPr>
                <w:sz w:val="20"/>
              </w:rPr>
              <w:t xml:space="preserve">symbols for </w:t>
            </w:r>
            <w:r w:rsidR="00A533AF">
              <w:rPr>
                <w:sz w:val="20"/>
              </w:rPr>
              <w:t xml:space="preserve">dual purposes: </w:t>
            </w:r>
            <w:r w:rsidR="001A212A">
              <w:rPr>
                <w:sz w:val="20"/>
              </w:rPr>
              <w:t xml:space="preserve">guard time and PD mode. (Please refer to our slide# 30 – doc. 15/16-0014r1). </w:t>
            </w:r>
          </w:p>
        </w:tc>
        <w:tc>
          <w:tcPr>
            <w:tcW w:w="2430" w:type="dxa"/>
          </w:tcPr>
          <w:p w:rsidR="006B3BCF" w:rsidRDefault="006B3BCF" w:rsidP="0017756E">
            <w:pPr>
              <w:spacing w:after="120"/>
              <w:rPr>
                <w:sz w:val="20"/>
              </w:rPr>
            </w:pPr>
            <w:r>
              <w:rPr>
                <w:sz w:val="20"/>
              </w:rPr>
              <w:t>Mandatory for PSDU</w:t>
            </w:r>
            <w:r w:rsidR="003E7501">
              <w:rPr>
                <w:sz w:val="20"/>
              </w:rPr>
              <w:t xml:space="preserve"> (?)</w:t>
            </w:r>
            <w:r w:rsidR="005742A9">
              <w:rPr>
                <w:sz w:val="20"/>
              </w:rPr>
              <w:t>.</w:t>
            </w:r>
            <w:r w:rsidR="00326986">
              <w:rPr>
                <w:sz w:val="20"/>
              </w:rPr>
              <w:t xml:space="preserve"> No splitter</w:t>
            </w:r>
            <w:r>
              <w:rPr>
                <w:sz w:val="20"/>
              </w:rPr>
              <w:t xml:space="preserve"> in sending PHY header subfields.</w:t>
            </w:r>
          </w:p>
          <w:p w:rsidR="005E43E9" w:rsidRDefault="005742A9" w:rsidP="0017756E">
            <w:pPr>
              <w:spacing w:after="120"/>
              <w:rPr>
                <w:sz w:val="20"/>
              </w:rPr>
            </w:pPr>
            <w:r>
              <w:rPr>
                <w:sz w:val="20"/>
              </w:rPr>
              <w:t xml:space="preserve"> </w:t>
            </w:r>
          </w:p>
          <w:p w:rsidR="00D6623E" w:rsidRPr="004765AB" w:rsidRDefault="005742A9" w:rsidP="0017756E">
            <w:pPr>
              <w:spacing w:after="120"/>
              <w:rPr>
                <w:sz w:val="20"/>
              </w:rPr>
            </w:pPr>
            <w:r>
              <w:rPr>
                <w:sz w:val="20"/>
              </w:rPr>
              <w:t xml:space="preserve">Splitter frequency is </w:t>
            </w:r>
            <w:r w:rsidR="0017756E">
              <w:rPr>
                <w:sz w:val="20"/>
              </w:rPr>
              <w:t xml:space="preserve">7/18 </w:t>
            </w:r>
            <w:proofErr w:type="spellStart"/>
            <w:r w:rsidR="0017756E">
              <w:rPr>
                <w:sz w:val="20"/>
              </w:rPr>
              <w:t>aPF</w:t>
            </w:r>
            <w:proofErr w:type="spellEnd"/>
            <w:r w:rsidR="0017756E">
              <w:rPr>
                <w:sz w:val="20"/>
              </w:rPr>
              <w:t xml:space="preserve"> = </w:t>
            </w:r>
            <w:r w:rsidR="0017756E" w:rsidRPr="00521E7C">
              <w:rPr>
                <w:color w:val="FF0000"/>
                <w:sz w:val="20"/>
              </w:rPr>
              <w:t xml:space="preserve">868 </w:t>
            </w:r>
            <w:proofErr w:type="gramStart"/>
            <w:r w:rsidR="0017756E" w:rsidRPr="00521E7C">
              <w:rPr>
                <w:color w:val="FF0000"/>
                <w:sz w:val="20"/>
              </w:rPr>
              <w:t>Hz</w:t>
            </w:r>
            <w:r w:rsidR="003E7501">
              <w:rPr>
                <w:color w:val="FF0000"/>
                <w:sz w:val="20"/>
              </w:rPr>
              <w:t>(</w:t>
            </w:r>
            <w:proofErr w:type="gramEnd"/>
            <w:r w:rsidR="00521E7C" w:rsidRPr="00521E7C">
              <w:rPr>
                <w:color w:val="FF0000"/>
                <w:sz w:val="20"/>
              </w:rPr>
              <w:t>?</w:t>
            </w:r>
            <w:r w:rsidR="003E7501">
              <w:rPr>
                <w:color w:val="FF0000"/>
                <w:sz w:val="20"/>
              </w:rPr>
              <w:t>)</w:t>
            </w:r>
            <w:r w:rsidR="0017756E" w:rsidRPr="00521E7C">
              <w:rPr>
                <w:color w:val="FF0000"/>
                <w:sz w:val="20"/>
              </w:rPr>
              <w:t>.</w:t>
            </w:r>
          </w:p>
        </w:tc>
        <w:tc>
          <w:tcPr>
            <w:tcW w:w="2790" w:type="dxa"/>
            <w:shd w:val="clear" w:color="auto" w:fill="D9D9D9" w:themeFill="background1" w:themeFillShade="D9"/>
          </w:tcPr>
          <w:p w:rsidR="00C24B7B" w:rsidRDefault="00A41E6B" w:rsidP="00C24B7B">
            <w:pPr>
              <w:rPr>
                <w:sz w:val="20"/>
              </w:rPr>
            </w:pPr>
            <w:r>
              <w:rPr>
                <w:sz w:val="20"/>
              </w:rPr>
              <w:t>PHY header must be supported. However, there is c</w:t>
            </w:r>
            <w:r w:rsidR="00C24B7B" w:rsidRPr="00624FEF">
              <w:rPr>
                <w:sz w:val="20"/>
              </w:rPr>
              <w:t>onflict</w:t>
            </w:r>
            <w:r>
              <w:rPr>
                <w:sz w:val="20"/>
              </w:rPr>
              <w:t>ing</w:t>
            </w:r>
            <w:r w:rsidR="005742A9">
              <w:rPr>
                <w:sz w:val="20"/>
              </w:rPr>
              <w:t xml:space="preserve"> </w:t>
            </w:r>
            <w:r>
              <w:rPr>
                <w:sz w:val="20"/>
              </w:rPr>
              <w:t>in selecting frequencies to send PHY header subfields</w:t>
            </w:r>
            <w:r w:rsidR="00C24B7B" w:rsidRPr="00624FEF">
              <w:rPr>
                <w:sz w:val="20"/>
              </w:rPr>
              <w:t>.</w:t>
            </w:r>
          </w:p>
          <w:p w:rsidR="00597605" w:rsidRDefault="00597605" w:rsidP="00C24B7B">
            <w:pPr>
              <w:rPr>
                <w:sz w:val="20"/>
              </w:rPr>
            </w:pPr>
          </w:p>
          <w:p w:rsidR="00597605" w:rsidRDefault="00597605" w:rsidP="00C24B7B">
            <w:pPr>
              <w:rPr>
                <w:sz w:val="20"/>
              </w:rPr>
            </w:pPr>
            <w:r>
              <w:rPr>
                <w:sz w:val="20"/>
              </w:rPr>
              <w:t xml:space="preserve">PHY header must be sent at the lowest </w:t>
            </w:r>
            <w:r w:rsidR="003E7501">
              <w:rPr>
                <w:sz w:val="20"/>
              </w:rPr>
              <w:t>optical clock rate (also means data rate)</w:t>
            </w:r>
            <w:r>
              <w:rPr>
                <w:sz w:val="20"/>
              </w:rPr>
              <w:t xml:space="preserve"> among </w:t>
            </w:r>
            <w:r w:rsidR="003E7501">
              <w:rPr>
                <w:sz w:val="20"/>
              </w:rPr>
              <w:t>supported</w:t>
            </w:r>
            <w:r>
              <w:rPr>
                <w:sz w:val="20"/>
              </w:rPr>
              <w:t xml:space="preserve"> operating modes.</w:t>
            </w:r>
          </w:p>
          <w:p w:rsidR="005E43E9" w:rsidRPr="00624FEF" w:rsidRDefault="005E43E9" w:rsidP="00C24B7B">
            <w:pPr>
              <w:rPr>
                <w:sz w:val="20"/>
              </w:rPr>
            </w:pPr>
          </w:p>
          <w:p w:rsidR="00D6623E" w:rsidRPr="005E43E9" w:rsidRDefault="008F7992" w:rsidP="00A41E6B">
            <w:pPr>
              <w:rPr>
                <w:sz w:val="20"/>
              </w:rPr>
            </w:pPr>
            <w:r>
              <w:rPr>
                <w:sz w:val="20"/>
              </w:rPr>
              <w:t>Also,</w:t>
            </w:r>
            <w:r w:rsidR="003308C5">
              <w:rPr>
                <w:sz w:val="20"/>
              </w:rPr>
              <w:t xml:space="preserve"> change it into optional </w:t>
            </w:r>
            <w:r w:rsidR="00A41E6B">
              <w:rPr>
                <w:sz w:val="20"/>
              </w:rPr>
              <w:t>for PSDU</w:t>
            </w:r>
            <w:r w:rsidR="003308C5">
              <w:rPr>
                <w:sz w:val="20"/>
              </w:rPr>
              <w:t>.</w:t>
            </w:r>
          </w:p>
        </w:tc>
      </w:tr>
      <w:tr w:rsidR="00D6623E" w:rsidRPr="004765AB" w:rsidTr="003E7501">
        <w:tc>
          <w:tcPr>
            <w:tcW w:w="1545" w:type="dxa"/>
            <w:shd w:val="clear" w:color="auto" w:fill="D9D9D9" w:themeFill="background1" w:themeFillShade="D9"/>
          </w:tcPr>
          <w:p w:rsidR="00D6623E" w:rsidRDefault="00D6623E" w:rsidP="00D6623E">
            <w:pPr>
              <w:spacing w:after="120"/>
              <w:rPr>
                <w:b/>
                <w:sz w:val="20"/>
              </w:rPr>
            </w:pPr>
            <w:r w:rsidRPr="00ED01D2">
              <w:rPr>
                <w:b/>
                <w:sz w:val="20"/>
              </w:rPr>
              <w:t>Frame rate variation support</w:t>
            </w:r>
            <w:r w:rsidR="003E7501">
              <w:rPr>
                <w:b/>
                <w:sz w:val="20"/>
              </w:rPr>
              <w:t>/</w:t>
            </w:r>
          </w:p>
          <w:p w:rsidR="003E7501" w:rsidRPr="00ED01D2" w:rsidRDefault="003E7501" w:rsidP="00D6623E">
            <w:pPr>
              <w:spacing w:after="120"/>
              <w:rPr>
                <w:b/>
                <w:sz w:val="20"/>
              </w:rPr>
            </w:pPr>
            <w:r>
              <w:rPr>
                <w:b/>
                <w:sz w:val="20"/>
              </w:rPr>
              <w:t>Asynchronous communication</w:t>
            </w:r>
          </w:p>
        </w:tc>
        <w:tc>
          <w:tcPr>
            <w:tcW w:w="3130" w:type="dxa"/>
          </w:tcPr>
          <w:p w:rsidR="00D6623E" w:rsidRPr="004765AB" w:rsidRDefault="00D6623E" w:rsidP="00D6623E">
            <w:pPr>
              <w:spacing w:after="120"/>
              <w:rPr>
                <w:sz w:val="20"/>
              </w:rPr>
            </w:pPr>
            <w:r w:rsidRPr="004765AB">
              <w:rPr>
                <w:sz w:val="20"/>
              </w:rPr>
              <w:t>Using clock information embedded into each data symbol</w:t>
            </w:r>
            <w:r>
              <w:rPr>
                <w:sz w:val="20"/>
              </w:rPr>
              <w:t xml:space="preserve">. A single clock information bit (Ab) leads to the division of BW into </w:t>
            </w:r>
            <w:r>
              <w:rPr>
                <w:noProof/>
                <w:sz w:val="20"/>
              </w:rPr>
              <w:t>two</w:t>
            </w:r>
            <w:r>
              <w:rPr>
                <w:sz w:val="20"/>
              </w:rPr>
              <w:t xml:space="preserve"> sub-bands. Likewise, a pair of Ab bits leads to the division of BW into </w:t>
            </w:r>
            <w:r>
              <w:rPr>
                <w:noProof/>
                <w:sz w:val="20"/>
              </w:rPr>
              <w:t>four</w:t>
            </w:r>
            <w:r>
              <w:rPr>
                <w:sz w:val="20"/>
              </w:rPr>
              <w:t xml:space="preserve"> sub-bands.</w:t>
            </w:r>
          </w:p>
        </w:tc>
        <w:tc>
          <w:tcPr>
            <w:tcW w:w="2430" w:type="dxa"/>
          </w:tcPr>
          <w:p w:rsidR="00D6623E" w:rsidRPr="004765AB" w:rsidRDefault="00D6623E" w:rsidP="00D6623E">
            <w:pPr>
              <w:spacing w:after="120"/>
              <w:rPr>
                <w:sz w:val="20"/>
              </w:rPr>
            </w:pPr>
            <w:r w:rsidRPr="004765AB">
              <w:rPr>
                <w:sz w:val="20"/>
              </w:rPr>
              <w:t xml:space="preserve">Division of BW into </w:t>
            </w:r>
            <w:r>
              <w:rPr>
                <w:noProof/>
                <w:sz w:val="20"/>
              </w:rPr>
              <w:t>three</w:t>
            </w:r>
            <w:r w:rsidRPr="004765AB">
              <w:rPr>
                <w:sz w:val="20"/>
              </w:rPr>
              <w:t xml:space="preserve"> sub-bands. </w:t>
            </w:r>
            <w:r w:rsidRPr="005A6601">
              <w:rPr>
                <w:noProof/>
                <w:sz w:val="20"/>
              </w:rPr>
              <w:t>This is</w:t>
            </w:r>
            <w:r w:rsidRPr="004765AB">
              <w:rPr>
                <w:sz w:val="20"/>
              </w:rPr>
              <w:t xml:space="preserve"> equivalent to embedding clock information.</w:t>
            </w:r>
          </w:p>
        </w:tc>
        <w:tc>
          <w:tcPr>
            <w:tcW w:w="2790" w:type="dxa"/>
            <w:shd w:val="clear" w:color="auto" w:fill="D9D9D9" w:themeFill="background1" w:themeFillShade="D9"/>
          </w:tcPr>
          <w:p w:rsidR="00D6623E" w:rsidRDefault="00D6623E" w:rsidP="00B262C0">
            <w:pPr>
              <w:spacing w:after="120"/>
              <w:rPr>
                <w:sz w:val="20"/>
              </w:rPr>
            </w:pPr>
            <w:r>
              <w:rPr>
                <w:sz w:val="20"/>
              </w:rPr>
              <w:t>No conflict (supporting</w:t>
            </w:r>
            <w:r w:rsidR="00C24B7B">
              <w:rPr>
                <w:sz w:val="20"/>
              </w:rPr>
              <w:t xml:space="preserve"> each other</w:t>
            </w:r>
            <w:r>
              <w:rPr>
                <w:sz w:val="20"/>
              </w:rPr>
              <w:t>)</w:t>
            </w:r>
            <w:r w:rsidR="00C24B7B">
              <w:rPr>
                <w:sz w:val="20"/>
              </w:rPr>
              <w:t>.</w:t>
            </w:r>
          </w:p>
          <w:p w:rsidR="00D6623E" w:rsidRPr="004765AB" w:rsidRDefault="00624FEF" w:rsidP="00E02191">
            <w:pPr>
              <w:spacing w:after="120"/>
              <w:rPr>
                <w:sz w:val="20"/>
              </w:rPr>
            </w:pPr>
            <w:r>
              <w:rPr>
                <w:sz w:val="20"/>
              </w:rPr>
              <w:t xml:space="preserve">Can </w:t>
            </w:r>
            <w:r w:rsidR="00C24B7B">
              <w:rPr>
                <w:sz w:val="20"/>
              </w:rPr>
              <w:t>b</w:t>
            </w:r>
            <w:r w:rsidR="00D6623E">
              <w:rPr>
                <w:sz w:val="20"/>
              </w:rPr>
              <w:t>e merged</w:t>
            </w:r>
            <w:r w:rsidR="00C24B7B">
              <w:rPr>
                <w:sz w:val="20"/>
              </w:rPr>
              <w:t>.</w:t>
            </w:r>
          </w:p>
        </w:tc>
      </w:tr>
      <w:tr w:rsidR="00D6623E" w:rsidRPr="004765AB" w:rsidTr="003E7501">
        <w:tc>
          <w:tcPr>
            <w:tcW w:w="1545" w:type="dxa"/>
            <w:shd w:val="clear" w:color="auto" w:fill="D9D9D9" w:themeFill="background1" w:themeFillShade="D9"/>
          </w:tcPr>
          <w:p w:rsidR="00D6623E" w:rsidRPr="00ED01D2" w:rsidRDefault="00D6623E" w:rsidP="00D6623E">
            <w:pPr>
              <w:spacing w:after="120"/>
              <w:rPr>
                <w:b/>
                <w:sz w:val="20"/>
              </w:rPr>
            </w:pPr>
            <w:r w:rsidRPr="00ED01D2">
              <w:rPr>
                <w:b/>
                <w:sz w:val="20"/>
              </w:rPr>
              <w:t>Bandwidth</w:t>
            </w:r>
          </w:p>
        </w:tc>
        <w:tc>
          <w:tcPr>
            <w:tcW w:w="3130" w:type="dxa"/>
          </w:tcPr>
          <w:p w:rsidR="00D6623E" w:rsidRDefault="00684423" w:rsidP="00D6623E">
            <w:pPr>
              <w:spacing w:after="120"/>
              <w:rPr>
                <w:sz w:val="20"/>
              </w:rPr>
            </w:pPr>
            <w:r>
              <w:rPr>
                <w:sz w:val="20"/>
              </w:rPr>
              <w:t>Unique</w:t>
            </w:r>
            <w:r w:rsidR="00D6623E" w:rsidRPr="004765AB">
              <w:rPr>
                <w:sz w:val="20"/>
              </w:rPr>
              <w:t xml:space="preserve"> BW for data bits-to-symbol mapping</w:t>
            </w:r>
            <w:r>
              <w:rPr>
                <w:sz w:val="20"/>
              </w:rPr>
              <w:t>.</w:t>
            </w:r>
          </w:p>
          <w:p w:rsidR="00E02191" w:rsidRPr="004765AB" w:rsidRDefault="00E02191" w:rsidP="00D6623E">
            <w:pPr>
              <w:spacing w:after="120"/>
              <w:rPr>
                <w:sz w:val="20"/>
              </w:rPr>
            </w:pPr>
            <w:r>
              <w:rPr>
                <w:sz w:val="20"/>
              </w:rPr>
              <w:t>PHY header fields are sent at the same BW as PSDU.</w:t>
            </w:r>
          </w:p>
        </w:tc>
        <w:tc>
          <w:tcPr>
            <w:tcW w:w="2430" w:type="dxa"/>
          </w:tcPr>
          <w:p w:rsidR="00D6623E" w:rsidRDefault="00C220DA" w:rsidP="00D6623E">
            <w:pPr>
              <w:spacing w:after="120"/>
              <w:rPr>
                <w:sz w:val="20"/>
              </w:rPr>
            </w:pPr>
            <w:r>
              <w:rPr>
                <w:sz w:val="20"/>
              </w:rPr>
              <w:t>Low</w:t>
            </w:r>
            <w:r w:rsidR="00D6623E" w:rsidRPr="004765AB">
              <w:rPr>
                <w:sz w:val="20"/>
              </w:rPr>
              <w:t xml:space="preserve"> BW for data bits-to-symbol mapping</w:t>
            </w:r>
            <w:r w:rsidR="00684423">
              <w:rPr>
                <w:sz w:val="20"/>
              </w:rPr>
              <w:t>.</w:t>
            </w:r>
          </w:p>
          <w:p w:rsidR="00D6623E" w:rsidRPr="004765AB" w:rsidRDefault="00D6623E" w:rsidP="00C220DA">
            <w:pPr>
              <w:spacing w:after="120"/>
              <w:rPr>
                <w:sz w:val="20"/>
              </w:rPr>
            </w:pPr>
            <w:r>
              <w:rPr>
                <w:sz w:val="20"/>
              </w:rPr>
              <w:t>Another</w:t>
            </w:r>
            <w:r w:rsidR="00C220DA">
              <w:rPr>
                <w:sz w:val="20"/>
              </w:rPr>
              <w:t xml:space="preserve"> BW (higher </w:t>
            </w:r>
            <w:r>
              <w:rPr>
                <w:sz w:val="20"/>
              </w:rPr>
              <w:t>BW</w:t>
            </w:r>
            <w:r w:rsidR="00C220DA">
              <w:rPr>
                <w:sz w:val="20"/>
              </w:rPr>
              <w:t>)</w:t>
            </w:r>
            <w:r>
              <w:rPr>
                <w:sz w:val="20"/>
              </w:rPr>
              <w:t xml:space="preserve"> for PIB attributes</w:t>
            </w:r>
            <w:r w:rsidR="007966F0">
              <w:rPr>
                <w:sz w:val="20"/>
              </w:rPr>
              <w:t xml:space="preserve"> (</w:t>
            </w:r>
            <w:r w:rsidR="00C220DA">
              <w:rPr>
                <w:sz w:val="20"/>
              </w:rPr>
              <w:t xml:space="preserve">actually </w:t>
            </w:r>
            <w:r w:rsidR="007966F0">
              <w:rPr>
                <w:sz w:val="20"/>
              </w:rPr>
              <w:t>PHY header field)</w:t>
            </w:r>
            <w:r>
              <w:rPr>
                <w:sz w:val="20"/>
              </w:rPr>
              <w:t xml:space="preserve"> notification</w:t>
            </w:r>
            <w:r w:rsidR="00684423">
              <w:rPr>
                <w:sz w:val="20"/>
              </w:rPr>
              <w:t>.</w:t>
            </w:r>
          </w:p>
        </w:tc>
        <w:tc>
          <w:tcPr>
            <w:tcW w:w="2790" w:type="dxa"/>
            <w:shd w:val="clear" w:color="auto" w:fill="D9D9D9" w:themeFill="background1" w:themeFillShade="D9"/>
          </w:tcPr>
          <w:p w:rsidR="00D6623E" w:rsidRDefault="00D6623E" w:rsidP="00D6623E">
            <w:pPr>
              <w:spacing w:after="120"/>
              <w:rPr>
                <w:b/>
                <w:sz w:val="20"/>
              </w:rPr>
            </w:pPr>
            <w:r w:rsidRPr="00D6623E">
              <w:rPr>
                <w:b/>
                <w:sz w:val="20"/>
              </w:rPr>
              <w:t>Critical conflicting</w:t>
            </w:r>
            <w:r w:rsidR="002F22A8">
              <w:rPr>
                <w:b/>
                <w:sz w:val="20"/>
              </w:rPr>
              <w:t>.</w:t>
            </w:r>
          </w:p>
          <w:p w:rsidR="002F22A8" w:rsidRPr="004765AB" w:rsidRDefault="003E7501" w:rsidP="00D6623E">
            <w:pPr>
              <w:spacing w:after="120"/>
              <w:rPr>
                <w:sz w:val="20"/>
              </w:rPr>
            </w:pPr>
            <w:r>
              <w:rPr>
                <w:b/>
                <w:sz w:val="20"/>
              </w:rPr>
              <w:t>PHY header must be sent at the lowest data rate supported in PSDU instead of using another BW and undefined frequencies.</w:t>
            </w:r>
          </w:p>
        </w:tc>
      </w:tr>
      <w:tr w:rsidR="00D6623E" w:rsidRPr="004765AB" w:rsidTr="003E7501">
        <w:tc>
          <w:tcPr>
            <w:tcW w:w="1545" w:type="dxa"/>
            <w:shd w:val="clear" w:color="auto" w:fill="D9D9D9" w:themeFill="background1" w:themeFillShade="D9"/>
          </w:tcPr>
          <w:p w:rsidR="00D6623E" w:rsidRPr="00ED01D2" w:rsidRDefault="00D6623E" w:rsidP="00D6623E">
            <w:pPr>
              <w:spacing w:after="120"/>
              <w:rPr>
                <w:b/>
                <w:sz w:val="20"/>
              </w:rPr>
            </w:pPr>
            <w:r w:rsidRPr="00ED01D2">
              <w:rPr>
                <w:b/>
                <w:sz w:val="20"/>
              </w:rPr>
              <w:t>End symbol</w:t>
            </w:r>
          </w:p>
        </w:tc>
        <w:tc>
          <w:tcPr>
            <w:tcW w:w="3130" w:type="dxa"/>
          </w:tcPr>
          <w:p w:rsidR="00D6623E" w:rsidRPr="004765AB" w:rsidRDefault="00D6623E" w:rsidP="00D6623E">
            <w:pPr>
              <w:spacing w:after="120"/>
              <w:rPr>
                <w:sz w:val="20"/>
              </w:rPr>
            </w:pPr>
            <w:r>
              <w:rPr>
                <w:sz w:val="20"/>
              </w:rPr>
              <w:t>No</w:t>
            </w:r>
          </w:p>
        </w:tc>
        <w:tc>
          <w:tcPr>
            <w:tcW w:w="2430" w:type="dxa"/>
          </w:tcPr>
          <w:p w:rsidR="00D6623E" w:rsidRPr="004765AB" w:rsidRDefault="00D6623E" w:rsidP="00D6623E">
            <w:pPr>
              <w:spacing w:after="120"/>
              <w:rPr>
                <w:sz w:val="20"/>
              </w:rPr>
            </w:pPr>
            <w:r>
              <w:rPr>
                <w:sz w:val="20"/>
              </w:rPr>
              <w:t>Yes</w:t>
            </w:r>
          </w:p>
        </w:tc>
        <w:tc>
          <w:tcPr>
            <w:tcW w:w="2790" w:type="dxa"/>
            <w:shd w:val="clear" w:color="auto" w:fill="D9D9D9" w:themeFill="background1" w:themeFillShade="D9"/>
          </w:tcPr>
          <w:p w:rsidR="00D6623E" w:rsidRDefault="0091342F" w:rsidP="003E7501">
            <w:pPr>
              <w:spacing w:after="120"/>
              <w:rPr>
                <w:sz w:val="20"/>
              </w:rPr>
            </w:pPr>
            <w:r>
              <w:rPr>
                <w:sz w:val="20"/>
              </w:rPr>
              <w:t xml:space="preserve">NTU should change the end symbol to </w:t>
            </w:r>
            <w:r w:rsidR="003E7501">
              <w:rPr>
                <w:sz w:val="20"/>
              </w:rPr>
              <w:t xml:space="preserve">an </w:t>
            </w:r>
            <w:r>
              <w:rPr>
                <w:sz w:val="20"/>
              </w:rPr>
              <w:t>optional sub-field of PSDU</w:t>
            </w:r>
            <w:r w:rsidR="00456C65">
              <w:rPr>
                <w:sz w:val="20"/>
              </w:rPr>
              <w:t xml:space="preserve"> to be compatible with existing standard</w:t>
            </w:r>
            <w:r>
              <w:rPr>
                <w:sz w:val="20"/>
              </w:rPr>
              <w:t>. Refer to Figure 123 – IEEE 802.15.7-2011.</w:t>
            </w:r>
          </w:p>
        </w:tc>
      </w:tr>
      <w:tr w:rsidR="00D6623E" w:rsidRPr="004765AB" w:rsidTr="003E7501">
        <w:tc>
          <w:tcPr>
            <w:tcW w:w="1545" w:type="dxa"/>
            <w:shd w:val="clear" w:color="auto" w:fill="D9D9D9" w:themeFill="background1" w:themeFillShade="D9"/>
          </w:tcPr>
          <w:p w:rsidR="00D6623E" w:rsidRDefault="00D6623E" w:rsidP="00D6623E">
            <w:pPr>
              <w:spacing w:after="120"/>
              <w:rPr>
                <w:sz w:val="20"/>
              </w:rPr>
            </w:pPr>
            <w:proofErr w:type="spellStart"/>
            <w:r>
              <w:rPr>
                <w:sz w:val="20"/>
              </w:rPr>
              <w:t>Superframe</w:t>
            </w:r>
            <w:proofErr w:type="spellEnd"/>
          </w:p>
        </w:tc>
        <w:tc>
          <w:tcPr>
            <w:tcW w:w="3130" w:type="dxa"/>
          </w:tcPr>
          <w:p w:rsidR="00D6623E" w:rsidRDefault="00D6623E" w:rsidP="00D6623E">
            <w:pPr>
              <w:spacing w:after="120"/>
              <w:rPr>
                <w:sz w:val="20"/>
              </w:rPr>
            </w:pPr>
            <w:r>
              <w:rPr>
                <w:sz w:val="20"/>
              </w:rPr>
              <w:t>No</w:t>
            </w:r>
          </w:p>
        </w:tc>
        <w:tc>
          <w:tcPr>
            <w:tcW w:w="2430" w:type="dxa"/>
          </w:tcPr>
          <w:p w:rsidR="00D6623E" w:rsidRDefault="00D6623E" w:rsidP="00D6623E">
            <w:pPr>
              <w:spacing w:after="120"/>
              <w:rPr>
                <w:sz w:val="20"/>
              </w:rPr>
            </w:pPr>
            <w:r>
              <w:rPr>
                <w:sz w:val="20"/>
              </w:rPr>
              <w:t>Yes</w:t>
            </w:r>
          </w:p>
        </w:tc>
        <w:tc>
          <w:tcPr>
            <w:tcW w:w="2790" w:type="dxa"/>
            <w:shd w:val="clear" w:color="auto" w:fill="D9D9D9" w:themeFill="background1" w:themeFillShade="D9"/>
          </w:tcPr>
          <w:p w:rsidR="00D6623E" w:rsidRDefault="00D6623E" w:rsidP="00D6623E">
            <w:pPr>
              <w:spacing w:after="120"/>
              <w:rPr>
                <w:sz w:val="20"/>
              </w:rPr>
            </w:pPr>
          </w:p>
        </w:tc>
      </w:tr>
      <w:tr w:rsidR="00D6623E" w:rsidRPr="004765AB" w:rsidTr="003E7501">
        <w:tc>
          <w:tcPr>
            <w:tcW w:w="1545" w:type="dxa"/>
            <w:shd w:val="clear" w:color="auto" w:fill="D9D9D9" w:themeFill="background1" w:themeFillShade="D9"/>
          </w:tcPr>
          <w:p w:rsidR="00D6623E" w:rsidRDefault="00D6623E" w:rsidP="00D6623E">
            <w:pPr>
              <w:spacing w:after="120"/>
              <w:rPr>
                <w:sz w:val="20"/>
              </w:rPr>
            </w:pPr>
            <w:r>
              <w:rPr>
                <w:sz w:val="20"/>
              </w:rPr>
              <w:t>MAC frame format</w:t>
            </w:r>
          </w:p>
        </w:tc>
        <w:tc>
          <w:tcPr>
            <w:tcW w:w="3130" w:type="dxa"/>
          </w:tcPr>
          <w:p w:rsidR="00D6623E" w:rsidRDefault="00D6623E" w:rsidP="00D6623E">
            <w:pPr>
              <w:spacing w:after="120"/>
              <w:rPr>
                <w:sz w:val="20"/>
              </w:rPr>
            </w:pPr>
            <w:r>
              <w:rPr>
                <w:sz w:val="20"/>
              </w:rPr>
              <w:t>6 bits overhead</w:t>
            </w:r>
          </w:p>
        </w:tc>
        <w:tc>
          <w:tcPr>
            <w:tcW w:w="2430" w:type="dxa"/>
          </w:tcPr>
          <w:p w:rsidR="00D6623E" w:rsidRDefault="00D6623E" w:rsidP="00D6623E">
            <w:pPr>
              <w:spacing w:after="120"/>
              <w:rPr>
                <w:sz w:val="20"/>
              </w:rPr>
            </w:pPr>
            <w:r>
              <w:rPr>
                <w:sz w:val="20"/>
              </w:rPr>
              <w:t>2 bytes overhead mandatory</w:t>
            </w:r>
          </w:p>
        </w:tc>
        <w:tc>
          <w:tcPr>
            <w:tcW w:w="2790" w:type="dxa"/>
            <w:shd w:val="clear" w:color="auto" w:fill="D9D9D9" w:themeFill="background1" w:themeFillShade="D9"/>
          </w:tcPr>
          <w:p w:rsidR="00D6623E" w:rsidRDefault="003E7501" w:rsidP="00D6623E">
            <w:pPr>
              <w:spacing w:after="120"/>
              <w:rPr>
                <w:sz w:val="20"/>
              </w:rPr>
            </w:pPr>
            <w:r>
              <w:rPr>
                <w:sz w:val="20"/>
              </w:rPr>
              <w:t>Let’s discuss the common MAC frame format</w:t>
            </w:r>
          </w:p>
        </w:tc>
      </w:tr>
    </w:tbl>
    <w:p w:rsidR="007776F8" w:rsidRPr="00EF2B14" w:rsidRDefault="001D2B7A" w:rsidP="006B3BCF">
      <w:pPr>
        <w:rPr>
          <w:b/>
        </w:rPr>
      </w:pPr>
      <w:r>
        <w:rPr>
          <w:b/>
        </w:rPr>
        <w:br w:type="page"/>
      </w:r>
      <w:r w:rsidR="00AB12FE">
        <w:rPr>
          <w:b/>
        </w:rPr>
        <w:lastRenderedPageBreak/>
        <w:t xml:space="preserve">Comments </w:t>
      </w:r>
      <w:r w:rsidR="008A4D70" w:rsidRPr="00EF2B14">
        <w:rPr>
          <w:b/>
        </w:rPr>
        <w:t>on FSK</w:t>
      </w:r>
      <w:r w:rsidR="00CD6AFA" w:rsidRPr="00EF2B14">
        <w:rPr>
          <w:b/>
        </w:rPr>
        <w:t xml:space="preserve"> based</w:t>
      </w:r>
      <w:r w:rsidR="008A4D70" w:rsidRPr="00EF2B14">
        <w:rPr>
          <w:b/>
        </w:rPr>
        <w:t xml:space="preserve"> method</w:t>
      </w:r>
      <w:r w:rsidR="00CD6AFA" w:rsidRPr="00EF2B14">
        <w:rPr>
          <w:b/>
        </w:rPr>
        <w:t>ology</w:t>
      </w:r>
      <w:r w:rsidR="008A4D70" w:rsidRPr="00EF2B14">
        <w:rPr>
          <w:b/>
        </w:rPr>
        <w:t>:</w:t>
      </w:r>
    </w:p>
    <w:p w:rsidR="007776F8" w:rsidRPr="008F2B56" w:rsidRDefault="00AB12FE">
      <w:pPr>
        <w:rPr>
          <w:color w:val="0070C0"/>
        </w:rPr>
      </w:pPr>
      <w:r>
        <w:rPr>
          <w:color w:val="0070C0"/>
        </w:rPr>
        <w:t>Comment</w:t>
      </w:r>
      <w:r w:rsidR="007776F8" w:rsidRPr="008F2B56">
        <w:rPr>
          <w:color w:val="0070C0"/>
        </w:rPr>
        <w:t xml:space="preserve"> 1</w:t>
      </w:r>
      <w:r w:rsidR="008F2B56" w:rsidRPr="008F2B56">
        <w:rPr>
          <w:color w:val="0070C0"/>
        </w:rPr>
        <w:t xml:space="preserve"> (</w:t>
      </w:r>
      <w:r w:rsidR="009E0823">
        <w:rPr>
          <w:color w:val="0070C0"/>
        </w:rPr>
        <w:t>on</w:t>
      </w:r>
      <w:r w:rsidR="009E0823" w:rsidRPr="008F2B56">
        <w:rPr>
          <w:color w:val="0070C0"/>
        </w:rPr>
        <w:t xml:space="preserve"> </w:t>
      </w:r>
      <w:r w:rsidR="008F2B56" w:rsidRPr="008F2B56">
        <w:rPr>
          <w:color w:val="0070C0"/>
        </w:rPr>
        <w:t>doc 0189r2)</w:t>
      </w:r>
      <w:r w:rsidR="00440763">
        <w:rPr>
          <w:color w:val="0070C0"/>
        </w:rPr>
        <w:t xml:space="preserve">: Selection </w:t>
      </w:r>
      <w:r w:rsidR="00440763" w:rsidRPr="005A6601">
        <w:rPr>
          <w:noProof/>
          <w:color w:val="0070C0"/>
        </w:rPr>
        <w:t>of f</w:t>
      </w:r>
      <w:r w:rsidR="00440763" w:rsidRPr="005A6601">
        <w:rPr>
          <w:noProof/>
          <w:color w:val="0070C0"/>
          <w:vertAlign w:val="subscript"/>
        </w:rPr>
        <w:t>base</w:t>
      </w:r>
      <w:r w:rsidR="00440763" w:rsidRPr="00440763">
        <w:rPr>
          <w:color w:val="0070C0"/>
          <w:vertAlign w:val="subscript"/>
        </w:rPr>
        <w:t xml:space="preserve"> </w:t>
      </w:r>
      <w:r w:rsidR="00440763">
        <w:rPr>
          <w:color w:val="0070C0"/>
        </w:rPr>
        <w:t>and frequency band for data mapping</w:t>
      </w:r>
    </w:p>
    <w:p w:rsidR="007776F8" w:rsidRDefault="007776F8" w:rsidP="007776F8">
      <w:pPr>
        <w:spacing w:after="0"/>
      </w:pPr>
      <w:r>
        <w:t xml:space="preserve">What is the value </w:t>
      </w:r>
      <w:r w:rsidRPr="005A6601">
        <w:rPr>
          <w:noProof/>
        </w:rPr>
        <w:t>of f</w:t>
      </w:r>
      <w:r w:rsidRPr="005A6601">
        <w:rPr>
          <w:noProof/>
          <w:vertAlign w:val="subscript"/>
        </w:rPr>
        <w:t>base</w:t>
      </w:r>
      <w:r>
        <w:t xml:space="preserve">? </w:t>
      </w:r>
      <w:r w:rsidR="008F2B56">
        <w:t>Is this</w:t>
      </w:r>
      <w:r w:rsidR="008F2B56" w:rsidRPr="005A6601">
        <w:rPr>
          <w:noProof/>
        </w:rPr>
        <w:t xml:space="preserve"> </w:t>
      </w:r>
      <w:r w:rsidR="005A6601" w:rsidRPr="005A6601">
        <w:rPr>
          <w:noProof/>
        </w:rPr>
        <w:t xml:space="preserve">a </w:t>
      </w:r>
      <w:r w:rsidR="008F2B56" w:rsidRPr="005A6601">
        <w:rPr>
          <w:noProof/>
        </w:rPr>
        <w:t>constant?</w:t>
      </w:r>
    </w:p>
    <w:p w:rsidR="007776F8" w:rsidRDefault="007776F8">
      <w:r>
        <w:t xml:space="preserve">Is there any relationship between </w:t>
      </w:r>
      <w:r w:rsidRPr="005A6601">
        <w:rPr>
          <w:noProof/>
        </w:rPr>
        <w:t>f</w:t>
      </w:r>
      <w:r w:rsidRPr="005A6601">
        <w:rPr>
          <w:noProof/>
          <w:vertAlign w:val="subscript"/>
        </w:rPr>
        <w:t>base</w:t>
      </w:r>
      <w:r>
        <w:t xml:space="preserve"> and </w:t>
      </w:r>
      <w:r w:rsidR="008A2FB7">
        <w:t xml:space="preserve">the </w:t>
      </w:r>
      <w:r>
        <w:t>pr</w:t>
      </w:r>
      <w:bookmarkStart w:id="0" w:name="_GoBack"/>
      <w:bookmarkEnd w:id="0"/>
      <w:r>
        <w:t>eamble frequency?</w:t>
      </w:r>
      <w:r w:rsidR="008F2B56">
        <w:t xml:space="preserve"> </w:t>
      </w:r>
    </w:p>
    <w:p w:rsidR="007776F8" w:rsidRPr="008F2B56" w:rsidRDefault="00AB12FE" w:rsidP="007776F8">
      <w:pPr>
        <w:rPr>
          <w:color w:val="0070C0"/>
        </w:rPr>
      </w:pPr>
      <w:r>
        <w:rPr>
          <w:color w:val="0070C0"/>
        </w:rPr>
        <w:t>Comment</w:t>
      </w:r>
      <w:r w:rsidR="007776F8" w:rsidRPr="008F2B56">
        <w:rPr>
          <w:color w:val="0070C0"/>
        </w:rPr>
        <w:t xml:space="preserve"> 2</w:t>
      </w:r>
      <w:r w:rsidR="008F2B56" w:rsidRPr="008F2B56">
        <w:rPr>
          <w:color w:val="0070C0"/>
        </w:rPr>
        <w:t xml:space="preserve"> (</w:t>
      </w:r>
      <w:r w:rsidR="009E0823">
        <w:rPr>
          <w:color w:val="0070C0"/>
        </w:rPr>
        <w:t>on</w:t>
      </w:r>
      <w:r w:rsidR="009E0823" w:rsidRPr="008F2B56">
        <w:rPr>
          <w:color w:val="0070C0"/>
        </w:rPr>
        <w:t xml:space="preserve"> </w:t>
      </w:r>
      <w:r w:rsidR="008F2B56" w:rsidRPr="008F2B56">
        <w:rPr>
          <w:color w:val="0070C0"/>
        </w:rPr>
        <w:t>doc 0189r2)</w:t>
      </w:r>
      <w:r w:rsidR="00440763">
        <w:rPr>
          <w:color w:val="0070C0"/>
        </w:rPr>
        <w:t>: Frequency separation – the fundamental of FSK</w:t>
      </w:r>
    </w:p>
    <w:p w:rsidR="007776F8" w:rsidRDefault="008F2B56">
      <w:r>
        <w:t>The original idea of FSK is that we</w:t>
      </w:r>
      <w:r w:rsidR="001C61A0">
        <w:t xml:space="preserve"> always</w:t>
      </w:r>
      <w:r>
        <w:t xml:space="preserve"> fix the frequency separation. It means (f</w:t>
      </w:r>
      <w:r w:rsidRPr="009946A6">
        <w:rPr>
          <w:vertAlign w:val="subscript"/>
        </w:rPr>
        <w:t xml:space="preserve">i+1 </w:t>
      </w:r>
      <w:r>
        <w:t>–f</w:t>
      </w:r>
      <w:r w:rsidRPr="009946A6">
        <w:rPr>
          <w:vertAlign w:val="subscript"/>
        </w:rPr>
        <w:t>i</w:t>
      </w:r>
      <w:r>
        <w:t xml:space="preserve">) = </w:t>
      </w:r>
      <w:proofErr w:type="spellStart"/>
      <w:proofErr w:type="gramStart"/>
      <w:r w:rsidRPr="007C3CFB">
        <w:t>Δf</w:t>
      </w:r>
      <w:proofErr w:type="spellEnd"/>
      <w:proofErr w:type="gramEnd"/>
      <w:r w:rsidRPr="007C3CFB">
        <w:t xml:space="preserve"> </w:t>
      </w:r>
      <w:r w:rsidRPr="009276B9">
        <w:t>is a constant where</w:t>
      </w:r>
      <w:r>
        <w:rPr>
          <w:rFonts w:ascii="Arial" w:hAnsi="Arial" w:cs="Arial"/>
          <w:bCs/>
          <w:color w:val="222222"/>
          <w:shd w:val="clear" w:color="auto" w:fill="FFFFFF"/>
        </w:rPr>
        <w:t xml:space="preserve"> f</w:t>
      </w:r>
      <w:r w:rsidRPr="009946A6">
        <w:rPr>
          <w:rFonts w:ascii="Arial" w:hAnsi="Arial" w:cs="Arial"/>
          <w:bCs/>
          <w:color w:val="222222"/>
          <w:shd w:val="clear" w:color="auto" w:fill="FFFFFF"/>
          <w:vertAlign w:val="subscript"/>
        </w:rPr>
        <w:t>i</w:t>
      </w:r>
      <w:r>
        <w:rPr>
          <w:rFonts w:ascii="Arial" w:hAnsi="Arial" w:cs="Arial"/>
          <w:bCs/>
          <w:color w:val="222222"/>
          <w:shd w:val="clear" w:color="auto" w:fill="FFFFFF"/>
        </w:rPr>
        <w:t xml:space="preserve"> </w:t>
      </w:r>
      <w:r w:rsidRPr="009276B9">
        <w:t>and</w:t>
      </w:r>
      <w:r>
        <w:rPr>
          <w:rFonts w:ascii="Arial" w:hAnsi="Arial" w:cs="Arial"/>
          <w:bCs/>
          <w:color w:val="222222"/>
          <w:shd w:val="clear" w:color="auto" w:fill="FFFFFF"/>
        </w:rPr>
        <w:t xml:space="preserve"> f</w:t>
      </w:r>
      <w:r w:rsidRPr="009946A6">
        <w:rPr>
          <w:rFonts w:ascii="Arial" w:hAnsi="Arial" w:cs="Arial"/>
          <w:bCs/>
          <w:color w:val="222222"/>
          <w:shd w:val="clear" w:color="auto" w:fill="FFFFFF"/>
          <w:vertAlign w:val="subscript"/>
        </w:rPr>
        <w:t>i+1</w:t>
      </w:r>
      <w:r>
        <w:rPr>
          <w:rFonts w:ascii="Arial" w:hAnsi="Arial" w:cs="Arial"/>
          <w:bCs/>
          <w:color w:val="222222"/>
          <w:shd w:val="clear" w:color="auto" w:fill="FFFFFF"/>
        </w:rPr>
        <w:t xml:space="preserve"> </w:t>
      </w:r>
      <w:r w:rsidRPr="009276B9">
        <w:t>are two adjacent frequencies on the set of selected frequencies</w:t>
      </w:r>
      <w:r w:rsidR="00B313D9">
        <w:t xml:space="preserve"> to map data</w:t>
      </w:r>
      <w:r w:rsidRPr="009276B9">
        <w:t>.</w:t>
      </w:r>
      <w:r>
        <w:rPr>
          <w:rFonts w:ascii="Arial" w:hAnsi="Arial" w:cs="Arial"/>
          <w:b/>
          <w:bCs/>
          <w:color w:val="222222"/>
          <w:shd w:val="clear" w:color="auto" w:fill="FFFFFF"/>
        </w:rPr>
        <w:t xml:space="preserve"> </w:t>
      </w:r>
    </w:p>
    <w:p w:rsidR="008F2B56" w:rsidRDefault="008F2B56" w:rsidP="00087E32">
      <w:pPr>
        <w:jc w:val="both"/>
      </w:pPr>
      <w:r w:rsidRPr="005A6601">
        <w:rPr>
          <w:noProof/>
        </w:rPr>
        <w:t>This is</w:t>
      </w:r>
      <w:r>
        <w:t xml:space="preserve"> not t</w:t>
      </w:r>
      <w:r w:rsidR="001C61A0">
        <w:t>rue for NTU</w:t>
      </w:r>
      <w:r w:rsidR="009F0732">
        <w:t>’s</w:t>
      </w:r>
      <w:r w:rsidR="001C61A0">
        <w:t xml:space="preserve"> </w:t>
      </w:r>
      <w:r w:rsidR="009F0732">
        <w:t xml:space="preserve">mapping tables from </w:t>
      </w:r>
      <w:r w:rsidR="001C61A0">
        <w:t>bit</w:t>
      </w:r>
      <w:r w:rsidR="009F0732">
        <w:t xml:space="preserve"> </w:t>
      </w:r>
      <w:r w:rsidR="001C61A0">
        <w:t>to</w:t>
      </w:r>
      <w:r w:rsidR="009F0732">
        <w:t xml:space="preserve"> </w:t>
      </w:r>
      <w:r w:rsidR="001C61A0">
        <w:t>frequency-</w:t>
      </w:r>
      <w:r>
        <w:t xml:space="preserve">symbol (tables 3 and table 4). </w:t>
      </w:r>
      <w:r w:rsidRPr="005A6601">
        <w:rPr>
          <w:noProof/>
        </w:rPr>
        <w:t>This is</w:t>
      </w:r>
      <w:r>
        <w:t xml:space="preserve"> </w:t>
      </w:r>
      <w:r w:rsidR="0091377A">
        <w:t xml:space="preserve">a fundamental </w:t>
      </w:r>
      <w:r>
        <w:t>problem to merge with Kookmin M-FSK because Kookmin has a fixed frequency separation.</w:t>
      </w:r>
    </w:p>
    <w:p w:rsidR="00E37FB5" w:rsidRPr="008F2B56" w:rsidRDefault="00AB12FE" w:rsidP="00E37FB5">
      <w:pPr>
        <w:rPr>
          <w:color w:val="0070C0"/>
        </w:rPr>
      </w:pPr>
      <w:r>
        <w:rPr>
          <w:color w:val="0070C0"/>
        </w:rPr>
        <w:t>Comment</w:t>
      </w:r>
      <w:r w:rsidR="00E37FB5" w:rsidRPr="008F2B56">
        <w:rPr>
          <w:color w:val="0070C0"/>
        </w:rPr>
        <w:t xml:space="preserve"> </w:t>
      </w:r>
      <w:r w:rsidR="00C66168">
        <w:rPr>
          <w:color w:val="0070C0"/>
        </w:rPr>
        <w:t>3</w:t>
      </w:r>
      <w:r w:rsidR="00E37FB5" w:rsidRPr="008F2B56">
        <w:rPr>
          <w:color w:val="0070C0"/>
        </w:rPr>
        <w:t xml:space="preserve"> (</w:t>
      </w:r>
      <w:r w:rsidR="009E0823">
        <w:rPr>
          <w:color w:val="0070C0"/>
        </w:rPr>
        <w:t>on</w:t>
      </w:r>
      <w:r w:rsidR="009E0823" w:rsidRPr="008F2B56">
        <w:rPr>
          <w:color w:val="0070C0"/>
        </w:rPr>
        <w:t xml:space="preserve"> </w:t>
      </w:r>
      <w:r w:rsidR="00E37FB5" w:rsidRPr="008F2B56">
        <w:rPr>
          <w:color w:val="0070C0"/>
        </w:rPr>
        <w:t>doc 0189r2)</w:t>
      </w:r>
      <w:r w:rsidR="00440763">
        <w:rPr>
          <w:color w:val="0070C0"/>
        </w:rPr>
        <w:t>: Unit of symbol time</w:t>
      </w:r>
    </w:p>
    <w:p w:rsidR="008F2B56" w:rsidRDefault="00E37FB5" w:rsidP="00E37FB5">
      <w:r>
        <w:t xml:space="preserve">Please clarify the duration of splitter symbol. If the duration of splitter symbol is less than the others’ symbol time, then consider the symbol duration of the splitter as </w:t>
      </w:r>
      <w:r w:rsidR="005A6601">
        <w:t>a</w:t>
      </w:r>
      <w:r w:rsidRPr="005A6601">
        <w:rPr>
          <w:noProof/>
        </w:rPr>
        <w:t xml:space="preserve"> time</w:t>
      </w:r>
      <w:r>
        <w:t xml:space="preserve"> unit. </w:t>
      </w:r>
      <w:r w:rsidR="00D61732">
        <w:t>For example:</w:t>
      </w:r>
    </w:p>
    <w:tbl>
      <w:tblPr>
        <w:tblStyle w:val="TableGrid"/>
        <w:tblW w:w="0" w:type="auto"/>
        <w:tblInd w:w="558" w:type="dxa"/>
        <w:tblLook w:val="04A0" w:firstRow="1" w:lastRow="0" w:firstColumn="1" w:lastColumn="0" w:noHBand="0" w:noVBand="1"/>
      </w:tblPr>
      <w:tblGrid>
        <w:gridCol w:w="2430"/>
        <w:gridCol w:w="1260"/>
        <w:gridCol w:w="3060"/>
        <w:gridCol w:w="1260"/>
      </w:tblGrid>
      <w:tr w:rsidR="00D61732" w:rsidTr="003E52EA">
        <w:tc>
          <w:tcPr>
            <w:tcW w:w="2430" w:type="dxa"/>
          </w:tcPr>
          <w:p w:rsidR="00D61732" w:rsidRDefault="00D61732" w:rsidP="003A1069">
            <w:pPr>
              <w:jc w:val="center"/>
            </w:pPr>
            <w:r>
              <w:t>DS 1</w:t>
            </w:r>
          </w:p>
        </w:tc>
        <w:tc>
          <w:tcPr>
            <w:tcW w:w="1260" w:type="dxa"/>
          </w:tcPr>
          <w:p w:rsidR="00D61732" w:rsidRDefault="00D61732" w:rsidP="003A1069">
            <w:pPr>
              <w:jc w:val="center"/>
            </w:pPr>
            <w:r>
              <w:t>SS</w:t>
            </w:r>
          </w:p>
        </w:tc>
        <w:tc>
          <w:tcPr>
            <w:tcW w:w="3060" w:type="dxa"/>
          </w:tcPr>
          <w:p w:rsidR="00D61732" w:rsidRDefault="00D61732" w:rsidP="003A1069">
            <w:pPr>
              <w:jc w:val="center"/>
            </w:pPr>
            <w:r>
              <w:t>DS 2</w:t>
            </w:r>
          </w:p>
        </w:tc>
        <w:tc>
          <w:tcPr>
            <w:tcW w:w="1260" w:type="dxa"/>
          </w:tcPr>
          <w:p w:rsidR="00D61732" w:rsidRDefault="00D61732" w:rsidP="003A1069">
            <w:pPr>
              <w:jc w:val="center"/>
            </w:pPr>
            <w:r>
              <w:t>SS</w:t>
            </w:r>
          </w:p>
        </w:tc>
      </w:tr>
      <w:tr w:rsidR="00D61732" w:rsidTr="003E52EA">
        <w:tc>
          <w:tcPr>
            <w:tcW w:w="2430" w:type="dxa"/>
          </w:tcPr>
          <w:p w:rsidR="00D61732" w:rsidRDefault="00D61732" w:rsidP="00D61732">
            <w:pPr>
              <w:jc w:val="center"/>
            </w:pPr>
            <w:r>
              <w:t>symbol time: 2</w:t>
            </w:r>
          </w:p>
        </w:tc>
        <w:tc>
          <w:tcPr>
            <w:tcW w:w="1260" w:type="dxa"/>
          </w:tcPr>
          <w:p w:rsidR="00D61732" w:rsidRDefault="00D61732" w:rsidP="003A1069">
            <w:pPr>
              <w:jc w:val="center"/>
            </w:pPr>
            <w:r>
              <w:t>1</w:t>
            </w:r>
          </w:p>
        </w:tc>
        <w:tc>
          <w:tcPr>
            <w:tcW w:w="3060" w:type="dxa"/>
          </w:tcPr>
          <w:p w:rsidR="00D61732" w:rsidRDefault="00D61732" w:rsidP="003A1069">
            <w:pPr>
              <w:jc w:val="center"/>
            </w:pPr>
            <w:r>
              <w:t>2</w:t>
            </w:r>
          </w:p>
        </w:tc>
        <w:tc>
          <w:tcPr>
            <w:tcW w:w="1260" w:type="dxa"/>
          </w:tcPr>
          <w:p w:rsidR="00D61732" w:rsidRDefault="00D61732" w:rsidP="003A1069">
            <w:pPr>
              <w:jc w:val="center"/>
            </w:pPr>
            <w:r>
              <w:t>1</w:t>
            </w:r>
          </w:p>
        </w:tc>
      </w:tr>
    </w:tbl>
    <w:p w:rsidR="00D61732" w:rsidRDefault="00D61732" w:rsidP="00E37FB5"/>
    <w:p w:rsidR="00917DBB" w:rsidRPr="008F2B56" w:rsidRDefault="00AB12FE" w:rsidP="00917DBB">
      <w:pPr>
        <w:rPr>
          <w:color w:val="0070C0"/>
        </w:rPr>
      </w:pPr>
      <w:r>
        <w:rPr>
          <w:color w:val="0070C0"/>
        </w:rPr>
        <w:t>Comment</w:t>
      </w:r>
      <w:r w:rsidR="00917DBB" w:rsidRPr="008F2B56">
        <w:rPr>
          <w:color w:val="0070C0"/>
        </w:rPr>
        <w:t xml:space="preserve"> </w:t>
      </w:r>
      <w:r w:rsidR="00917DBB">
        <w:rPr>
          <w:color w:val="0070C0"/>
        </w:rPr>
        <w:t>4</w:t>
      </w:r>
      <w:r w:rsidR="00917DBB" w:rsidRPr="008F2B56">
        <w:rPr>
          <w:color w:val="0070C0"/>
        </w:rPr>
        <w:t xml:space="preserve"> (</w:t>
      </w:r>
      <w:r w:rsidR="009E0823">
        <w:rPr>
          <w:color w:val="0070C0"/>
        </w:rPr>
        <w:t>on</w:t>
      </w:r>
      <w:r w:rsidR="009E0823" w:rsidRPr="008F2B56">
        <w:rPr>
          <w:color w:val="0070C0"/>
        </w:rPr>
        <w:t xml:space="preserve"> </w:t>
      </w:r>
      <w:r w:rsidR="00917DBB" w:rsidRPr="008F2B56">
        <w:rPr>
          <w:color w:val="0070C0"/>
        </w:rPr>
        <w:t>doc 0189r2)</w:t>
      </w:r>
      <w:r w:rsidR="00E05723">
        <w:rPr>
          <w:color w:val="0070C0"/>
        </w:rPr>
        <w:t>: Frequency Sub-band Division = Clock information embedded to data symbol?</w:t>
      </w:r>
    </w:p>
    <w:p w:rsidR="001D2B7A" w:rsidRDefault="00917DBB" w:rsidP="00917DBB">
      <w:r>
        <w:t>Embedded sequence number (ESN)</w:t>
      </w:r>
      <w:r w:rsidR="00A9275D">
        <w:t xml:space="preserve"> into data symbol: The idea is that the bandwidth BW </w:t>
      </w:r>
      <w:r w:rsidR="00A9275D" w:rsidRPr="005A6601">
        <w:rPr>
          <w:noProof/>
        </w:rPr>
        <w:t>is divided</w:t>
      </w:r>
      <w:r w:rsidR="00A9275D">
        <w:t xml:space="preserve"> into </w:t>
      </w:r>
      <w:r w:rsidR="00A9275D" w:rsidRPr="005A6601">
        <w:rPr>
          <w:noProof/>
        </w:rPr>
        <w:t>3</w:t>
      </w:r>
      <w:r w:rsidR="00A9275D">
        <w:t xml:space="preserve"> sets of frequency: </w:t>
      </w:r>
      <m:oMath>
        <m:r>
          <w:rPr>
            <w:rFonts w:ascii="Cambria Math" w:hAnsi="Cambria Math"/>
          </w:rPr>
          <m:t>F1=</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k</m:t>
                </m:r>
              </m:sub>
            </m:sSub>
          </m:e>
        </m:d>
        <m:r>
          <w:rPr>
            <w:rFonts w:ascii="Cambria Math" w:hAnsi="Cambria Math"/>
          </w:rPr>
          <m:t>;  F2=</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k+2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2k</m:t>
                </m:r>
              </m:sub>
            </m:sSub>
          </m:e>
        </m:d>
        <m:r>
          <w:rPr>
            <w:rFonts w:ascii="Cambria Math" w:hAnsi="Cambria Math"/>
          </w:rPr>
          <m:t>; F3=</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2k+1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2k+2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3k</m:t>
                </m:r>
              </m:sub>
            </m:sSub>
          </m:e>
        </m:d>
      </m:oMath>
      <w:r w:rsidR="00A9275D">
        <w:t xml:space="preserve"> to map three adjacent data symbols.</w:t>
      </w:r>
    </w:p>
    <w:p w:rsidR="009C5B79" w:rsidRDefault="009C5B79" w:rsidP="009C5B79">
      <w:pPr>
        <w:jc w:val="center"/>
      </w:pPr>
      <w:r>
        <w:rPr>
          <w:noProof/>
        </w:rPr>
        <w:drawing>
          <wp:inline distT="0" distB="0" distL="0" distR="0" wp14:anchorId="33A505B3" wp14:editId="2693C517">
            <wp:extent cx="2822637" cy="15421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0167" cy="1551775"/>
                    </a:xfrm>
                    <a:prstGeom prst="rect">
                      <a:avLst/>
                    </a:prstGeom>
                  </pic:spPr>
                </pic:pic>
              </a:graphicData>
            </a:graphic>
          </wp:inline>
        </w:drawing>
      </w:r>
    </w:p>
    <w:p w:rsidR="00A9275D" w:rsidRDefault="00A9275D" w:rsidP="00917DBB">
      <w:r w:rsidRPr="005A6601">
        <w:rPr>
          <w:noProof/>
        </w:rPr>
        <w:t>This is</w:t>
      </w:r>
      <w:r>
        <w:t xml:space="preserve"> the same idea as embedded clock information into data symbol of Kookmin proposal. If so, we can merge this idea as a common method.</w:t>
      </w:r>
    </w:p>
    <w:p w:rsidR="00A35A44" w:rsidRDefault="005A6601" w:rsidP="00917DBB">
      <w:r>
        <w:rPr>
          <w:noProof/>
        </w:rPr>
        <w:t>W</w:t>
      </w:r>
      <w:r w:rsidR="00A35A44" w:rsidRPr="005A6601">
        <w:rPr>
          <w:noProof/>
        </w:rPr>
        <w:t>e</w:t>
      </w:r>
      <w:r w:rsidR="00A35A44">
        <w:t xml:space="preserve"> use two sets of frequency: </w:t>
      </w:r>
      <m:oMath>
        <m:r>
          <w:rPr>
            <w:rFonts w:ascii="Cambria Math" w:hAnsi="Cambria Math"/>
          </w:rPr>
          <m:t>F1=</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k</m:t>
                </m:r>
              </m:sub>
            </m:sSub>
          </m:e>
        </m:d>
        <m:r>
          <w:rPr>
            <w:rFonts w:ascii="Cambria Math" w:hAnsi="Cambria Math"/>
          </w:rPr>
          <m:t>;  F2=</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k+2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2k</m:t>
                </m:r>
              </m:sub>
            </m:sSub>
          </m:e>
        </m:d>
      </m:oMath>
      <w:r w:rsidR="00A35A44">
        <w:t xml:space="preserve"> to map data two adjacent data symbols. </w:t>
      </w:r>
      <w:r w:rsidR="006A7306">
        <w:t xml:space="preserve">This is an efficient solution to deal with frame rate variation. We assumed that the frame rate of camera Rx is no less than the symbol rate of data in </w:t>
      </w:r>
      <w:proofErr w:type="spellStart"/>
      <w:proofErr w:type="gramStart"/>
      <w:r w:rsidR="006A7306">
        <w:t>Tx</w:t>
      </w:r>
      <w:proofErr w:type="spellEnd"/>
      <w:proofErr w:type="gramEnd"/>
      <w:r w:rsidR="006A7306">
        <w:t xml:space="preserve">. </w:t>
      </w:r>
    </w:p>
    <w:p w:rsidR="006A7306" w:rsidRDefault="009C5B79" w:rsidP="009C5B79">
      <w:pPr>
        <w:jc w:val="center"/>
      </w:pPr>
      <w:r>
        <w:rPr>
          <w:noProof/>
        </w:rPr>
        <w:lastRenderedPageBreak/>
        <w:drawing>
          <wp:inline distT="0" distB="0" distL="0" distR="0" wp14:anchorId="35664771" wp14:editId="6CBA65E8">
            <wp:extent cx="2835946" cy="154219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2261" cy="1551069"/>
                    </a:xfrm>
                    <a:prstGeom prst="rect">
                      <a:avLst/>
                    </a:prstGeom>
                  </pic:spPr>
                </pic:pic>
              </a:graphicData>
            </a:graphic>
          </wp:inline>
        </w:drawing>
      </w:r>
      <w:r w:rsidR="00582229">
        <w:t xml:space="preserve">   </w:t>
      </w:r>
      <w:r w:rsidR="002052BA">
        <w:t xml:space="preserve">         </w:t>
      </w:r>
      <w:r w:rsidR="002052BA">
        <w:rPr>
          <w:noProof/>
        </w:rPr>
        <w:drawing>
          <wp:inline distT="0" distB="0" distL="0" distR="0" wp14:anchorId="6B3AE7E3" wp14:editId="736864A1">
            <wp:extent cx="1835524"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0371" cy="869064"/>
                    </a:xfrm>
                    <a:prstGeom prst="rect">
                      <a:avLst/>
                    </a:prstGeom>
                  </pic:spPr>
                </pic:pic>
              </a:graphicData>
            </a:graphic>
          </wp:inline>
        </w:drawing>
      </w:r>
      <w:r w:rsidR="002052BA">
        <w:t xml:space="preserve"> </w:t>
      </w:r>
    </w:p>
    <w:p w:rsidR="009C5B79" w:rsidRPr="005607CF" w:rsidRDefault="009C5B79" w:rsidP="009C5B79">
      <w:pPr>
        <w:spacing w:after="120"/>
        <w:jc w:val="center"/>
        <w:rPr>
          <w:b/>
        </w:rPr>
      </w:pPr>
      <w:r>
        <w:rPr>
          <w:b/>
        </w:rPr>
        <w:t>Figure 297</w:t>
      </w:r>
      <w:r w:rsidRPr="005607CF">
        <w:rPr>
          <w:b/>
        </w:rPr>
        <w:t>– Symbol structure and 64-FSK encoding table (doc 16-0460r0)</w:t>
      </w:r>
    </w:p>
    <w:p w:rsidR="009C5B79" w:rsidRDefault="009C5B79" w:rsidP="00917DBB"/>
    <w:p w:rsidR="003B3671" w:rsidRDefault="006A7306" w:rsidP="00917DBB">
      <w:r>
        <w:t xml:space="preserve">However, we can use the same idea </w:t>
      </w:r>
      <w:r w:rsidR="00496539">
        <w:t>as an</w:t>
      </w:r>
      <w:r>
        <w:t xml:space="preserve"> </w:t>
      </w:r>
      <w:r w:rsidR="00496539">
        <w:t>extension, the</w:t>
      </w:r>
      <w:r w:rsidR="00537820">
        <w:t xml:space="preserve"> </w:t>
      </w:r>
      <w:r w:rsidR="00496539">
        <w:t xml:space="preserve">division of </w:t>
      </w:r>
      <w:r w:rsidR="001461C3">
        <w:t xml:space="preserve">multiple </w:t>
      </w:r>
      <w:r w:rsidR="00EB0298">
        <w:t>sub-</w:t>
      </w:r>
      <w:r w:rsidR="001461C3">
        <w:t xml:space="preserve">bands </w:t>
      </w:r>
      <w:r w:rsidR="00496539">
        <w:t>aims to</w:t>
      </w:r>
      <w:r w:rsidR="001461C3">
        <w:t xml:space="preserve"> detect the missed </w:t>
      </w:r>
      <w:r w:rsidR="00496539">
        <w:t>symbol</w:t>
      </w:r>
      <w:r w:rsidR="001461C3">
        <w:t xml:space="preserve"> problem (due to </w:t>
      </w:r>
      <w:r w:rsidR="00496539">
        <w:t xml:space="preserve">the </w:t>
      </w:r>
      <w:r w:rsidR="001461C3">
        <w:t xml:space="preserve">frame rate </w:t>
      </w:r>
      <w:r w:rsidR="001461C3" w:rsidRPr="005A6601">
        <w:rPr>
          <w:noProof/>
        </w:rPr>
        <w:t>drop o</w:t>
      </w:r>
      <w:r w:rsidR="005A6601">
        <w:rPr>
          <w:noProof/>
        </w:rPr>
        <w:t>f</w:t>
      </w:r>
      <w:r w:rsidR="001461C3" w:rsidRPr="005A6601">
        <w:rPr>
          <w:noProof/>
        </w:rPr>
        <w:t>f</w:t>
      </w:r>
      <w:r w:rsidR="001461C3">
        <w:t xml:space="preserve"> </w:t>
      </w:r>
      <w:r w:rsidR="005A6601">
        <w:t xml:space="preserve">in </w:t>
      </w:r>
      <w:r w:rsidR="001461C3">
        <w:t>Rx)</w:t>
      </w:r>
      <w:r w:rsidR="009A2995">
        <w:t>.</w:t>
      </w:r>
      <w:r w:rsidR="00EB0298">
        <w:t xml:space="preserve"> For example, by using two asynchronous bits (equivalent to dividing the BW into four sub-bands), Rx is</w:t>
      </w:r>
      <w:r w:rsidR="00496539">
        <w:t xml:space="preserve"> capable of detecting </w:t>
      </w:r>
      <w:r w:rsidR="00496539" w:rsidRPr="005A6601">
        <w:rPr>
          <w:noProof/>
        </w:rPr>
        <w:t>2</w:t>
      </w:r>
      <w:r w:rsidR="00496539">
        <w:t xml:space="preserve"> missed</w:t>
      </w:r>
      <w:r w:rsidR="00EB0298">
        <w:t xml:space="preserve"> symbols continuously</w:t>
      </w:r>
      <w:r w:rsidR="006D048A">
        <w:t xml:space="preserve"> (see Figure A.2 below)</w:t>
      </w:r>
      <w:r w:rsidR="00EB0298">
        <w:t>.</w:t>
      </w:r>
      <w:r w:rsidR="008526EE">
        <w:t xml:space="preserve"> Later, the parity code (as</w:t>
      </w:r>
      <w:r w:rsidR="005A6601">
        <w:t xml:space="preserve"> a</w:t>
      </w:r>
      <w:r w:rsidR="008526EE">
        <w:t xml:space="preserve"> </w:t>
      </w:r>
      <w:r w:rsidR="008526EE" w:rsidRPr="005A6601">
        <w:rPr>
          <w:noProof/>
        </w:rPr>
        <w:t>proposal</w:t>
      </w:r>
      <w:r w:rsidR="008526EE">
        <w:t xml:space="preserve"> for </w:t>
      </w:r>
      <w:r w:rsidR="005A6601">
        <w:rPr>
          <w:noProof/>
        </w:rPr>
        <w:t>three</w:t>
      </w:r>
      <w:r w:rsidR="008526EE">
        <w:t xml:space="preserve"> sub-bands by NTU) </w:t>
      </w:r>
      <w:r w:rsidR="00496539">
        <w:t>may be</w:t>
      </w:r>
      <w:r w:rsidR="008526EE">
        <w:t xml:space="preserve"> used to recover the missed data symbols.</w:t>
      </w:r>
    </w:p>
    <w:p w:rsidR="001461C3" w:rsidRDefault="003B3671" w:rsidP="006D048A">
      <w:pPr>
        <w:spacing w:after="0"/>
        <w:jc w:val="center"/>
      </w:pPr>
      <w:r>
        <w:t>More missed symbols detectable!</w:t>
      </w:r>
      <w:r w:rsidR="0066664D">
        <w:rPr>
          <w:noProof/>
        </w:rPr>
        <w:drawing>
          <wp:inline distT="0" distB="0" distL="0" distR="0" wp14:anchorId="4D334916" wp14:editId="681520B0">
            <wp:extent cx="5149850" cy="16808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7893" cy="1683479"/>
                    </a:xfrm>
                    <a:prstGeom prst="rect">
                      <a:avLst/>
                    </a:prstGeom>
                  </pic:spPr>
                </pic:pic>
              </a:graphicData>
            </a:graphic>
          </wp:inline>
        </w:drawing>
      </w:r>
    </w:p>
    <w:p w:rsidR="00150633" w:rsidRPr="005607CF" w:rsidRDefault="00150633" w:rsidP="0066664D">
      <w:pPr>
        <w:jc w:val="center"/>
        <w:rPr>
          <w:b/>
        </w:rPr>
      </w:pPr>
      <w:r w:rsidRPr="005607CF">
        <w:rPr>
          <w:b/>
        </w:rPr>
        <w:t>Figure</w:t>
      </w:r>
      <w:r w:rsidR="006D048A" w:rsidRPr="005607CF">
        <w:rPr>
          <w:b/>
        </w:rPr>
        <w:t xml:space="preserve"> A</w:t>
      </w:r>
      <w:r w:rsidRPr="005607CF">
        <w:rPr>
          <w:b/>
        </w:rPr>
        <w:t>.</w:t>
      </w:r>
      <w:r w:rsidR="006D048A" w:rsidRPr="005607CF">
        <w:rPr>
          <w:b/>
        </w:rPr>
        <w:t>1</w:t>
      </w:r>
      <w:r w:rsidRPr="005607CF">
        <w:rPr>
          <w:b/>
        </w:rPr>
        <w:t xml:space="preserve"> </w:t>
      </w:r>
      <w:r w:rsidR="009E44BF" w:rsidRPr="005607CF">
        <w:rPr>
          <w:b/>
        </w:rPr>
        <w:t xml:space="preserve">Modulation with </w:t>
      </w:r>
      <w:r w:rsidR="006870DA" w:rsidRPr="005607CF">
        <w:rPr>
          <w:b/>
        </w:rPr>
        <w:t xml:space="preserve">Four </w:t>
      </w:r>
      <w:r w:rsidRPr="005607CF">
        <w:rPr>
          <w:b/>
        </w:rPr>
        <w:t>sub-bands division for two Ab bits clock embedding</w:t>
      </w:r>
    </w:p>
    <w:p w:rsidR="00150633" w:rsidRDefault="00150633" w:rsidP="0066664D">
      <w:pPr>
        <w:jc w:val="center"/>
      </w:pPr>
    </w:p>
    <w:tbl>
      <w:tblPr>
        <w:tblStyle w:val="TableGrid"/>
        <w:tblW w:w="0" w:type="auto"/>
        <w:tblLook w:val="04A0" w:firstRow="1" w:lastRow="0" w:firstColumn="1" w:lastColumn="0" w:noHBand="0" w:noVBand="1"/>
      </w:tblPr>
      <w:tblGrid>
        <w:gridCol w:w="1863"/>
        <w:gridCol w:w="1882"/>
        <w:gridCol w:w="1882"/>
        <w:gridCol w:w="1863"/>
        <w:gridCol w:w="1860"/>
      </w:tblGrid>
      <w:tr w:rsidR="0066664D" w:rsidTr="00891B5D">
        <w:tc>
          <w:tcPr>
            <w:tcW w:w="1915" w:type="dxa"/>
            <w:shd w:val="clear" w:color="auto" w:fill="D9D9D9" w:themeFill="background1" w:themeFillShade="D9"/>
          </w:tcPr>
          <w:p w:rsidR="0066664D" w:rsidRPr="003C221F" w:rsidRDefault="0066664D" w:rsidP="0066664D">
            <w:pPr>
              <w:jc w:val="center"/>
              <w:rPr>
                <w:b/>
              </w:rPr>
            </w:pPr>
            <w:r w:rsidRPr="003C221F">
              <w:rPr>
                <w:b/>
              </w:rPr>
              <w:t>Data symbol 1</w:t>
            </w:r>
          </w:p>
        </w:tc>
        <w:tc>
          <w:tcPr>
            <w:tcW w:w="1915" w:type="dxa"/>
          </w:tcPr>
          <w:p w:rsidR="0066664D" w:rsidRPr="003C221F" w:rsidRDefault="0066664D" w:rsidP="0066664D">
            <w:pPr>
              <w:jc w:val="center"/>
              <w:rPr>
                <w:b/>
              </w:rPr>
            </w:pPr>
            <w:r w:rsidRPr="003C221F">
              <w:rPr>
                <w:b/>
              </w:rPr>
              <w:t>Data symbol 2</w:t>
            </w:r>
          </w:p>
        </w:tc>
        <w:tc>
          <w:tcPr>
            <w:tcW w:w="1915" w:type="dxa"/>
          </w:tcPr>
          <w:p w:rsidR="0066664D" w:rsidRPr="003C221F" w:rsidRDefault="0066664D" w:rsidP="0066664D">
            <w:pPr>
              <w:jc w:val="center"/>
              <w:rPr>
                <w:b/>
              </w:rPr>
            </w:pPr>
            <w:r w:rsidRPr="003C221F">
              <w:rPr>
                <w:b/>
              </w:rPr>
              <w:t>Data symbol 3</w:t>
            </w:r>
          </w:p>
        </w:tc>
        <w:tc>
          <w:tcPr>
            <w:tcW w:w="1915" w:type="dxa"/>
            <w:shd w:val="clear" w:color="auto" w:fill="D9D9D9" w:themeFill="background1" w:themeFillShade="D9"/>
          </w:tcPr>
          <w:p w:rsidR="0066664D" w:rsidRPr="003C221F" w:rsidRDefault="0066664D" w:rsidP="0066664D">
            <w:pPr>
              <w:jc w:val="center"/>
              <w:rPr>
                <w:b/>
              </w:rPr>
            </w:pPr>
            <w:r w:rsidRPr="003C221F">
              <w:rPr>
                <w:b/>
              </w:rPr>
              <w:t>Data symbol 4</w:t>
            </w:r>
          </w:p>
        </w:tc>
        <w:tc>
          <w:tcPr>
            <w:tcW w:w="1916" w:type="dxa"/>
          </w:tcPr>
          <w:p w:rsidR="0066664D" w:rsidRPr="003C221F" w:rsidRDefault="0066664D" w:rsidP="0066664D">
            <w:pPr>
              <w:jc w:val="center"/>
              <w:rPr>
                <w:b/>
              </w:rPr>
            </w:pPr>
            <w:r w:rsidRPr="003C221F">
              <w:rPr>
                <w:b/>
              </w:rPr>
              <w:t>Data symbol 5</w:t>
            </w:r>
          </w:p>
        </w:tc>
      </w:tr>
      <w:tr w:rsidR="0066664D" w:rsidTr="00891B5D">
        <w:tc>
          <w:tcPr>
            <w:tcW w:w="1915" w:type="dxa"/>
            <w:tcBorders>
              <w:bottom w:val="single" w:sz="4" w:space="0" w:color="auto"/>
            </w:tcBorders>
            <w:shd w:val="clear" w:color="auto" w:fill="D9D9D9" w:themeFill="background1" w:themeFillShade="D9"/>
          </w:tcPr>
          <w:p w:rsidR="0066664D" w:rsidRDefault="0066664D" w:rsidP="0066664D">
            <w:pPr>
              <w:jc w:val="center"/>
            </w:pPr>
            <w:r>
              <w:t>Ab=00</w:t>
            </w:r>
          </w:p>
        </w:tc>
        <w:tc>
          <w:tcPr>
            <w:tcW w:w="1915" w:type="dxa"/>
            <w:tcBorders>
              <w:bottom w:val="single" w:sz="4" w:space="0" w:color="auto"/>
            </w:tcBorders>
          </w:tcPr>
          <w:p w:rsidR="0066664D" w:rsidRDefault="0066664D" w:rsidP="0066664D">
            <w:pPr>
              <w:jc w:val="center"/>
            </w:pPr>
            <w:r>
              <w:t>Ab=01</w:t>
            </w:r>
          </w:p>
        </w:tc>
        <w:tc>
          <w:tcPr>
            <w:tcW w:w="1915" w:type="dxa"/>
            <w:tcBorders>
              <w:bottom w:val="single" w:sz="4" w:space="0" w:color="auto"/>
            </w:tcBorders>
          </w:tcPr>
          <w:p w:rsidR="0066664D" w:rsidRDefault="0066664D" w:rsidP="0066664D">
            <w:pPr>
              <w:jc w:val="center"/>
            </w:pPr>
            <w:r>
              <w:t>Ab=10</w:t>
            </w:r>
          </w:p>
        </w:tc>
        <w:tc>
          <w:tcPr>
            <w:tcW w:w="1915" w:type="dxa"/>
            <w:tcBorders>
              <w:bottom w:val="single" w:sz="4" w:space="0" w:color="auto"/>
            </w:tcBorders>
            <w:shd w:val="clear" w:color="auto" w:fill="D9D9D9" w:themeFill="background1" w:themeFillShade="D9"/>
          </w:tcPr>
          <w:p w:rsidR="0066664D" w:rsidRDefault="0066664D" w:rsidP="0066664D">
            <w:pPr>
              <w:jc w:val="center"/>
            </w:pPr>
            <w:r>
              <w:t>Ab=11</w:t>
            </w:r>
          </w:p>
        </w:tc>
        <w:tc>
          <w:tcPr>
            <w:tcW w:w="1916" w:type="dxa"/>
            <w:tcBorders>
              <w:bottom w:val="single" w:sz="4" w:space="0" w:color="auto"/>
            </w:tcBorders>
          </w:tcPr>
          <w:p w:rsidR="0066664D" w:rsidRDefault="0066664D" w:rsidP="0066664D">
            <w:pPr>
              <w:jc w:val="center"/>
            </w:pPr>
            <w:r>
              <w:t>Ab=00</w:t>
            </w:r>
          </w:p>
        </w:tc>
      </w:tr>
      <w:tr w:rsidR="00150633" w:rsidTr="00891B5D">
        <w:trPr>
          <w:trHeight w:val="1367"/>
        </w:trPr>
        <w:tc>
          <w:tcPr>
            <w:tcW w:w="1915" w:type="dxa"/>
            <w:tcBorders>
              <w:left w:val="dashed" w:sz="4" w:space="0" w:color="auto"/>
              <w:right w:val="dashed" w:sz="4" w:space="0" w:color="auto"/>
            </w:tcBorders>
            <w:shd w:val="clear" w:color="auto" w:fill="D9D9D9" w:themeFill="background1" w:themeFillShade="D9"/>
          </w:tcPr>
          <w:p w:rsidR="00150633" w:rsidRDefault="00150633" w:rsidP="0066664D">
            <w:pPr>
              <w:jc w:val="center"/>
            </w:pPr>
          </w:p>
          <w:p w:rsidR="00150633" w:rsidRDefault="0046051F" w:rsidP="0066664D">
            <w:pPr>
              <w:jc w:val="center"/>
            </w:pPr>
            <w:r>
              <w:rPr>
                <w:noProof/>
              </w:rPr>
              <mc:AlternateContent>
                <mc:Choice Requires="wps">
                  <w:drawing>
                    <wp:anchor distT="0" distB="0" distL="114300" distR="114300" simplePos="0" relativeHeight="251655168" behindDoc="0" locked="0" layoutInCell="1" allowOverlap="1" wp14:anchorId="3983782B" wp14:editId="03A5DD65">
                      <wp:simplePos x="0" y="0"/>
                      <wp:positionH relativeFrom="column">
                        <wp:posOffset>431597</wp:posOffset>
                      </wp:positionH>
                      <wp:positionV relativeFrom="paragraph">
                        <wp:posOffset>-2286</wp:posOffset>
                      </wp:positionV>
                      <wp:extent cx="190500" cy="541325"/>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90500" cy="541325"/>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0B6DE" id="Rectangle 6" o:spid="_x0000_s1026" style="position:absolute;margin-left:34pt;margin-top:-.2pt;width:15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" fillcolor="#5a5a5a [2109]" strokecolor="black [3213]" strokeweight="2pt"/>
                  </w:pict>
                </mc:Fallback>
              </mc:AlternateContent>
            </w:r>
          </w:p>
          <w:p w:rsidR="00150633" w:rsidRDefault="00150633" w:rsidP="0066664D">
            <w:pPr>
              <w:jc w:val="center"/>
            </w:pPr>
          </w:p>
          <w:p w:rsidR="00150633" w:rsidRDefault="00150633" w:rsidP="0066664D">
            <w:pPr>
              <w:jc w:val="center"/>
            </w:pPr>
          </w:p>
          <w:p w:rsidR="00150633" w:rsidRDefault="00150633" w:rsidP="0066664D">
            <w:pPr>
              <w:jc w:val="center"/>
            </w:pPr>
          </w:p>
        </w:tc>
        <w:tc>
          <w:tcPr>
            <w:tcW w:w="1915" w:type="dxa"/>
            <w:tcBorders>
              <w:left w:val="dashed" w:sz="4" w:space="0" w:color="auto"/>
              <w:right w:val="dashed" w:sz="4" w:space="0" w:color="auto"/>
            </w:tcBorders>
          </w:tcPr>
          <w:p w:rsidR="00150633" w:rsidRDefault="00150633" w:rsidP="0066664D">
            <w:pPr>
              <w:jc w:val="center"/>
            </w:pPr>
          </w:p>
        </w:tc>
        <w:tc>
          <w:tcPr>
            <w:tcW w:w="1915" w:type="dxa"/>
            <w:tcBorders>
              <w:left w:val="dashed" w:sz="4" w:space="0" w:color="auto"/>
              <w:right w:val="dashed" w:sz="4" w:space="0" w:color="auto"/>
            </w:tcBorders>
          </w:tcPr>
          <w:p w:rsidR="00150633" w:rsidRDefault="00150633" w:rsidP="0066664D">
            <w:pPr>
              <w:jc w:val="center"/>
            </w:pPr>
          </w:p>
        </w:tc>
        <w:tc>
          <w:tcPr>
            <w:tcW w:w="1915" w:type="dxa"/>
            <w:tcBorders>
              <w:left w:val="dashed" w:sz="4" w:space="0" w:color="auto"/>
              <w:right w:val="dashed" w:sz="4" w:space="0" w:color="auto"/>
            </w:tcBorders>
            <w:shd w:val="clear" w:color="auto" w:fill="D9D9D9" w:themeFill="background1" w:themeFillShade="D9"/>
          </w:tcPr>
          <w:p w:rsidR="00150633" w:rsidRDefault="00150633" w:rsidP="0066664D">
            <w:pPr>
              <w:jc w:val="center"/>
            </w:pPr>
            <w:r>
              <w:rPr>
                <w:noProof/>
              </w:rPr>
              <mc:AlternateContent>
                <mc:Choice Requires="wps">
                  <w:drawing>
                    <wp:anchor distT="0" distB="0" distL="114300" distR="114300" simplePos="0" relativeHeight="251664384" behindDoc="0" locked="0" layoutInCell="1" allowOverlap="1" wp14:anchorId="0F65681F" wp14:editId="40583678">
                      <wp:simplePos x="0" y="0"/>
                      <wp:positionH relativeFrom="column">
                        <wp:posOffset>485013</wp:posOffset>
                      </wp:positionH>
                      <wp:positionV relativeFrom="paragraph">
                        <wp:posOffset>168529</wp:posOffset>
                      </wp:positionV>
                      <wp:extent cx="190500" cy="5410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90500" cy="54102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141F" id="Rectangle 7" o:spid="_x0000_s1026" style="position:absolute;margin-left:38.2pt;margin-top:13.25pt;width:1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" fillcolor="#5a5a5a [2109]" strokecolor="black [3213]" strokeweight="2pt"/>
                  </w:pict>
                </mc:Fallback>
              </mc:AlternateContent>
            </w:r>
          </w:p>
        </w:tc>
        <w:tc>
          <w:tcPr>
            <w:tcW w:w="1916" w:type="dxa"/>
            <w:tcBorders>
              <w:left w:val="dashed" w:sz="4" w:space="0" w:color="auto"/>
              <w:right w:val="dashed" w:sz="4" w:space="0" w:color="auto"/>
            </w:tcBorders>
          </w:tcPr>
          <w:p w:rsidR="00150633" w:rsidRDefault="00150633" w:rsidP="0066664D">
            <w:pPr>
              <w:jc w:val="center"/>
            </w:pPr>
          </w:p>
        </w:tc>
      </w:tr>
      <w:tr w:rsidR="00150633" w:rsidTr="00891B5D">
        <w:tc>
          <w:tcPr>
            <w:tcW w:w="1915" w:type="dxa"/>
            <w:shd w:val="clear" w:color="auto" w:fill="D9D9D9" w:themeFill="background1" w:themeFillShade="D9"/>
          </w:tcPr>
          <w:p w:rsidR="00150633" w:rsidRPr="00CC4D28" w:rsidRDefault="005607CF" w:rsidP="0066664D">
            <w:pPr>
              <w:jc w:val="center"/>
              <w:rPr>
                <w:b/>
              </w:rPr>
            </w:pPr>
            <w:r>
              <w:rPr>
                <w:b/>
              </w:rPr>
              <w:t>Camera frame #</w:t>
            </w:r>
            <w:r w:rsidR="0046051F" w:rsidRPr="00CC4D28">
              <w:rPr>
                <w:b/>
              </w:rPr>
              <w:t>1</w:t>
            </w:r>
          </w:p>
          <w:p w:rsidR="0046051F" w:rsidRDefault="0046051F" w:rsidP="0066664D">
            <w:pPr>
              <w:jc w:val="center"/>
            </w:pPr>
            <w:r w:rsidRPr="00CC4D28">
              <w:rPr>
                <w:b/>
              </w:rPr>
              <w:t>(Ab=00)</w:t>
            </w:r>
          </w:p>
        </w:tc>
        <w:tc>
          <w:tcPr>
            <w:tcW w:w="1915" w:type="dxa"/>
          </w:tcPr>
          <w:p w:rsidR="00150633" w:rsidRDefault="0046051F" w:rsidP="0066664D">
            <w:pPr>
              <w:jc w:val="center"/>
            </w:pPr>
            <w:r>
              <w:t>Missed symbol: Ab=01</w:t>
            </w:r>
          </w:p>
          <w:p w:rsidR="0046051F" w:rsidRDefault="0046051F" w:rsidP="0066664D">
            <w:pPr>
              <w:jc w:val="center"/>
            </w:pPr>
            <w:r>
              <w:t>(detectable)</w:t>
            </w:r>
          </w:p>
        </w:tc>
        <w:tc>
          <w:tcPr>
            <w:tcW w:w="1915" w:type="dxa"/>
          </w:tcPr>
          <w:p w:rsidR="0046051F" w:rsidRDefault="0046051F" w:rsidP="0046051F">
            <w:pPr>
              <w:jc w:val="center"/>
            </w:pPr>
            <w:r>
              <w:t>Missed symbol: Ab=01</w:t>
            </w:r>
          </w:p>
          <w:p w:rsidR="00150633" w:rsidRDefault="0046051F" w:rsidP="0046051F">
            <w:pPr>
              <w:jc w:val="center"/>
            </w:pPr>
            <w:r>
              <w:t>(detectable)</w:t>
            </w:r>
          </w:p>
        </w:tc>
        <w:tc>
          <w:tcPr>
            <w:tcW w:w="1915" w:type="dxa"/>
            <w:shd w:val="clear" w:color="auto" w:fill="D9D9D9" w:themeFill="background1" w:themeFillShade="D9"/>
          </w:tcPr>
          <w:p w:rsidR="0046051F" w:rsidRPr="00CC4D28" w:rsidRDefault="005607CF" w:rsidP="0046051F">
            <w:pPr>
              <w:jc w:val="center"/>
              <w:rPr>
                <w:b/>
              </w:rPr>
            </w:pPr>
            <w:r>
              <w:rPr>
                <w:b/>
              </w:rPr>
              <w:t>Camera frame</w:t>
            </w:r>
            <w:r w:rsidR="0046051F" w:rsidRPr="00CC4D28">
              <w:rPr>
                <w:b/>
              </w:rPr>
              <w:t xml:space="preserve"> </w:t>
            </w:r>
            <w:r>
              <w:rPr>
                <w:b/>
              </w:rPr>
              <w:t>#</w:t>
            </w:r>
            <w:r w:rsidR="0046051F" w:rsidRPr="00CC4D28">
              <w:rPr>
                <w:b/>
              </w:rPr>
              <w:t>2</w:t>
            </w:r>
          </w:p>
          <w:p w:rsidR="00150633" w:rsidRDefault="0046051F" w:rsidP="0046051F">
            <w:pPr>
              <w:jc w:val="center"/>
            </w:pPr>
            <w:r w:rsidRPr="00CC4D28">
              <w:rPr>
                <w:b/>
              </w:rPr>
              <w:t>(Ab=11)</w:t>
            </w:r>
          </w:p>
        </w:tc>
        <w:tc>
          <w:tcPr>
            <w:tcW w:w="1916" w:type="dxa"/>
          </w:tcPr>
          <w:p w:rsidR="00150633" w:rsidRDefault="00150633" w:rsidP="0066664D">
            <w:pPr>
              <w:jc w:val="center"/>
            </w:pPr>
          </w:p>
        </w:tc>
      </w:tr>
    </w:tbl>
    <w:p w:rsidR="009E44BF" w:rsidRPr="009E44BF" w:rsidRDefault="009E44BF" w:rsidP="009E44BF">
      <w:pPr>
        <w:jc w:val="center"/>
        <w:rPr>
          <w:sz w:val="8"/>
        </w:rPr>
      </w:pPr>
    </w:p>
    <w:p w:rsidR="009E44BF" w:rsidRPr="005607CF" w:rsidRDefault="009E44BF" w:rsidP="009E44BF">
      <w:pPr>
        <w:jc w:val="center"/>
        <w:rPr>
          <w:b/>
        </w:rPr>
      </w:pPr>
      <w:r w:rsidRPr="005607CF">
        <w:rPr>
          <w:b/>
        </w:rPr>
        <w:t>Figure</w:t>
      </w:r>
      <w:r w:rsidR="006D048A" w:rsidRPr="005607CF">
        <w:rPr>
          <w:b/>
        </w:rPr>
        <w:t xml:space="preserve"> A</w:t>
      </w:r>
      <w:r w:rsidRPr="005607CF">
        <w:rPr>
          <w:b/>
        </w:rPr>
        <w:t>.</w:t>
      </w:r>
      <w:r w:rsidR="006D048A" w:rsidRPr="005607CF">
        <w:rPr>
          <w:b/>
        </w:rPr>
        <w:t>2</w:t>
      </w:r>
      <w:r w:rsidRPr="005607CF">
        <w:rPr>
          <w:b/>
        </w:rPr>
        <w:t xml:space="preserve"> Demodulation with missed symbols detection using </w:t>
      </w:r>
      <w:r w:rsidR="005607CF">
        <w:rPr>
          <w:b/>
        </w:rPr>
        <w:t xml:space="preserve">two </w:t>
      </w:r>
      <w:r w:rsidRPr="005607CF">
        <w:rPr>
          <w:b/>
        </w:rPr>
        <w:t>Ab bits</w:t>
      </w:r>
    </w:p>
    <w:p w:rsidR="0066664D" w:rsidRDefault="00084F32" w:rsidP="00084F32">
      <w:pPr>
        <w:jc w:val="both"/>
      </w:pPr>
      <w:r>
        <w:lastRenderedPageBreak/>
        <w:t xml:space="preserve">The use of </w:t>
      </w:r>
      <w:r w:rsidR="005A6601" w:rsidRPr="005A6601">
        <w:rPr>
          <w:noProof/>
        </w:rPr>
        <w:t>tw</w:t>
      </w:r>
      <w:r w:rsidR="005A6601">
        <w:rPr>
          <w:noProof/>
        </w:rPr>
        <w:t xml:space="preserve">o (or </w:t>
      </w:r>
      <w:r w:rsidRPr="005A6601">
        <w:rPr>
          <w:noProof/>
        </w:rPr>
        <w:t>more</w:t>
      </w:r>
      <w:r w:rsidR="005A6601" w:rsidRPr="005A6601">
        <w:rPr>
          <w:noProof/>
        </w:rPr>
        <w:t>)</w:t>
      </w:r>
      <w:r>
        <w:t xml:space="preserve"> sub-bands division is equivalent to the use of </w:t>
      </w:r>
      <w:r w:rsidR="005A6601">
        <w:rPr>
          <w:noProof/>
        </w:rPr>
        <w:t>one (or more)</w:t>
      </w:r>
      <w:r>
        <w:t xml:space="preserve"> clock information bits.</w:t>
      </w:r>
      <w:r w:rsidR="005607CF">
        <w:t xml:space="preserve"> So, Kookmin and NTU can merge ideas into a common proposal.</w:t>
      </w:r>
    </w:p>
    <w:p w:rsidR="00C30697" w:rsidRDefault="00C30697" w:rsidP="00C30697">
      <w:pPr>
        <w:rPr>
          <w:color w:val="0070C0"/>
        </w:rPr>
      </w:pPr>
    </w:p>
    <w:p w:rsidR="00C30697" w:rsidRPr="008F2B56" w:rsidRDefault="00AB12FE" w:rsidP="00C30697">
      <w:pPr>
        <w:rPr>
          <w:color w:val="0070C0"/>
        </w:rPr>
      </w:pPr>
      <w:r>
        <w:rPr>
          <w:color w:val="0070C0"/>
        </w:rPr>
        <w:t>Comment</w:t>
      </w:r>
      <w:r w:rsidR="00C30697" w:rsidRPr="008F2B56">
        <w:rPr>
          <w:color w:val="0070C0"/>
        </w:rPr>
        <w:t xml:space="preserve"> </w:t>
      </w:r>
      <w:r w:rsidR="00C30697">
        <w:rPr>
          <w:color w:val="0070C0"/>
        </w:rPr>
        <w:t xml:space="preserve">5 </w:t>
      </w:r>
      <w:r w:rsidR="00C30697" w:rsidRPr="008F2B56">
        <w:rPr>
          <w:color w:val="0070C0"/>
        </w:rPr>
        <w:t>(</w:t>
      </w:r>
      <w:r w:rsidR="009E0823">
        <w:rPr>
          <w:color w:val="0070C0"/>
        </w:rPr>
        <w:t>on</w:t>
      </w:r>
      <w:r w:rsidR="009E0823" w:rsidRPr="008F2B56">
        <w:rPr>
          <w:color w:val="0070C0"/>
        </w:rPr>
        <w:t xml:space="preserve"> </w:t>
      </w:r>
      <w:r w:rsidR="00C30697" w:rsidRPr="008F2B56">
        <w:rPr>
          <w:color w:val="0070C0"/>
        </w:rPr>
        <w:t>doc 0189r2)</w:t>
      </w:r>
      <w:r w:rsidR="00C30697">
        <w:rPr>
          <w:color w:val="0070C0"/>
        </w:rPr>
        <w:t>: Frequency Sub-band Division is mandatory?</w:t>
      </w:r>
    </w:p>
    <w:p w:rsidR="00A35A44" w:rsidRDefault="00C30697" w:rsidP="00C30697">
      <w:pPr>
        <w:jc w:val="both"/>
      </w:pPr>
      <w:r>
        <w:t>The division of BW into multiple sub-bands is necessary to support a time-variant frame rate Rx decoding. If the support for varying frame rate Rx is mandatory, then the data mapping tables (table 3 and 4) should be spitted into multiple tables instead of one table.</w:t>
      </w:r>
    </w:p>
    <w:p w:rsidR="00583FD6" w:rsidRDefault="00583FD6" w:rsidP="00C30697">
      <w:pPr>
        <w:jc w:val="both"/>
      </w:pPr>
      <w:r>
        <w:t xml:space="preserve">For example: </w:t>
      </w:r>
    </w:p>
    <w:p w:rsidR="00C30697" w:rsidRDefault="00583FD6" w:rsidP="00583FD6">
      <w:pPr>
        <w:ind w:firstLine="720"/>
        <w:jc w:val="both"/>
      </w:pPr>
      <w:r>
        <w:t>Table 3.1 Data mapping using f</w:t>
      </w:r>
      <w:r w:rsidRPr="00583FD6">
        <w:rPr>
          <w:vertAlign w:val="subscript"/>
        </w:rPr>
        <w:t>base_1</w:t>
      </w:r>
      <w:r>
        <w:t xml:space="preserve"> to 18/11 f</w:t>
      </w:r>
      <w:r w:rsidRPr="00583FD6">
        <w:rPr>
          <w:vertAlign w:val="subscript"/>
        </w:rPr>
        <w:t>base_1</w:t>
      </w:r>
    </w:p>
    <w:p w:rsidR="00583FD6" w:rsidRDefault="00583FD6" w:rsidP="00583FD6">
      <w:pPr>
        <w:ind w:firstLine="720"/>
        <w:jc w:val="both"/>
      </w:pPr>
      <w:r>
        <w:t>Table 3.2 Data mapping using f</w:t>
      </w:r>
      <w:r w:rsidRPr="00583FD6">
        <w:rPr>
          <w:vertAlign w:val="subscript"/>
        </w:rPr>
        <w:t>base_2</w:t>
      </w:r>
      <w:r>
        <w:t xml:space="preserve"> to 18/11 f</w:t>
      </w:r>
      <w:r w:rsidRPr="00583FD6">
        <w:rPr>
          <w:vertAlign w:val="subscript"/>
        </w:rPr>
        <w:t>base_2</w:t>
      </w:r>
    </w:p>
    <w:p w:rsidR="00C30697" w:rsidRDefault="00C30697" w:rsidP="00917DBB"/>
    <w:p w:rsidR="00084F32" w:rsidRDefault="00AB12FE" w:rsidP="00084F32">
      <w:pPr>
        <w:rPr>
          <w:color w:val="0070C0"/>
        </w:rPr>
      </w:pPr>
      <w:r>
        <w:rPr>
          <w:color w:val="0070C0"/>
        </w:rPr>
        <w:t>Comment</w:t>
      </w:r>
      <w:r w:rsidR="00084F32" w:rsidRPr="008F2B56">
        <w:rPr>
          <w:color w:val="0070C0"/>
        </w:rPr>
        <w:t xml:space="preserve"> </w:t>
      </w:r>
      <w:r w:rsidR="00B27F71">
        <w:rPr>
          <w:color w:val="0070C0"/>
        </w:rPr>
        <w:t>6</w:t>
      </w:r>
      <w:r w:rsidR="00084F32" w:rsidRPr="008F2B56">
        <w:rPr>
          <w:color w:val="0070C0"/>
        </w:rPr>
        <w:t xml:space="preserve"> (</w:t>
      </w:r>
      <w:r w:rsidR="009E0823">
        <w:rPr>
          <w:color w:val="0070C0"/>
        </w:rPr>
        <w:t>on</w:t>
      </w:r>
      <w:r w:rsidR="009E0823" w:rsidRPr="008F2B56">
        <w:rPr>
          <w:color w:val="0070C0"/>
        </w:rPr>
        <w:t xml:space="preserve"> </w:t>
      </w:r>
      <w:r w:rsidR="00084F32" w:rsidRPr="008F2B56">
        <w:rPr>
          <w:color w:val="0070C0"/>
        </w:rPr>
        <w:t>doc 0189r2)</w:t>
      </w:r>
      <w:r w:rsidR="00084F32">
        <w:rPr>
          <w:color w:val="0070C0"/>
        </w:rPr>
        <w:t xml:space="preserve">: </w:t>
      </w:r>
      <w:r w:rsidR="0075203F">
        <w:rPr>
          <w:color w:val="0070C0"/>
        </w:rPr>
        <w:t>Variable number of frequency for data mapping</w:t>
      </w:r>
    </w:p>
    <w:p w:rsidR="0075203F" w:rsidRDefault="0075203F" w:rsidP="0075203F">
      <w:pPr>
        <w:jc w:val="both"/>
      </w:pPr>
      <w:r>
        <w:t xml:space="preserve">As addressed in 1.0 PHY layer operating modes table 1, there is one mode for </w:t>
      </w:r>
      <w:r w:rsidR="005A6601" w:rsidRPr="005A6601">
        <w:rPr>
          <w:noProof/>
        </w:rPr>
        <w:t xml:space="preserve">a </w:t>
      </w:r>
      <w:r w:rsidRPr="005A6601">
        <w:rPr>
          <w:noProof/>
        </w:rPr>
        <w:t>variable number of frequency</w:t>
      </w:r>
      <w:r>
        <w:t xml:space="preserve"> used (RS-FSK-V mode). I wonder how does Rx know how many frequencies are used in </w:t>
      </w:r>
      <w:proofErr w:type="spellStart"/>
      <w:proofErr w:type="gramStart"/>
      <w:r>
        <w:t>Tx</w:t>
      </w:r>
      <w:proofErr w:type="spellEnd"/>
      <w:proofErr w:type="gramEnd"/>
      <w:r>
        <w:t xml:space="preserve"> to demodulate data if the number of frequencies is variable?</w:t>
      </w:r>
      <w:r w:rsidR="00E42B96">
        <w:t xml:space="preserve"> </w:t>
      </w:r>
    </w:p>
    <w:p w:rsidR="00E42B96" w:rsidRDefault="004D40AE" w:rsidP="0075203F">
      <w:pPr>
        <w:jc w:val="both"/>
      </w:pPr>
      <w:r>
        <w:t>Also, t</w:t>
      </w:r>
      <w:r w:rsidR="00E42B96">
        <w:t xml:space="preserve">he </w:t>
      </w:r>
      <w:r w:rsidR="00E42B96" w:rsidRPr="005A6601">
        <w:rPr>
          <w:noProof/>
        </w:rPr>
        <w:t>adaption</w:t>
      </w:r>
      <w:r w:rsidR="00E42B96">
        <w:t xml:space="preserve"> of the number of frequency is possible. </w:t>
      </w:r>
      <w:r>
        <w:t>But</w:t>
      </w:r>
      <w:r w:rsidR="00E42B96">
        <w:t xml:space="preserve"> the PHY operating mode shall </w:t>
      </w:r>
      <w:r w:rsidR="00971BF4" w:rsidRPr="005A6601">
        <w:rPr>
          <w:noProof/>
        </w:rPr>
        <w:t>be specified</w:t>
      </w:r>
      <w:r w:rsidR="00E42B96">
        <w:t xml:space="preserve"> how many frequencies </w:t>
      </w:r>
      <w:r w:rsidR="00E42B96" w:rsidRPr="005A6601">
        <w:rPr>
          <w:noProof/>
        </w:rPr>
        <w:t>are used</w:t>
      </w:r>
      <w:r w:rsidR="00E42B96">
        <w:t>. RS-FSK-C8 and RS-FSK-C16 are enough to represent RS-FSK-V.</w:t>
      </w:r>
      <w:r w:rsidR="00C31751">
        <w:t xml:space="preserve"> The </w:t>
      </w:r>
    </w:p>
    <w:p w:rsidR="00233262" w:rsidRDefault="00233262" w:rsidP="00084F32">
      <w:pPr>
        <w:rPr>
          <w:color w:val="0070C0"/>
        </w:rPr>
      </w:pPr>
    </w:p>
    <w:p w:rsidR="00430912" w:rsidRDefault="00AB12FE" w:rsidP="00084F32">
      <w:pPr>
        <w:rPr>
          <w:color w:val="0070C0"/>
        </w:rPr>
      </w:pPr>
      <w:r>
        <w:rPr>
          <w:color w:val="0070C0"/>
        </w:rPr>
        <w:t>Comment</w:t>
      </w:r>
      <w:r w:rsidR="00430912" w:rsidRPr="008F2B56">
        <w:rPr>
          <w:color w:val="0070C0"/>
        </w:rPr>
        <w:t xml:space="preserve"> </w:t>
      </w:r>
      <w:r w:rsidR="00B27F71">
        <w:rPr>
          <w:color w:val="0070C0"/>
        </w:rPr>
        <w:t>7</w:t>
      </w:r>
      <w:r w:rsidR="00430912" w:rsidRPr="008F2B56">
        <w:rPr>
          <w:color w:val="0070C0"/>
        </w:rPr>
        <w:t xml:space="preserve"> (</w:t>
      </w:r>
      <w:r w:rsidR="009E0823">
        <w:rPr>
          <w:color w:val="0070C0"/>
        </w:rPr>
        <w:t>on</w:t>
      </w:r>
      <w:r w:rsidR="009E0823" w:rsidRPr="008F2B56">
        <w:rPr>
          <w:color w:val="0070C0"/>
        </w:rPr>
        <w:t xml:space="preserve"> </w:t>
      </w:r>
      <w:r w:rsidR="00430912" w:rsidRPr="008F2B56">
        <w:rPr>
          <w:color w:val="0070C0"/>
        </w:rPr>
        <w:t>doc 0189r2)</w:t>
      </w:r>
      <w:r w:rsidR="00430912">
        <w:rPr>
          <w:color w:val="0070C0"/>
        </w:rPr>
        <w:t xml:space="preserve">: Two bandwidths </w:t>
      </w:r>
      <w:r w:rsidR="00430912" w:rsidRPr="005A6601">
        <w:rPr>
          <w:noProof/>
          <w:color w:val="0070C0"/>
        </w:rPr>
        <w:t>are used</w:t>
      </w:r>
      <w:r w:rsidR="00430912">
        <w:rPr>
          <w:color w:val="0070C0"/>
        </w:rPr>
        <w:t>: one for data and another for PHY attributes</w:t>
      </w:r>
      <w:r w:rsidR="00AE24A2">
        <w:rPr>
          <w:color w:val="0070C0"/>
        </w:rPr>
        <w:t>?</w:t>
      </w:r>
    </w:p>
    <w:p w:rsidR="00430912" w:rsidRDefault="00D0344C" w:rsidP="00084F32">
      <w:r>
        <w:t>In the document, t</w:t>
      </w:r>
      <w:r w:rsidR="00430912">
        <w:t>able 3 and table 4 define the set of frequencies to map data symbols. The calculation of this low bandwidth</w:t>
      </w:r>
      <w:r w:rsidR="00496539">
        <w:t xml:space="preserve"> (data frequency band)</w:t>
      </w:r>
      <w:r w:rsidR="00430912">
        <w:t xml:space="preserve"> </w:t>
      </w:r>
      <w:r w:rsidR="00430912" w:rsidRPr="005A6601">
        <w:rPr>
          <w:noProof/>
        </w:rPr>
        <w:t>is based</w:t>
      </w:r>
      <w:r w:rsidR="00430912">
        <w:t xml:space="preserve"> on </w:t>
      </w:r>
      <w:r w:rsidR="00430912" w:rsidRPr="005A6601">
        <w:rPr>
          <w:noProof/>
        </w:rPr>
        <w:t>f</w:t>
      </w:r>
      <w:r w:rsidR="00430912" w:rsidRPr="005A6601">
        <w:rPr>
          <w:noProof/>
          <w:vertAlign w:val="subscript"/>
        </w:rPr>
        <w:t>base</w:t>
      </w:r>
      <w:r w:rsidR="00430912">
        <w:t>.</w:t>
      </w:r>
    </w:p>
    <w:p w:rsidR="00430912" w:rsidRPr="008F2B56" w:rsidRDefault="00430912" w:rsidP="00A65DD9">
      <w:pPr>
        <w:jc w:val="both"/>
        <w:rPr>
          <w:color w:val="0070C0"/>
        </w:rPr>
      </w:pPr>
      <w:r>
        <w:t xml:space="preserve">Table 6 defines another set of frequencies (higher band) to map and represent PHY attributes values. The calculation of this higher bandwidth </w:t>
      </w:r>
      <w:r w:rsidRPr="005A6601">
        <w:rPr>
          <w:noProof/>
        </w:rPr>
        <w:t>is based</w:t>
      </w:r>
      <w:r>
        <w:t xml:space="preserve"> on the preamble frequency.</w:t>
      </w:r>
    </w:p>
    <w:p w:rsidR="00A65DD9" w:rsidRDefault="00997D1C" w:rsidP="00A65DD9">
      <w:pPr>
        <w:jc w:val="both"/>
      </w:pPr>
      <w:r w:rsidRPr="005A6601">
        <w:rPr>
          <w:noProof/>
        </w:rPr>
        <w:t>This seems</w:t>
      </w:r>
      <w:r>
        <w:t xml:space="preserve"> to be unreasonable. </w:t>
      </w:r>
      <w:r w:rsidRPr="005A6601">
        <w:rPr>
          <w:noProof/>
        </w:rPr>
        <w:t>Usually</w:t>
      </w:r>
      <w:r w:rsidR="005A6601">
        <w:rPr>
          <w:noProof/>
        </w:rPr>
        <w:t>,</w:t>
      </w:r>
      <w:r>
        <w:t xml:space="preserve"> we use only a unique set of frequencies to map with data symbol. The definition of new bandwidth for PHY attributes that is different from the definition of bandwidth for data mapping is wasting resource. </w:t>
      </w:r>
    </w:p>
    <w:p w:rsidR="00A9275D" w:rsidRDefault="005A6601" w:rsidP="00A65DD9">
      <w:pPr>
        <w:jc w:val="both"/>
      </w:pPr>
      <w:r>
        <w:rPr>
          <w:noProof/>
        </w:rPr>
        <w:t>We</w:t>
      </w:r>
      <w:r w:rsidR="00997D1C">
        <w:t xml:space="preserve"> think that </w:t>
      </w:r>
      <w:r w:rsidR="00A65DD9">
        <w:t>the author wants to introduce the PPDU format as follows</w:t>
      </w:r>
      <w:r w:rsidR="00496539">
        <w:t xml:space="preserve"> (</w:t>
      </w:r>
      <w:r w:rsidR="00496539" w:rsidRPr="00496539">
        <w:rPr>
          <w:highlight w:val="yellow"/>
        </w:rPr>
        <w:t xml:space="preserve">table </w:t>
      </w:r>
      <w:r w:rsidR="00904DBD">
        <w:rPr>
          <w:highlight w:val="yellow"/>
        </w:rPr>
        <w:t>A.1</w:t>
      </w:r>
      <w:r w:rsidR="00496539" w:rsidRPr="00496539">
        <w:rPr>
          <w:highlight w:val="yellow"/>
        </w:rPr>
        <w:t>)</w:t>
      </w:r>
      <w:r w:rsidR="00A65DD9" w:rsidRPr="00496539">
        <w:rPr>
          <w:highlight w:val="yellow"/>
        </w:rPr>
        <w:t>.</w:t>
      </w:r>
      <w:r w:rsidR="00A65DD9">
        <w:t xml:space="preserve"> Frequency labelling sub-field and PIB attributes sub-field that the author introduced are part</w:t>
      </w:r>
      <w:r w:rsidR="00496539">
        <w:t>s</w:t>
      </w:r>
      <w:r w:rsidR="00A65DD9">
        <w:t xml:space="preserve"> of PHY header (PHR field). IEEE 802.15.7-2011 indicated that </w:t>
      </w:r>
      <w:r w:rsidR="00975003">
        <w:t>“</w:t>
      </w:r>
      <w:r w:rsidR="00A65DD9">
        <w:t xml:space="preserve">PHY header shall </w:t>
      </w:r>
      <w:r w:rsidR="00325BD5" w:rsidRPr="005A6601">
        <w:rPr>
          <w:noProof/>
        </w:rPr>
        <w:t>be sent</w:t>
      </w:r>
      <w:r w:rsidR="00325BD5">
        <w:t xml:space="preserve"> at</w:t>
      </w:r>
      <w:r w:rsidR="00A65DD9">
        <w:t xml:space="preserve"> the lowest data rate among given modes</w:t>
      </w:r>
      <w:r w:rsidR="00975003" w:rsidRPr="005A6601">
        <w:rPr>
          <w:noProof/>
        </w:rPr>
        <w:t>”</w:t>
      </w:r>
      <w:r w:rsidR="00A65DD9" w:rsidRPr="005A6601">
        <w:rPr>
          <w:noProof/>
        </w:rPr>
        <w:t>,</w:t>
      </w:r>
      <w:r w:rsidR="00A65DD9">
        <w:t xml:space="preserve"> and </w:t>
      </w:r>
      <w:r w:rsidR="00E95DBF">
        <w:t>therefore</w:t>
      </w:r>
      <w:r w:rsidR="00A65DD9">
        <w:t xml:space="preserve"> 8-FSK is the proper selection</w:t>
      </w:r>
      <w:r w:rsidR="0049767A">
        <w:t xml:space="preserve"> for NTU</w:t>
      </w:r>
      <w:r w:rsidR="00BC43EB">
        <w:t xml:space="preserve"> PHY header (among 8-FSK and 16-FSK modes)</w:t>
      </w:r>
      <w:r w:rsidR="00A65DD9">
        <w:t xml:space="preserve">. </w:t>
      </w:r>
      <w:r w:rsidR="0049767A">
        <w:t>No more bandwidth is necessary to transmit the content of PHY header.</w:t>
      </w:r>
    </w:p>
    <w:p w:rsidR="00997D1C" w:rsidRPr="00AB63AE" w:rsidRDefault="00AB63AE" w:rsidP="00917DBB">
      <w:pPr>
        <w:rPr>
          <w:b/>
        </w:rPr>
      </w:pPr>
      <w:r w:rsidRPr="004259CF">
        <w:rPr>
          <w:b/>
          <w:highlight w:val="yellow"/>
        </w:rPr>
        <w:lastRenderedPageBreak/>
        <w:t>Table</w:t>
      </w:r>
      <w:r w:rsidR="00132F20" w:rsidRPr="004259CF">
        <w:rPr>
          <w:b/>
          <w:highlight w:val="yellow"/>
        </w:rPr>
        <w:t xml:space="preserve"> </w:t>
      </w:r>
      <w:r w:rsidR="00904DBD">
        <w:rPr>
          <w:b/>
          <w:highlight w:val="yellow"/>
        </w:rPr>
        <w:t>A.1</w:t>
      </w:r>
      <w:r w:rsidRPr="004259CF">
        <w:rPr>
          <w:b/>
          <w:highlight w:val="yellow"/>
        </w:rPr>
        <w:t>.</w:t>
      </w:r>
      <w:r>
        <w:rPr>
          <w:b/>
        </w:rPr>
        <w:t xml:space="preserve"> </w:t>
      </w:r>
      <w:r w:rsidRPr="00AB63AE">
        <w:rPr>
          <w:b/>
        </w:rPr>
        <w:t>NTU PPDU format</w:t>
      </w:r>
    </w:p>
    <w:tbl>
      <w:tblPr>
        <w:tblStyle w:val="TableGrid"/>
        <w:tblW w:w="0" w:type="auto"/>
        <w:tblLook w:val="04A0" w:firstRow="1" w:lastRow="0" w:firstColumn="1" w:lastColumn="0" w:noHBand="0" w:noVBand="1"/>
      </w:tblPr>
      <w:tblGrid>
        <w:gridCol w:w="1565"/>
        <w:gridCol w:w="1536"/>
        <w:gridCol w:w="1570"/>
        <w:gridCol w:w="1568"/>
        <w:gridCol w:w="2126"/>
        <w:gridCol w:w="985"/>
      </w:tblGrid>
      <w:tr w:rsidR="00E16963" w:rsidTr="00E16963">
        <w:tc>
          <w:tcPr>
            <w:tcW w:w="1565" w:type="dxa"/>
          </w:tcPr>
          <w:p w:rsidR="00E16963" w:rsidRPr="00A65DD9" w:rsidRDefault="00E16963" w:rsidP="003A1069">
            <w:pPr>
              <w:jc w:val="center"/>
              <w:rPr>
                <w:b/>
              </w:rPr>
            </w:pPr>
            <w:r w:rsidRPr="00A65DD9">
              <w:rPr>
                <w:b/>
              </w:rPr>
              <w:t>SHR</w:t>
            </w:r>
          </w:p>
        </w:tc>
        <w:tc>
          <w:tcPr>
            <w:tcW w:w="4674" w:type="dxa"/>
            <w:gridSpan w:val="3"/>
          </w:tcPr>
          <w:p w:rsidR="00E16963" w:rsidRPr="00A65DD9" w:rsidRDefault="00E16963" w:rsidP="00A65DD9">
            <w:pPr>
              <w:jc w:val="center"/>
              <w:rPr>
                <w:b/>
              </w:rPr>
            </w:pPr>
            <w:r w:rsidRPr="00A65DD9">
              <w:rPr>
                <w:b/>
              </w:rPr>
              <w:t>PHY header</w:t>
            </w:r>
          </w:p>
        </w:tc>
        <w:tc>
          <w:tcPr>
            <w:tcW w:w="3111" w:type="dxa"/>
            <w:gridSpan w:val="2"/>
          </w:tcPr>
          <w:p w:rsidR="00E16963" w:rsidRDefault="00E16963" w:rsidP="00A65DD9">
            <w:pPr>
              <w:jc w:val="center"/>
            </w:pPr>
            <w:r w:rsidRPr="00A65DD9">
              <w:rPr>
                <w:b/>
              </w:rPr>
              <w:t>PSDU</w:t>
            </w:r>
          </w:p>
        </w:tc>
      </w:tr>
      <w:tr w:rsidR="00997D1C" w:rsidTr="00E16963">
        <w:tc>
          <w:tcPr>
            <w:tcW w:w="1565" w:type="dxa"/>
          </w:tcPr>
          <w:p w:rsidR="00997D1C" w:rsidRDefault="00997D1C" w:rsidP="003A1069">
            <w:pPr>
              <w:jc w:val="center"/>
            </w:pPr>
            <w:r>
              <w:t>Preamble</w:t>
            </w:r>
          </w:p>
        </w:tc>
        <w:tc>
          <w:tcPr>
            <w:tcW w:w="1536" w:type="dxa"/>
          </w:tcPr>
          <w:p w:rsidR="00997D1C" w:rsidRDefault="00997D1C" w:rsidP="003A1069">
            <w:pPr>
              <w:jc w:val="center"/>
            </w:pPr>
            <w:r>
              <w:t>Gap</w:t>
            </w:r>
          </w:p>
        </w:tc>
        <w:tc>
          <w:tcPr>
            <w:tcW w:w="1570" w:type="dxa"/>
          </w:tcPr>
          <w:p w:rsidR="00997D1C" w:rsidRDefault="00997D1C" w:rsidP="003A1069">
            <w:pPr>
              <w:jc w:val="center"/>
            </w:pPr>
            <w:r>
              <w:t>Frequency Labelling</w:t>
            </w:r>
          </w:p>
        </w:tc>
        <w:tc>
          <w:tcPr>
            <w:tcW w:w="1568" w:type="dxa"/>
          </w:tcPr>
          <w:p w:rsidR="00997D1C" w:rsidRDefault="00997D1C" w:rsidP="003A1069">
            <w:pPr>
              <w:jc w:val="center"/>
            </w:pPr>
            <w:r>
              <w:t>PIB Attributes</w:t>
            </w:r>
          </w:p>
        </w:tc>
        <w:tc>
          <w:tcPr>
            <w:tcW w:w="2126" w:type="dxa"/>
          </w:tcPr>
          <w:p w:rsidR="00997D1C" w:rsidRDefault="00997D1C" w:rsidP="003A1069">
            <w:pPr>
              <w:jc w:val="center"/>
            </w:pPr>
            <w:r>
              <w:t>PSDU</w:t>
            </w:r>
          </w:p>
        </w:tc>
        <w:tc>
          <w:tcPr>
            <w:tcW w:w="985" w:type="dxa"/>
          </w:tcPr>
          <w:p w:rsidR="00997D1C" w:rsidRDefault="00997D1C" w:rsidP="003A1069">
            <w:pPr>
              <w:jc w:val="center"/>
            </w:pPr>
            <w:r>
              <w:t>End Symbol</w:t>
            </w:r>
          </w:p>
        </w:tc>
      </w:tr>
      <w:tr w:rsidR="00997D1C" w:rsidTr="00E16963">
        <w:tc>
          <w:tcPr>
            <w:tcW w:w="1565" w:type="dxa"/>
          </w:tcPr>
          <w:p w:rsidR="00997D1C" w:rsidRDefault="00997D1C" w:rsidP="003A1069">
            <w:pPr>
              <w:jc w:val="center"/>
            </w:pPr>
            <w:r>
              <w:t>symbol time: 1</w:t>
            </w:r>
          </w:p>
        </w:tc>
        <w:tc>
          <w:tcPr>
            <w:tcW w:w="1536" w:type="dxa"/>
          </w:tcPr>
          <w:p w:rsidR="00997D1C" w:rsidRDefault="00997D1C" w:rsidP="003A1069">
            <w:pPr>
              <w:jc w:val="center"/>
            </w:pPr>
            <w:r>
              <w:t>0/1</w:t>
            </w:r>
          </w:p>
        </w:tc>
        <w:tc>
          <w:tcPr>
            <w:tcW w:w="1570" w:type="dxa"/>
          </w:tcPr>
          <w:p w:rsidR="00997D1C" w:rsidRDefault="00997D1C" w:rsidP="003A1069">
            <w:pPr>
              <w:jc w:val="center"/>
            </w:pPr>
            <w:r>
              <w:t>0/1</w:t>
            </w:r>
          </w:p>
        </w:tc>
        <w:tc>
          <w:tcPr>
            <w:tcW w:w="1568" w:type="dxa"/>
          </w:tcPr>
          <w:p w:rsidR="00997D1C" w:rsidRDefault="00997D1C" w:rsidP="003A1069">
            <w:pPr>
              <w:jc w:val="center"/>
            </w:pPr>
            <w:r>
              <w:t>0/</w:t>
            </w:r>
            <w:r w:rsidR="00A65DD9">
              <w:t>1</w:t>
            </w:r>
          </w:p>
        </w:tc>
        <w:tc>
          <w:tcPr>
            <w:tcW w:w="2126" w:type="dxa"/>
          </w:tcPr>
          <w:p w:rsidR="00997D1C" w:rsidRDefault="00997D1C" w:rsidP="003A1069">
            <w:pPr>
              <w:jc w:val="center"/>
            </w:pPr>
            <w:r>
              <w:t>variable</w:t>
            </w:r>
          </w:p>
        </w:tc>
        <w:tc>
          <w:tcPr>
            <w:tcW w:w="985" w:type="dxa"/>
          </w:tcPr>
          <w:p w:rsidR="00997D1C" w:rsidRDefault="00997D1C" w:rsidP="003A1069">
            <w:pPr>
              <w:jc w:val="center"/>
            </w:pPr>
            <w:r>
              <w:t>1</w:t>
            </w:r>
          </w:p>
        </w:tc>
      </w:tr>
    </w:tbl>
    <w:p w:rsidR="00997D1C" w:rsidRDefault="00233262" w:rsidP="00917DBB">
      <w:r>
        <w:t>Symbol time=0 means the subfield is optional.</w:t>
      </w:r>
    </w:p>
    <w:p w:rsidR="00917DBB" w:rsidRDefault="00917DBB" w:rsidP="00917DBB">
      <w:pPr>
        <w:rPr>
          <w:color w:val="0070C0"/>
        </w:rPr>
      </w:pPr>
    </w:p>
    <w:p w:rsidR="00EF2B14" w:rsidRDefault="00EF2B14">
      <w:pPr>
        <w:rPr>
          <w:color w:val="0070C0"/>
        </w:rPr>
      </w:pPr>
      <w:r>
        <w:rPr>
          <w:color w:val="0070C0"/>
        </w:rPr>
        <w:br w:type="page"/>
      </w:r>
    </w:p>
    <w:p w:rsidR="00EF2B14" w:rsidRPr="00124914" w:rsidRDefault="00EF2B14" w:rsidP="00917DBB">
      <w:pPr>
        <w:rPr>
          <w:sz w:val="4"/>
        </w:rPr>
      </w:pPr>
    </w:p>
    <w:p w:rsidR="008A4D70" w:rsidRPr="00EF2B14" w:rsidRDefault="008A4D70" w:rsidP="00EF2B14">
      <w:pPr>
        <w:pStyle w:val="ListParagraph"/>
        <w:numPr>
          <w:ilvl w:val="0"/>
          <w:numId w:val="3"/>
        </w:numPr>
        <w:rPr>
          <w:b/>
        </w:rPr>
      </w:pPr>
      <w:r w:rsidRPr="00EF2B14">
        <w:rPr>
          <w:b/>
        </w:rPr>
        <w:t xml:space="preserve">Questions on </w:t>
      </w:r>
      <w:r w:rsidR="00C66168" w:rsidRPr="00EF2B14">
        <w:rPr>
          <w:b/>
        </w:rPr>
        <w:t>PHY PPDU</w:t>
      </w:r>
      <w:r w:rsidR="008F2B56" w:rsidRPr="00EF2B14">
        <w:rPr>
          <w:b/>
        </w:rPr>
        <w:t xml:space="preserve"> frame format</w:t>
      </w:r>
      <w:r w:rsidRPr="00EF2B14">
        <w:rPr>
          <w:b/>
        </w:rPr>
        <w:t>:</w:t>
      </w:r>
    </w:p>
    <w:p w:rsidR="00EF2B14" w:rsidRDefault="00AB12FE" w:rsidP="00EF2B14">
      <w:pPr>
        <w:rPr>
          <w:color w:val="0070C0"/>
        </w:rPr>
      </w:pPr>
      <w:r>
        <w:rPr>
          <w:color w:val="0070C0"/>
        </w:rPr>
        <w:t>Comment</w:t>
      </w:r>
      <w:r w:rsidR="00EF2B14" w:rsidRPr="008F2B56">
        <w:rPr>
          <w:color w:val="0070C0"/>
        </w:rPr>
        <w:t xml:space="preserve"> </w:t>
      </w:r>
      <w:r w:rsidR="00B27F71">
        <w:rPr>
          <w:color w:val="0070C0"/>
        </w:rPr>
        <w:t>8</w:t>
      </w:r>
      <w:r w:rsidR="00EF2B14" w:rsidRPr="008F2B56">
        <w:rPr>
          <w:color w:val="0070C0"/>
        </w:rPr>
        <w:t xml:space="preserve"> (</w:t>
      </w:r>
      <w:r w:rsidR="009E0823">
        <w:rPr>
          <w:color w:val="0070C0"/>
        </w:rPr>
        <w:t>on</w:t>
      </w:r>
      <w:r w:rsidR="009E0823" w:rsidRPr="008F2B56">
        <w:rPr>
          <w:color w:val="0070C0"/>
        </w:rPr>
        <w:t xml:space="preserve"> </w:t>
      </w:r>
      <w:r w:rsidR="00EF2B14" w:rsidRPr="008F2B56">
        <w:rPr>
          <w:color w:val="0070C0"/>
        </w:rPr>
        <w:t>doc 0189r2)</w:t>
      </w:r>
      <w:r w:rsidR="00EF2B14">
        <w:rPr>
          <w:color w:val="0070C0"/>
        </w:rPr>
        <w:t>: End symbol</w:t>
      </w:r>
      <w:r w:rsidR="00A7045E">
        <w:rPr>
          <w:color w:val="0070C0"/>
        </w:rPr>
        <w:t xml:space="preserve"> is not </w:t>
      </w:r>
      <w:r w:rsidR="00E16963">
        <w:rPr>
          <w:color w:val="0070C0"/>
        </w:rPr>
        <w:t>necessary</w:t>
      </w:r>
    </w:p>
    <w:p w:rsidR="00E16963" w:rsidRDefault="00EF2B14" w:rsidP="00EF2B14">
      <w:r>
        <w:t xml:space="preserve">As seen in </w:t>
      </w:r>
      <w:r w:rsidRPr="004259CF">
        <w:rPr>
          <w:highlight w:val="yellow"/>
        </w:rPr>
        <w:t xml:space="preserve">table </w:t>
      </w:r>
      <w:r w:rsidR="00904DBD">
        <w:t>A.1</w:t>
      </w:r>
      <w:r>
        <w:t xml:space="preserve"> above, the PPDU format for NTU’s RS-FSK </w:t>
      </w:r>
      <w:r w:rsidR="00CA2DE0">
        <w:t xml:space="preserve">(with end-symbol) </w:t>
      </w:r>
      <w:r w:rsidR="00E16963">
        <w:t>was re-formatted compatible with</w:t>
      </w:r>
      <w:r>
        <w:t xml:space="preserve"> </w:t>
      </w:r>
      <w:r w:rsidR="00E16963">
        <w:t>IEEE 802.15.7-2011 PPDU format</w:t>
      </w:r>
      <w:r>
        <w:t xml:space="preserve">. </w:t>
      </w:r>
    </w:p>
    <w:p w:rsidR="00EF2B14" w:rsidRDefault="00EF2B14" w:rsidP="00EF2B14">
      <w:r>
        <w:t xml:space="preserve">Kookmin </w:t>
      </w:r>
      <w:r w:rsidRPr="005A6601">
        <w:rPr>
          <w:noProof/>
        </w:rPr>
        <w:t>do</w:t>
      </w:r>
      <w:r w:rsidR="005A6601">
        <w:rPr>
          <w:noProof/>
        </w:rPr>
        <w:t>es</w:t>
      </w:r>
      <w:r>
        <w:t xml:space="preserve"> not use end symbol because Rx knows the ending of a packet when it receives the next preamble. No End Symbol</w:t>
      </w:r>
      <w:r w:rsidR="008F10BF">
        <w:t xml:space="preserve"> </w:t>
      </w:r>
      <w:r w:rsidR="00CA2DE0">
        <w:t>(</w:t>
      </w:r>
      <w:r w:rsidR="008F10BF">
        <w:t xml:space="preserve">with </w:t>
      </w:r>
      <w:r w:rsidR="00CA2DE0">
        <w:t>one more</w:t>
      </w:r>
      <w:r w:rsidR="008F10BF">
        <w:t xml:space="preserve"> </w:t>
      </w:r>
      <w:r w:rsidR="008F10BF" w:rsidRPr="005A6601">
        <w:rPr>
          <w:noProof/>
        </w:rPr>
        <w:t>frequency</w:t>
      </w:r>
      <w:r w:rsidR="005A6601">
        <w:rPr>
          <w:noProof/>
        </w:rPr>
        <w:t>, as well as one more symbol time,</w:t>
      </w:r>
      <w:r w:rsidR="00CA2DE0">
        <w:t xml:space="preserve"> </w:t>
      </w:r>
      <w:r w:rsidR="00CA2DE0" w:rsidRPr="005A6601">
        <w:rPr>
          <w:noProof/>
        </w:rPr>
        <w:t>are wasted</w:t>
      </w:r>
      <w:r w:rsidR="00CA2DE0">
        <w:t>)</w:t>
      </w:r>
      <w:r>
        <w:t xml:space="preserve"> is required.</w:t>
      </w:r>
    </w:p>
    <w:p w:rsidR="00AB4998" w:rsidRDefault="00C74D46" w:rsidP="00B81EB7">
      <w:pPr>
        <w:spacing w:after="0"/>
        <w:jc w:val="center"/>
      </w:pPr>
      <w:r>
        <w:rPr>
          <w:noProof/>
        </w:rPr>
        <w:drawing>
          <wp:inline distT="0" distB="0" distL="0" distR="0" wp14:anchorId="6A0CA8F6" wp14:editId="009407BB">
            <wp:extent cx="3180522" cy="69285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8195" cy="698879"/>
                    </a:xfrm>
                    <a:prstGeom prst="rect">
                      <a:avLst/>
                    </a:prstGeom>
                  </pic:spPr>
                </pic:pic>
              </a:graphicData>
            </a:graphic>
          </wp:inline>
        </w:drawing>
      </w:r>
    </w:p>
    <w:p w:rsidR="00C74D46" w:rsidRPr="00C74D46" w:rsidRDefault="00C74D46" w:rsidP="00B81EB7">
      <w:pPr>
        <w:spacing w:after="0"/>
        <w:jc w:val="center"/>
        <w:rPr>
          <w:b/>
        </w:rPr>
      </w:pPr>
      <w:r w:rsidRPr="00C74D46">
        <w:rPr>
          <w:b/>
        </w:rPr>
        <w:t>Figure 118 – Format of PPDU (IEEE 802.15.7-2011)</w:t>
      </w:r>
    </w:p>
    <w:p w:rsidR="00AB4998" w:rsidRDefault="00AB4998" w:rsidP="00AB0238">
      <w:pPr>
        <w:jc w:val="both"/>
      </w:pPr>
      <w:r>
        <w:t>Figure 1</w:t>
      </w:r>
      <w:r w:rsidR="00C74D46">
        <w:t xml:space="preserve">18 </w:t>
      </w:r>
      <w:r>
        <w:t>from IEEE 802.15.7-2011 specification d</w:t>
      </w:r>
      <w:r w:rsidR="00B92F44">
        <w:t>id</w:t>
      </w:r>
      <w:r>
        <w:t xml:space="preserve"> not use end symbol</w:t>
      </w:r>
      <w:r w:rsidR="0028590D">
        <w:t xml:space="preserve"> as a</w:t>
      </w:r>
      <w:r w:rsidR="00E16963">
        <w:t xml:space="preserve"> field</w:t>
      </w:r>
      <w:r w:rsidR="0028590D">
        <w:t xml:space="preserve">, it was mentioned as optional tail bits of PSDU field </w:t>
      </w:r>
      <w:r w:rsidR="00AB0238">
        <w:t>as shown in</w:t>
      </w:r>
      <w:r w:rsidR="0028590D">
        <w:t xml:space="preserve"> Fig. 123 PSDU field structure</w:t>
      </w:r>
      <w:r w:rsidR="00AB0238">
        <w:t>.</w:t>
      </w:r>
    </w:p>
    <w:p w:rsidR="00EF2B14" w:rsidRPr="00800D8B" w:rsidRDefault="005A6601" w:rsidP="008A4D70">
      <w:r>
        <w:rPr>
          <w:noProof/>
        </w:rPr>
        <w:t>T</w:t>
      </w:r>
      <w:r w:rsidR="00800D8B" w:rsidRPr="005A6601">
        <w:rPr>
          <w:noProof/>
        </w:rPr>
        <w:t>o</w:t>
      </w:r>
      <w:r w:rsidR="00800D8B" w:rsidRPr="00800D8B">
        <w:t xml:space="preserve"> merge Kookmin and NTU proposals, we suggest to change it </w:t>
      </w:r>
      <w:r w:rsidR="00800D8B" w:rsidRPr="005A6601">
        <w:rPr>
          <w:noProof/>
        </w:rPr>
        <w:t>to</w:t>
      </w:r>
      <w:r>
        <w:t xml:space="preserve"> the</w:t>
      </w:r>
      <w:r w:rsidR="00800D8B" w:rsidRPr="00800D8B">
        <w:t xml:space="preserve"> </w:t>
      </w:r>
      <w:r w:rsidR="00800D8B" w:rsidRPr="005A6601">
        <w:rPr>
          <w:noProof/>
        </w:rPr>
        <w:t>optional</w:t>
      </w:r>
      <w:r w:rsidR="00800D8B" w:rsidRPr="00800D8B">
        <w:t xml:space="preserve"> field</w:t>
      </w:r>
      <w:r w:rsidR="00E16963">
        <w:t xml:space="preserve"> and follow the existing IEEE 802.15.7-2011 PPDU format (Figure 186</w:t>
      </w:r>
      <w:r w:rsidR="00C74D46">
        <w:t xml:space="preserve"> and figure 123</w:t>
      </w:r>
      <w:r w:rsidR="00E16963">
        <w:t>)</w:t>
      </w:r>
      <w:r w:rsidR="00800D8B" w:rsidRPr="00800D8B">
        <w:t>.</w:t>
      </w:r>
    </w:p>
    <w:p w:rsidR="008A4D70" w:rsidRDefault="008A4D70"/>
    <w:p w:rsidR="00970F6A" w:rsidRDefault="00AB12FE">
      <w:r>
        <w:rPr>
          <w:color w:val="0070C0"/>
        </w:rPr>
        <w:t>Comment</w:t>
      </w:r>
      <w:r w:rsidR="00B92F44" w:rsidRPr="008F2B56">
        <w:rPr>
          <w:color w:val="0070C0"/>
        </w:rPr>
        <w:t xml:space="preserve"> </w:t>
      </w:r>
      <w:r w:rsidR="00B27F71">
        <w:rPr>
          <w:color w:val="0070C0"/>
        </w:rPr>
        <w:t>9</w:t>
      </w:r>
      <w:r w:rsidR="00B92F44" w:rsidRPr="008F2B56">
        <w:rPr>
          <w:color w:val="0070C0"/>
        </w:rPr>
        <w:t xml:space="preserve"> (</w:t>
      </w:r>
      <w:r w:rsidR="009E0823">
        <w:rPr>
          <w:color w:val="0070C0"/>
        </w:rPr>
        <w:t>on</w:t>
      </w:r>
      <w:r w:rsidR="009E0823" w:rsidRPr="008F2B56">
        <w:rPr>
          <w:color w:val="0070C0"/>
        </w:rPr>
        <w:t xml:space="preserve"> </w:t>
      </w:r>
      <w:r w:rsidR="00B92F44" w:rsidRPr="008F2B56">
        <w:rPr>
          <w:color w:val="0070C0"/>
        </w:rPr>
        <w:t>doc 0189r2)</w:t>
      </w:r>
      <w:r w:rsidR="00B92F44">
        <w:rPr>
          <w:color w:val="0070C0"/>
        </w:rPr>
        <w:t>: PIB attributes subfield is</w:t>
      </w:r>
      <w:r w:rsidR="00CA2DE0">
        <w:rPr>
          <w:color w:val="0070C0"/>
        </w:rPr>
        <w:t xml:space="preserve"> an</w:t>
      </w:r>
      <w:r w:rsidR="00B92F44">
        <w:rPr>
          <w:color w:val="0070C0"/>
        </w:rPr>
        <w:t xml:space="preserve"> incorrect</w:t>
      </w:r>
      <w:r w:rsidR="00CA2DE0">
        <w:rPr>
          <w:color w:val="0070C0"/>
        </w:rPr>
        <w:t xml:space="preserve"> name</w:t>
      </w:r>
      <w:r w:rsidR="00E02C3F">
        <w:rPr>
          <w:color w:val="0070C0"/>
        </w:rPr>
        <w:t>?</w:t>
      </w:r>
    </w:p>
    <w:p w:rsidR="00B92F44" w:rsidRPr="00AB63AE" w:rsidRDefault="00B92F44" w:rsidP="00B92F44">
      <w:pPr>
        <w:rPr>
          <w:b/>
        </w:rPr>
      </w:pPr>
      <w:r w:rsidRPr="004259CF">
        <w:rPr>
          <w:b/>
          <w:highlight w:val="yellow"/>
        </w:rPr>
        <w:t xml:space="preserve">Table </w:t>
      </w:r>
      <w:r w:rsidR="00904DBD">
        <w:rPr>
          <w:b/>
          <w:highlight w:val="yellow"/>
        </w:rPr>
        <w:t>A.2</w:t>
      </w:r>
      <w:r w:rsidRPr="004259CF">
        <w:rPr>
          <w:b/>
          <w:highlight w:val="yellow"/>
        </w:rPr>
        <w:t>.</w:t>
      </w:r>
      <w:r>
        <w:rPr>
          <w:b/>
        </w:rPr>
        <w:t xml:space="preserve"> </w:t>
      </w:r>
      <w:r w:rsidRPr="00AB63AE">
        <w:rPr>
          <w:b/>
        </w:rPr>
        <w:t>NTU PPDU format</w:t>
      </w:r>
    </w:p>
    <w:tbl>
      <w:tblPr>
        <w:tblStyle w:val="TableGrid"/>
        <w:tblW w:w="0" w:type="auto"/>
        <w:tblLook w:val="04A0" w:firstRow="1" w:lastRow="0" w:firstColumn="1" w:lastColumn="0" w:noHBand="0" w:noVBand="1"/>
      </w:tblPr>
      <w:tblGrid>
        <w:gridCol w:w="1565"/>
        <w:gridCol w:w="1536"/>
        <w:gridCol w:w="1570"/>
        <w:gridCol w:w="1568"/>
        <w:gridCol w:w="1557"/>
        <w:gridCol w:w="1554"/>
      </w:tblGrid>
      <w:tr w:rsidR="00E16963" w:rsidTr="00E16963">
        <w:tc>
          <w:tcPr>
            <w:tcW w:w="1565" w:type="dxa"/>
          </w:tcPr>
          <w:p w:rsidR="00E16963" w:rsidRPr="00A65DD9" w:rsidRDefault="00E16963" w:rsidP="003A1069">
            <w:pPr>
              <w:jc w:val="center"/>
              <w:rPr>
                <w:b/>
              </w:rPr>
            </w:pPr>
            <w:r w:rsidRPr="00A65DD9">
              <w:rPr>
                <w:b/>
              </w:rPr>
              <w:t>SHR</w:t>
            </w:r>
          </w:p>
        </w:tc>
        <w:tc>
          <w:tcPr>
            <w:tcW w:w="4674" w:type="dxa"/>
            <w:gridSpan w:val="3"/>
          </w:tcPr>
          <w:p w:rsidR="00E16963" w:rsidRPr="00A65DD9" w:rsidRDefault="00E16963" w:rsidP="003A1069">
            <w:pPr>
              <w:jc w:val="center"/>
              <w:rPr>
                <w:b/>
              </w:rPr>
            </w:pPr>
            <w:r w:rsidRPr="00A65DD9">
              <w:rPr>
                <w:b/>
              </w:rPr>
              <w:t>PHY header</w:t>
            </w:r>
          </w:p>
        </w:tc>
        <w:tc>
          <w:tcPr>
            <w:tcW w:w="3111" w:type="dxa"/>
            <w:gridSpan w:val="2"/>
          </w:tcPr>
          <w:p w:rsidR="00E16963" w:rsidRDefault="00E16963" w:rsidP="003A1069">
            <w:pPr>
              <w:jc w:val="center"/>
            </w:pPr>
            <w:r w:rsidRPr="00A65DD9">
              <w:rPr>
                <w:b/>
              </w:rPr>
              <w:t>PSDU</w:t>
            </w:r>
          </w:p>
        </w:tc>
      </w:tr>
      <w:tr w:rsidR="00B92F44" w:rsidTr="00E16963">
        <w:tc>
          <w:tcPr>
            <w:tcW w:w="1565" w:type="dxa"/>
          </w:tcPr>
          <w:p w:rsidR="00B92F44" w:rsidRDefault="00B92F44" w:rsidP="003A1069">
            <w:pPr>
              <w:jc w:val="center"/>
            </w:pPr>
            <w:r>
              <w:t>Preamble</w:t>
            </w:r>
          </w:p>
        </w:tc>
        <w:tc>
          <w:tcPr>
            <w:tcW w:w="1536" w:type="dxa"/>
          </w:tcPr>
          <w:p w:rsidR="00B92F44" w:rsidRDefault="00B92F44" w:rsidP="003A1069">
            <w:pPr>
              <w:jc w:val="center"/>
            </w:pPr>
            <w:r>
              <w:t>Gap</w:t>
            </w:r>
          </w:p>
        </w:tc>
        <w:tc>
          <w:tcPr>
            <w:tcW w:w="1570" w:type="dxa"/>
          </w:tcPr>
          <w:p w:rsidR="00B92F44" w:rsidRDefault="00B92F44" w:rsidP="003A1069">
            <w:pPr>
              <w:jc w:val="center"/>
            </w:pPr>
            <w:r>
              <w:t>Frequency Labelling</w:t>
            </w:r>
          </w:p>
        </w:tc>
        <w:tc>
          <w:tcPr>
            <w:tcW w:w="1568" w:type="dxa"/>
          </w:tcPr>
          <w:p w:rsidR="00B92F44" w:rsidRDefault="00B92F44" w:rsidP="003A1069">
            <w:pPr>
              <w:jc w:val="center"/>
            </w:pPr>
            <w:r>
              <w:t>PIB Attributes</w:t>
            </w:r>
          </w:p>
        </w:tc>
        <w:tc>
          <w:tcPr>
            <w:tcW w:w="1557" w:type="dxa"/>
          </w:tcPr>
          <w:p w:rsidR="00B92F44" w:rsidRDefault="00B92F44" w:rsidP="003A1069">
            <w:pPr>
              <w:jc w:val="center"/>
            </w:pPr>
            <w:r>
              <w:t>PSDU</w:t>
            </w:r>
          </w:p>
        </w:tc>
        <w:tc>
          <w:tcPr>
            <w:tcW w:w="1554" w:type="dxa"/>
          </w:tcPr>
          <w:p w:rsidR="00B92F44" w:rsidRDefault="00B92F44" w:rsidP="003A1069">
            <w:pPr>
              <w:jc w:val="center"/>
            </w:pPr>
            <w:r>
              <w:t>End Symbol</w:t>
            </w:r>
          </w:p>
        </w:tc>
      </w:tr>
      <w:tr w:rsidR="00B92F44" w:rsidTr="00E16963">
        <w:tc>
          <w:tcPr>
            <w:tcW w:w="1565" w:type="dxa"/>
          </w:tcPr>
          <w:p w:rsidR="00B92F44" w:rsidRDefault="00B92F44" w:rsidP="003A1069">
            <w:pPr>
              <w:jc w:val="center"/>
            </w:pPr>
            <w:r>
              <w:t>symbol time: 1</w:t>
            </w:r>
          </w:p>
        </w:tc>
        <w:tc>
          <w:tcPr>
            <w:tcW w:w="1536" w:type="dxa"/>
          </w:tcPr>
          <w:p w:rsidR="00B92F44" w:rsidRDefault="00B92F44" w:rsidP="003A1069">
            <w:pPr>
              <w:jc w:val="center"/>
            </w:pPr>
            <w:r>
              <w:t>0/1</w:t>
            </w:r>
          </w:p>
        </w:tc>
        <w:tc>
          <w:tcPr>
            <w:tcW w:w="1570" w:type="dxa"/>
          </w:tcPr>
          <w:p w:rsidR="00B92F44" w:rsidRDefault="00B92F44" w:rsidP="003A1069">
            <w:pPr>
              <w:jc w:val="center"/>
            </w:pPr>
            <w:r>
              <w:t>0/1</w:t>
            </w:r>
          </w:p>
        </w:tc>
        <w:tc>
          <w:tcPr>
            <w:tcW w:w="1568" w:type="dxa"/>
          </w:tcPr>
          <w:p w:rsidR="00B92F44" w:rsidRDefault="00B92F44" w:rsidP="003A1069">
            <w:pPr>
              <w:jc w:val="center"/>
            </w:pPr>
            <w:r>
              <w:t>0/1</w:t>
            </w:r>
          </w:p>
        </w:tc>
        <w:tc>
          <w:tcPr>
            <w:tcW w:w="1557" w:type="dxa"/>
          </w:tcPr>
          <w:p w:rsidR="00B92F44" w:rsidRDefault="00B92F44" w:rsidP="003A1069">
            <w:pPr>
              <w:jc w:val="center"/>
            </w:pPr>
            <w:r>
              <w:t>variable</w:t>
            </w:r>
          </w:p>
        </w:tc>
        <w:tc>
          <w:tcPr>
            <w:tcW w:w="1554" w:type="dxa"/>
          </w:tcPr>
          <w:p w:rsidR="00B92F44" w:rsidRDefault="00B92F44" w:rsidP="003A1069">
            <w:pPr>
              <w:jc w:val="center"/>
            </w:pPr>
            <w:r>
              <w:t>1</w:t>
            </w:r>
          </w:p>
        </w:tc>
      </w:tr>
    </w:tbl>
    <w:p w:rsidR="00B92F44" w:rsidRDefault="00B92F44" w:rsidP="00B92F44">
      <w:r>
        <w:t>Symbol time=0 means the subfield is optional.</w:t>
      </w:r>
    </w:p>
    <w:p w:rsidR="00B92F44" w:rsidRDefault="00B92F44"/>
    <w:p w:rsidR="00970F6A" w:rsidRDefault="005A6601">
      <w:r>
        <w:t>Indeed t</w:t>
      </w:r>
      <w:r w:rsidR="00B92F44">
        <w:t xml:space="preserve">he PIB Attributes subfield that NTU introduced is a subfield of PHY header. </w:t>
      </w:r>
      <w:r w:rsidR="004D4B42">
        <w:t xml:space="preserve"> We recommend the </w:t>
      </w:r>
      <w:r w:rsidR="00680508">
        <w:t>contributor</w:t>
      </w:r>
      <w:r w:rsidR="004D4B42">
        <w:t xml:space="preserve"> to follow the existing format</w:t>
      </w:r>
      <w:r w:rsidR="00395837">
        <w:t xml:space="preserve"> from 802.15.7-2011 standard</w:t>
      </w:r>
      <w:r w:rsidR="004D4B42">
        <w:t xml:space="preserve"> to describe the subfields of PHY header.</w:t>
      </w:r>
    </w:p>
    <w:p w:rsidR="00B92F44" w:rsidRDefault="00B92F44" w:rsidP="00B92F44">
      <w:pPr>
        <w:jc w:val="center"/>
      </w:pPr>
      <w:r>
        <w:rPr>
          <w:noProof/>
        </w:rPr>
        <w:drawing>
          <wp:inline distT="0" distB="0" distL="0" distR="0" wp14:anchorId="266353D5" wp14:editId="105BD440">
            <wp:extent cx="4813540" cy="62534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4520" cy="637169"/>
                    </a:xfrm>
                    <a:prstGeom prst="rect">
                      <a:avLst/>
                    </a:prstGeom>
                  </pic:spPr>
                </pic:pic>
              </a:graphicData>
            </a:graphic>
          </wp:inline>
        </w:drawing>
      </w:r>
    </w:p>
    <w:p w:rsidR="00E02C3F" w:rsidRDefault="00E02C3F" w:rsidP="00B92F44">
      <w:pPr>
        <w:jc w:val="center"/>
      </w:pPr>
      <w:r>
        <w:t>(</w:t>
      </w:r>
      <w:proofErr w:type="gramStart"/>
      <w:r>
        <w:t>from</w:t>
      </w:r>
      <w:proofErr w:type="gramEnd"/>
      <w:r>
        <w:t xml:space="preserve"> IEEE 802.15.7-2011 specification)</w:t>
      </w:r>
    </w:p>
    <w:p w:rsidR="00087E32" w:rsidRDefault="00AB12FE" w:rsidP="00087E32">
      <w:pPr>
        <w:rPr>
          <w:color w:val="0070C0"/>
        </w:rPr>
      </w:pPr>
      <w:r>
        <w:rPr>
          <w:color w:val="0070C0"/>
        </w:rPr>
        <w:lastRenderedPageBreak/>
        <w:t>Comment</w:t>
      </w:r>
      <w:r w:rsidR="00087E32" w:rsidRPr="008F2B56">
        <w:rPr>
          <w:color w:val="0070C0"/>
        </w:rPr>
        <w:t xml:space="preserve"> </w:t>
      </w:r>
      <w:r w:rsidR="00087E32">
        <w:rPr>
          <w:color w:val="0070C0"/>
        </w:rPr>
        <w:t>10</w:t>
      </w:r>
      <w:r w:rsidR="00087E32" w:rsidRPr="008F2B56">
        <w:rPr>
          <w:color w:val="0070C0"/>
        </w:rPr>
        <w:t xml:space="preserve"> (</w:t>
      </w:r>
      <w:r w:rsidR="009E0823">
        <w:rPr>
          <w:color w:val="0070C0"/>
        </w:rPr>
        <w:t>on</w:t>
      </w:r>
      <w:r w:rsidR="009E0823" w:rsidRPr="008F2B56">
        <w:rPr>
          <w:color w:val="0070C0"/>
        </w:rPr>
        <w:t xml:space="preserve"> </w:t>
      </w:r>
      <w:r w:rsidR="00087E32" w:rsidRPr="008F2B56">
        <w:rPr>
          <w:color w:val="0070C0"/>
        </w:rPr>
        <w:t>doc 0189r2)</w:t>
      </w:r>
      <w:r w:rsidR="00087E32">
        <w:rPr>
          <w:color w:val="0070C0"/>
        </w:rPr>
        <w:t xml:space="preserve">: PHY header shall be sent at the lowest data rate among supported modes </w:t>
      </w:r>
      <w:proofErr w:type="gramStart"/>
      <w:r w:rsidR="00087E32">
        <w:rPr>
          <w:color w:val="0070C0"/>
        </w:rPr>
        <w:t>in</w:t>
      </w:r>
      <w:proofErr w:type="gramEnd"/>
      <w:r w:rsidR="00087E32">
        <w:rPr>
          <w:color w:val="0070C0"/>
        </w:rPr>
        <w:t xml:space="preserve"> PSDU</w:t>
      </w:r>
    </w:p>
    <w:p w:rsidR="00087E32" w:rsidRDefault="00087E32" w:rsidP="00087E32">
      <w:r>
        <w:t xml:space="preserve">This way is performed in 802.15.7-2011 specification. It means NTU support two modes (RS8-FSK and RS16-FSK) then the PHY header subfields shall be sent by using RS8-FSK. </w:t>
      </w:r>
    </w:p>
    <w:p w:rsidR="001D2B7A" w:rsidRDefault="001D2B7A">
      <w:pPr>
        <w:rPr>
          <w:b/>
          <w:sz w:val="12"/>
        </w:rPr>
      </w:pPr>
    </w:p>
    <w:p w:rsidR="00087E32" w:rsidRPr="00124914" w:rsidRDefault="00087E32">
      <w:pPr>
        <w:rPr>
          <w:b/>
          <w:sz w:val="12"/>
        </w:rPr>
      </w:pPr>
    </w:p>
    <w:p w:rsidR="00124914" w:rsidRDefault="00124914" w:rsidP="009143BA">
      <w:pPr>
        <w:pStyle w:val="ListParagraph"/>
        <w:numPr>
          <w:ilvl w:val="0"/>
          <w:numId w:val="3"/>
        </w:numPr>
        <w:rPr>
          <w:b/>
        </w:rPr>
      </w:pPr>
      <w:r>
        <w:rPr>
          <w:b/>
        </w:rPr>
        <w:t xml:space="preserve">Question on </w:t>
      </w:r>
      <w:proofErr w:type="spellStart"/>
      <w:r>
        <w:rPr>
          <w:b/>
        </w:rPr>
        <w:t>Superframe</w:t>
      </w:r>
      <w:proofErr w:type="spellEnd"/>
      <w:r>
        <w:rPr>
          <w:b/>
        </w:rPr>
        <w:t xml:space="preserve"> Structure</w:t>
      </w:r>
    </w:p>
    <w:p w:rsidR="00124914" w:rsidRDefault="00AB12FE" w:rsidP="00124914">
      <w:pPr>
        <w:rPr>
          <w:b/>
        </w:rPr>
      </w:pPr>
      <w:r>
        <w:rPr>
          <w:color w:val="0070C0"/>
        </w:rPr>
        <w:t>Comment</w:t>
      </w:r>
      <w:r w:rsidR="00B51AE4" w:rsidRPr="008F2B56">
        <w:rPr>
          <w:color w:val="0070C0"/>
        </w:rPr>
        <w:t xml:space="preserve"> </w:t>
      </w:r>
      <w:r w:rsidR="00B27F71">
        <w:rPr>
          <w:color w:val="0070C0"/>
        </w:rPr>
        <w:t>1</w:t>
      </w:r>
      <w:r w:rsidR="00BA7E0A">
        <w:rPr>
          <w:color w:val="0070C0"/>
        </w:rPr>
        <w:t>1</w:t>
      </w:r>
      <w:r w:rsidR="00B51AE4" w:rsidRPr="008F2B56">
        <w:rPr>
          <w:color w:val="0070C0"/>
        </w:rPr>
        <w:t xml:space="preserve"> (</w:t>
      </w:r>
      <w:r w:rsidR="009E0823">
        <w:rPr>
          <w:color w:val="0070C0"/>
        </w:rPr>
        <w:t>on</w:t>
      </w:r>
      <w:r w:rsidR="009E0823" w:rsidRPr="008F2B56">
        <w:rPr>
          <w:color w:val="0070C0"/>
        </w:rPr>
        <w:t xml:space="preserve"> </w:t>
      </w:r>
      <w:r w:rsidR="00B51AE4" w:rsidRPr="008F2B56">
        <w:rPr>
          <w:color w:val="0070C0"/>
        </w:rPr>
        <w:t>doc 0189r2</w:t>
      </w:r>
      <w:r w:rsidR="00B51AE4">
        <w:rPr>
          <w:color w:val="0070C0"/>
        </w:rPr>
        <w:t xml:space="preserve">): </w:t>
      </w:r>
      <w:proofErr w:type="spellStart"/>
      <w:r w:rsidR="00B51AE4">
        <w:rPr>
          <w:color w:val="0070C0"/>
        </w:rPr>
        <w:t>Superframe</w:t>
      </w:r>
      <w:proofErr w:type="spellEnd"/>
      <w:r w:rsidR="00B51AE4">
        <w:rPr>
          <w:color w:val="0070C0"/>
        </w:rPr>
        <w:t xml:space="preserve"> structure is co-existence to the IEEE 802.15.7-2011?</w:t>
      </w:r>
    </w:p>
    <w:p w:rsidR="00124914" w:rsidRDefault="00BD22BB" w:rsidP="00F77B57">
      <w:pPr>
        <w:jc w:val="center"/>
        <w:rPr>
          <w:b/>
        </w:rPr>
      </w:pPr>
      <w:r>
        <w:rPr>
          <w:noProof/>
        </w:rPr>
        <w:drawing>
          <wp:inline distT="0" distB="0" distL="0" distR="0" wp14:anchorId="49A0AEB1" wp14:editId="7C7EFAF1">
            <wp:extent cx="5305647" cy="100727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4194" cy="1014597"/>
                    </a:xfrm>
                    <a:prstGeom prst="rect">
                      <a:avLst/>
                    </a:prstGeom>
                  </pic:spPr>
                </pic:pic>
              </a:graphicData>
            </a:graphic>
          </wp:inline>
        </w:drawing>
      </w:r>
    </w:p>
    <w:p w:rsidR="000150E8" w:rsidRPr="00646DA5" w:rsidRDefault="000150E8" w:rsidP="000150E8">
      <w:pPr>
        <w:pStyle w:val="RefCaption"/>
        <w:rPr>
          <w:bCs/>
          <w:szCs w:val="24"/>
        </w:rPr>
      </w:pPr>
      <w:r>
        <w:t xml:space="preserve">Figure </w:t>
      </w:r>
      <w:fldSimple w:instr=" SEQ Figure \* ARABIC ">
        <w:r w:rsidR="005A6601">
          <w:rPr>
            <w:noProof/>
          </w:rPr>
          <w:t>1</w:t>
        </w:r>
      </w:fldSimple>
      <w:r>
        <w:rPr>
          <w:rFonts w:hint="eastAsia"/>
        </w:rPr>
        <w:t xml:space="preserve"> </w:t>
      </w:r>
      <w:r>
        <w:t>–</w:t>
      </w:r>
      <w:r w:rsidRPr="000150E8">
        <w:rPr>
          <w:rFonts w:hint="eastAsia"/>
        </w:rPr>
        <w:t xml:space="preserve"> </w:t>
      </w:r>
      <w:r>
        <w:t xml:space="preserve">NTU’s </w:t>
      </w:r>
      <w:proofErr w:type="spellStart"/>
      <w:r>
        <w:rPr>
          <w:rFonts w:hint="eastAsia"/>
        </w:rPr>
        <w:t>superframe</w:t>
      </w:r>
      <w:proofErr w:type="spellEnd"/>
      <w:r>
        <w:rPr>
          <w:rFonts w:hint="eastAsia"/>
        </w:rPr>
        <w:t xml:space="preserve"> structure</w:t>
      </w:r>
      <w:r w:rsidR="00B81EB7">
        <w:t xml:space="preserve"> </w:t>
      </w:r>
      <w:r w:rsidR="00B81EB7" w:rsidRPr="008F2B56">
        <w:rPr>
          <w:color w:val="0070C0"/>
        </w:rPr>
        <w:t>(doc 0189r2</w:t>
      </w:r>
      <w:r w:rsidR="00B81EB7">
        <w:rPr>
          <w:color w:val="0070C0"/>
        </w:rPr>
        <w:t>)</w:t>
      </w:r>
    </w:p>
    <w:p w:rsidR="000150E8" w:rsidRDefault="000150E8" w:rsidP="00124914">
      <w:pPr>
        <w:rPr>
          <w:b/>
        </w:rPr>
      </w:pPr>
    </w:p>
    <w:p w:rsidR="00CA2DE0" w:rsidRDefault="00A322D1" w:rsidP="00B2480B">
      <w:r>
        <w:t xml:space="preserve">According to existing 2011 specification, </w:t>
      </w:r>
      <w:r w:rsidR="00CA2DE0">
        <w:t xml:space="preserve">the first frame of a </w:t>
      </w:r>
      <w:proofErr w:type="spellStart"/>
      <w:r w:rsidR="00CA2DE0">
        <w:t>superframe</w:t>
      </w:r>
      <w:proofErr w:type="spellEnd"/>
      <w:r w:rsidR="00CA2DE0">
        <w:t xml:space="preserve"> is a beacon frame and </w:t>
      </w:r>
      <w:r w:rsidR="000150E8">
        <w:t>“</w:t>
      </w:r>
      <w:r w:rsidR="00B2480B" w:rsidRPr="00B2480B">
        <w:t xml:space="preserve">The beacons are used to synchronize the attached devices, to identify the VPAN, and to describe the structure of the </w:t>
      </w:r>
      <w:proofErr w:type="spellStart"/>
      <w:r w:rsidR="00B2480B" w:rsidRPr="00B2480B">
        <w:t>superframes</w:t>
      </w:r>
      <w:proofErr w:type="spellEnd"/>
      <w:r w:rsidR="005A6601">
        <w:rPr>
          <w:noProof/>
        </w:rPr>
        <w:t>.”</w:t>
      </w:r>
      <w:r w:rsidR="000150E8">
        <w:t xml:space="preserve"> </w:t>
      </w:r>
    </w:p>
    <w:p w:rsidR="00B2480B" w:rsidRPr="00B2480B" w:rsidRDefault="00A322D1" w:rsidP="00B2480B">
      <w:r>
        <w:t xml:space="preserve">I think it would be nice if Kookmin and NTU can </w:t>
      </w:r>
      <w:r w:rsidR="00CB6A1A">
        <w:t>collaborate to</w:t>
      </w:r>
      <w:r>
        <w:t xml:space="preserve"> generate a complete </w:t>
      </w:r>
      <w:proofErr w:type="spellStart"/>
      <w:r>
        <w:t>superframe</w:t>
      </w:r>
      <w:proofErr w:type="spellEnd"/>
      <w:r>
        <w:t xml:space="preserve"> structure.</w:t>
      </w: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Default="00124914" w:rsidP="00124914">
      <w:pPr>
        <w:rPr>
          <w:b/>
        </w:rPr>
      </w:pPr>
    </w:p>
    <w:p w:rsidR="00124914" w:rsidRPr="00124914" w:rsidRDefault="00124914" w:rsidP="00124914">
      <w:pPr>
        <w:rPr>
          <w:b/>
        </w:rPr>
      </w:pPr>
    </w:p>
    <w:p w:rsidR="008F2B56" w:rsidRPr="009143BA" w:rsidRDefault="008F2B56" w:rsidP="009143BA">
      <w:pPr>
        <w:pStyle w:val="ListParagraph"/>
        <w:numPr>
          <w:ilvl w:val="0"/>
          <w:numId w:val="3"/>
        </w:numPr>
        <w:rPr>
          <w:b/>
        </w:rPr>
      </w:pPr>
      <w:r w:rsidRPr="009143BA">
        <w:rPr>
          <w:b/>
        </w:rPr>
        <w:t xml:space="preserve">Questions on </w:t>
      </w:r>
      <w:r w:rsidR="00C66168" w:rsidRPr="009143BA">
        <w:rPr>
          <w:b/>
        </w:rPr>
        <w:t>MAC frame format</w:t>
      </w:r>
    </w:p>
    <w:p w:rsidR="00592076" w:rsidRDefault="00AB12FE">
      <w:r>
        <w:rPr>
          <w:color w:val="0070C0"/>
        </w:rPr>
        <w:t xml:space="preserve">Comment </w:t>
      </w:r>
      <w:r w:rsidR="00592076">
        <w:rPr>
          <w:color w:val="0070C0"/>
        </w:rPr>
        <w:t>1</w:t>
      </w:r>
      <w:r w:rsidR="00BA7E0A">
        <w:rPr>
          <w:color w:val="0070C0"/>
        </w:rPr>
        <w:t>2</w:t>
      </w:r>
      <w:r w:rsidR="00592076" w:rsidRPr="008F2B56">
        <w:rPr>
          <w:color w:val="0070C0"/>
        </w:rPr>
        <w:t xml:space="preserve"> (</w:t>
      </w:r>
      <w:r w:rsidR="009E0823">
        <w:rPr>
          <w:color w:val="0070C0"/>
        </w:rPr>
        <w:t xml:space="preserve">on </w:t>
      </w:r>
      <w:r w:rsidR="00592076" w:rsidRPr="008F2B56">
        <w:rPr>
          <w:color w:val="0070C0"/>
        </w:rPr>
        <w:t>doc 0189r2</w:t>
      </w:r>
      <w:r w:rsidR="00592076">
        <w:rPr>
          <w:color w:val="0070C0"/>
        </w:rPr>
        <w:t>): Too much overhead on MAC frame format</w:t>
      </w:r>
    </w:p>
    <w:p w:rsidR="008F2B56" w:rsidRDefault="00FA397E">
      <w:r>
        <w:t>The NTU’s general MAC frame is formatted as follow:</w:t>
      </w:r>
    </w:p>
    <w:p w:rsidR="00FA397E" w:rsidRDefault="00FA397E" w:rsidP="00CB6A1A">
      <w:pPr>
        <w:jc w:val="center"/>
      </w:pPr>
      <w:r>
        <w:rPr>
          <w:noProof/>
        </w:rPr>
        <w:drawing>
          <wp:inline distT="0" distB="0" distL="0" distR="0" wp14:anchorId="1FB3CB7C" wp14:editId="4F92081F">
            <wp:extent cx="5329348" cy="1936650"/>
            <wp:effectExtent l="0" t="0" r="0" b="0"/>
            <wp:docPr id="2558" name="mac frame form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 name="mac frame format.emf"/>
                    <pic:cNvPicPr/>
                  </pic:nvPicPr>
                  <pic:blipFill rotWithShape="1">
                    <a:blip r:embed="rId14" cstate="print">
                      <a:extLst>
                        <a:ext uri="{28A0092B-C50C-407E-A947-70E740481C1C}">
                          <a14:useLocalDpi xmlns:a14="http://schemas.microsoft.com/office/drawing/2010/main" val="0"/>
                        </a:ext>
                      </a:extLst>
                    </a:blip>
                    <a:srcRect l="10100" r="9903"/>
                    <a:stretch/>
                  </pic:blipFill>
                  <pic:spPr bwMode="auto">
                    <a:xfrm>
                      <a:off x="0" y="0"/>
                      <a:ext cx="5357061" cy="1946721"/>
                    </a:xfrm>
                    <a:prstGeom prst="rect">
                      <a:avLst/>
                    </a:prstGeom>
                    <a:ln>
                      <a:noFill/>
                    </a:ln>
                    <a:extLst>
                      <a:ext uri="{53640926-AAD7-44D8-BBD7-CCE9431645EC}">
                        <a14:shadowObscured xmlns:a14="http://schemas.microsoft.com/office/drawing/2010/main"/>
                      </a:ext>
                    </a:extLst>
                  </pic:spPr>
                </pic:pic>
              </a:graphicData>
            </a:graphic>
          </wp:inline>
        </w:drawing>
      </w:r>
    </w:p>
    <w:p w:rsidR="00FA397E" w:rsidRPr="0045787C" w:rsidRDefault="00FA397E" w:rsidP="00FA397E">
      <w:pPr>
        <w:pStyle w:val="RefCaption"/>
        <w:rPr>
          <w:b w:val="0"/>
        </w:rPr>
      </w:pPr>
      <w:r>
        <w:t xml:space="preserve">Figure </w:t>
      </w:r>
      <w:fldSimple w:instr=" SEQ Figure \* ARABIC ">
        <w:r w:rsidR="005A6601">
          <w:rPr>
            <w:noProof/>
          </w:rPr>
          <w:t>2</w:t>
        </w:r>
      </w:fldSimple>
      <w:r>
        <w:rPr>
          <w:rFonts w:hint="eastAsia"/>
        </w:rPr>
        <w:t xml:space="preserve"> - General MAC frame format</w:t>
      </w:r>
      <w:r w:rsidR="00904DBD">
        <w:t xml:space="preserve"> </w:t>
      </w:r>
      <w:r w:rsidR="00904DBD" w:rsidRPr="004D40AE">
        <w:t>(doc 0189r2</w:t>
      </w:r>
      <w:r w:rsidR="004D40AE" w:rsidRPr="004D40AE">
        <w:t>)</w:t>
      </w:r>
    </w:p>
    <w:p w:rsidR="00FA397E" w:rsidRDefault="00592076">
      <w:r>
        <w:t>With tens of bps data rate</w:t>
      </w:r>
      <w:r w:rsidR="00701F6A">
        <w:t xml:space="preserve"> (or less than 200bps)</w:t>
      </w:r>
      <w:r>
        <w:t xml:space="preserve">, the mandatory of </w:t>
      </w:r>
      <w:r w:rsidR="005A6601">
        <w:t>one</w:t>
      </w:r>
      <w:r>
        <w:t xml:space="preserve"> octet for Frame Control field and </w:t>
      </w:r>
      <w:r w:rsidR="005A6601">
        <w:rPr>
          <w:noProof/>
        </w:rPr>
        <w:t>one</w:t>
      </w:r>
      <w:r>
        <w:t xml:space="preserve"> octet for sequence number is too much overhead for </w:t>
      </w:r>
      <w:r w:rsidR="00701F6A">
        <w:t xml:space="preserve">MAC of </w:t>
      </w:r>
      <w:r>
        <w:t>M-FSK modes.</w:t>
      </w:r>
    </w:p>
    <w:p w:rsidR="00592076" w:rsidRDefault="00FE217A">
      <w:r>
        <w:t xml:space="preserve">Kookmin MAC frame format has 6 bits overhead. </w:t>
      </w:r>
      <w:r w:rsidR="00701F6A">
        <w:t xml:space="preserve">Also, our MAC is designed to be compatible with existing MAC. </w:t>
      </w:r>
      <w:r>
        <w:t xml:space="preserve">Let us discuss the common and efficient format for MAC frame. </w:t>
      </w:r>
    </w:p>
    <w:p w:rsidR="00FE217A" w:rsidRDefault="00AB12FE">
      <w:pPr>
        <w:rPr>
          <w:color w:val="0070C0"/>
        </w:rPr>
      </w:pPr>
      <w:r>
        <w:rPr>
          <w:color w:val="0070C0"/>
        </w:rPr>
        <w:t>Comment</w:t>
      </w:r>
      <w:r w:rsidR="00FE217A" w:rsidRPr="008F2B56">
        <w:rPr>
          <w:color w:val="0070C0"/>
        </w:rPr>
        <w:t xml:space="preserve"> </w:t>
      </w:r>
      <w:r w:rsidR="00FE217A">
        <w:rPr>
          <w:color w:val="0070C0"/>
        </w:rPr>
        <w:t>1</w:t>
      </w:r>
      <w:r w:rsidR="00BA7E0A">
        <w:rPr>
          <w:color w:val="0070C0"/>
        </w:rPr>
        <w:t>3</w:t>
      </w:r>
      <w:r w:rsidR="00FE217A" w:rsidRPr="008F2B56">
        <w:rPr>
          <w:color w:val="0070C0"/>
        </w:rPr>
        <w:t xml:space="preserve"> (</w:t>
      </w:r>
      <w:r w:rsidR="009E0823">
        <w:rPr>
          <w:color w:val="0070C0"/>
        </w:rPr>
        <w:t>on</w:t>
      </w:r>
      <w:r w:rsidR="009E0823" w:rsidRPr="008F2B56">
        <w:rPr>
          <w:color w:val="0070C0"/>
        </w:rPr>
        <w:t xml:space="preserve"> </w:t>
      </w:r>
      <w:r w:rsidR="00FE217A" w:rsidRPr="008F2B56">
        <w:rPr>
          <w:color w:val="0070C0"/>
        </w:rPr>
        <w:t>doc 0189r2</w:t>
      </w:r>
      <w:r w:rsidR="00FE217A">
        <w:rPr>
          <w:color w:val="0070C0"/>
        </w:rPr>
        <w:t xml:space="preserve">): </w:t>
      </w:r>
      <w:r w:rsidR="006C228F">
        <w:rPr>
          <w:color w:val="0070C0"/>
        </w:rPr>
        <w:t>Frame type subfield is incompatible with existing IEEE 802.15.7-2011 frame type subfield.</w:t>
      </w:r>
    </w:p>
    <w:p w:rsidR="0067467F" w:rsidRDefault="0067467F">
      <w:pPr>
        <w:rPr>
          <w:color w:val="0070C0"/>
        </w:rPr>
      </w:pPr>
      <w:r>
        <w:t>The frame type subfield is mandatory. Therefore, please consider the compatibility with the frame type subfield of IEEE 802.15.7-2011.</w:t>
      </w:r>
    </w:p>
    <w:tbl>
      <w:tblPr>
        <w:tblStyle w:val="TableGrid"/>
        <w:tblW w:w="0" w:type="auto"/>
        <w:tblLook w:val="04A0" w:firstRow="1" w:lastRow="0" w:firstColumn="1" w:lastColumn="0" w:noHBand="0" w:noVBand="1"/>
      </w:tblPr>
      <w:tblGrid>
        <w:gridCol w:w="4657"/>
        <w:gridCol w:w="4693"/>
      </w:tblGrid>
      <w:tr w:rsidR="00ED663C" w:rsidTr="00ED663C">
        <w:trPr>
          <w:trHeight w:val="476"/>
        </w:trPr>
        <w:tc>
          <w:tcPr>
            <w:tcW w:w="4788" w:type="dxa"/>
          </w:tcPr>
          <w:p w:rsidR="00ED663C" w:rsidRPr="00ED663C" w:rsidRDefault="00ED663C" w:rsidP="00ED663C">
            <w:pPr>
              <w:jc w:val="center"/>
              <w:rPr>
                <w:b/>
              </w:rPr>
            </w:pPr>
            <w:r w:rsidRPr="00ED663C">
              <w:rPr>
                <w:b/>
              </w:rPr>
              <w:t>IEEE 802.15.7-2011 frame type subfield</w:t>
            </w:r>
          </w:p>
        </w:tc>
        <w:tc>
          <w:tcPr>
            <w:tcW w:w="4788" w:type="dxa"/>
          </w:tcPr>
          <w:p w:rsidR="00ED663C" w:rsidRPr="00ED663C" w:rsidRDefault="00ED663C" w:rsidP="00ED663C">
            <w:pPr>
              <w:jc w:val="center"/>
              <w:rPr>
                <w:b/>
              </w:rPr>
            </w:pPr>
            <w:r w:rsidRPr="00ED663C">
              <w:rPr>
                <w:b/>
              </w:rPr>
              <w:t>NTU frame type subfield</w:t>
            </w:r>
          </w:p>
        </w:tc>
      </w:tr>
      <w:tr w:rsidR="00ED663C" w:rsidTr="00ED663C">
        <w:tc>
          <w:tcPr>
            <w:tcW w:w="4788" w:type="dxa"/>
          </w:tcPr>
          <w:p w:rsidR="00ED663C" w:rsidRDefault="0067467F" w:rsidP="0067467F">
            <w:pPr>
              <w:jc w:val="center"/>
            </w:pPr>
            <w:r>
              <w:rPr>
                <w:noProof/>
              </w:rPr>
              <w:drawing>
                <wp:inline distT="0" distB="0" distL="0" distR="0" wp14:anchorId="01A8B50A" wp14:editId="12F4F54C">
                  <wp:extent cx="2086950" cy="1562668"/>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4248" cy="1583108"/>
                          </a:xfrm>
                          <a:prstGeom prst="rect">
                            <a:avLst/>
                          </a:prstGeom>
                        </pic:spPr>
                      </pic:pic>
                    </a:graphicData>
                  </a:graphic>
                </wp:inline>
              </w:drawing>
            </w:r>
          </w:p>
        </w:tc>
        <w:tc>
          <w:tcPr>
            <w:tcW w:w="4788" w:type="dxa"/>
          </w:tcPr>
          <w:p w:rsidR="00ED663C" w:rsidRDefault="00ED663C" w:rsidP="0067467F">
            <w:pPr>
              <w:jc w:val="center"/>
            </w:pPr>
            <w:r>
              <w:rPr>
                <w:noProof/>
              </w:rPr>
              <w:drawing>
                <wp:inline distT="0" distB="0" distL="0" distR="0" wp14:anchorId="6F976B12" wp14:editId="0FEF4F7D">
                  <wp:extent cx="2313970" cy="140371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2801" cy="1421199"/>
                          </a:xfrm>
                          <a:prstGeom prst="rect">
                            <a:avLst/>
                          </a:prstGeom>
                        </pic:spPr>
                      </pic:pic>
                    </a:graphicData>
                  </a:graphic>
                </wp:inline>
              </w:drawing>
            </w:r>
          </w:p>
        </w:tc>
      </w:tr>
    </w:tbl>
    <w:p w:rsidR="006C228F" w:rsidRDefault="006C228F"/>
    <w:p w:rsidR="00A007C4" w:rsidRDefault="00A007C4"/>
    <w:sectPr w:rsidR="00A007C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1B" w:rsidRDefault="0099771B" w:rsidP="00AC5D80">
      <w:pPr>
        <w:spacing w:after="0" w:line="240" w:lineRule="auto"/>
      </w:pPr>
      <w:r>
        <w:separator/>
      </w:r>
    </w:p>
  </w:endnote>
  <w:endnote w:type="continuationSeparator" w:id="0">
    <w:p w:rsidR="0099771B" w:rsidRDefault="0099771B" w:rsidP="00A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AC5D80" w:rsidP="00AC5D80">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rsidR="00AC5D80" w:rsidRDefault="00AC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1B" w:rsidRDefault="0099771B" w:rsidP="00AC5D80">
      <w:pPr>
        <w:spacing w:after="0" w:line="240" w:lineRule="auto"/>
      </w:pPr>
      <w:r>
        <w:separator/>
      </w:r>
    </w:p>
  </w:footnote>
  <w:footnote w:type="continuationSeparator" w:id="0">
    <w:p w:rsidR="0099771B" w:rsidRDefault="0099771B" w:rsidP="00AC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80" w:rsidRDefault="0054372D" w:rsidP="00AC5D80">
    <w:pPr>
      <w:pStyle w:val="Header"/>
      <w:widowControl w:val="0"/>
      <w:pBdr>
        <w:bottom w:val="single" w:sz="6" w:space="0" w:color="auto"/>
        <w:between w:val="single" w:sz="6" w:space="0" w:color="auto"/>
      </w:pBdr>
      <w:tabs>
        <w:tab w:val="right" w:pos="9270"/>
      </w:tabs>
      <w:spacing w:after="360"/>
      <w:jc w:val="right"/>
    </w:pPr>
    <w:r>
      <w:rPr>
        <w:b/>
        <w:sz w:val="28"/>
      </w:rPr>
      <w:t>October</w:t>
    </w:r>
    <w:r w:rsidR="00AC5D80" w:rsidRPr="009C47F1">
      <w:rPr>
        <w:b/>
        <w:sz w:val="28"/>
      </w:rPr>
      <w:t xml:space="preserve"> 2016</w:t>
    </w:r>
    <w:r w:rsidR="00AC5D80" w:rsidRPr="009C47F1">
      <w:rPr>
        <w:b/>
        <w:sz w:val="28"/>
      </w:rPr>
      <w:tab/>
    </w:r>
    <w:r w:rsidR="00AC5D80" w:rsidRPr="009C47F1">
      <w:rPr>
        <w:b/>
        <w:sz w:val="28"/>
      </w:rPr>
      <w:tab/>
      <w:t xml:space="preserve"> IEEE P802.15-16-</w:t>
    </w:r>
    <w:r w:rsidR="007128DA" w:rsidRPr="007128DA">
      <w:rPr>
        <w:b/>
        <w:sz w:val="28"/>
      </w:rPr>
      <w:t xml:space="preserve"> 0742</w:t>
    </w:r>
    <w:r w:rsidR="007128DA" w:rsidRPr="009C47F1">
      <w:rPr>
        <w:b/>
        <w:sz w:val="28"/>
      </w:rPr>
      <w:t xml:space="preserve"> </w:t>
    </w:r>
    <w:r w:rsidR="00AC5D80" w:rsidRPr="009C47F1">
      <w:rPr>
        <w:b/>
        <w:sz w:val="28"/>
      </w:rPr>
      <w:t>-00-007a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E236F"/>
    <w:multiLevelType w:val="hybridMultilevel"/>
    <w:tmpl w:val="4A3C6208"/>
    <w:lvl w:ilvl="0" w:tplc="53FC7DFE">
      <w:start w:val="1"/>
      <w:numFmt w:val="bullet"/>
      <w:lvlText w:val="–"/>
      <w:lvlJc w:val="left"/>
      <w:pPr>
        <w:tabs>
          <w:tab w:val="num" w:pos="720"/>
        </w:tabs>
        <w:ind w:left="720" w:hanging="360"/>
      </w:pPr>
      <w:rPr>
        <w:rFonts w:ascii="Times New Roman" w:hAnsi="Times New Roman" w:hint="default"/>
      </w:rPr>
    </w:lvl>
    <w:lvl w:ilvl="1" w:tplc="1E5892FE">
      <w:start w:val="1"/>
      <w:numFmt w:val="bullet"/>
      <w:lvlText w:val="–"/>
      <w:lvlJc w:val="left"/>
      <w:pPr>
        <w:tabs>
          <w:tab w:val="num" w:pos="1440"/>
        </w:tabs>
        <w:ind w:left="1440" w:hanging="360"/>
      </w:pPr>
      <w:rPr>
        <w:rFonts w:ascii="Times New Roman" w:hAnsi="Times New Roman" w:hint="default"/>
      </w:rPr>
    </w:lvl>
    <w:lvl w:ilvl="2" w:tplc="7EC82D06" w:tentative="1">
      <w:start w:val="1"/>
      <w:numFmt w:val="bullet"/>
      <w:lvlText w:val="–"/>
      <w:lvlJc w:val="left"/>
      <w:pPr>
        <w:tabs>
          <w:tab w:val="num" w:pos="2160"/>
        </w:tabs>
        <w:ind w:left="2160" w:hanging="360"/>
      </w:pPr>
      <w:rPr>
        <w:rFonts w:ascii="Times New Roman" w:hAnsi="Times New Roman" w:hint="default"/>
      </w:rPr>
    </w:lvl>
    <w:lvl w:ilvl="3" w:tplc="8D0ED1D0" w:tentative="1">
      <w:start w:val="1"/>
      <w:numFmt w:val="bullet"/>
      <w:lvlText w:val="–"/>
      <w:lvlJc w:val="left"/>
      <w:pPr>
        <w:tabs>
          <w:tab w:val="num" w:pos="2880"/>
        </w:tabs>
        <w:ind w:left="2880" w:hanging="360"/>
      </w:pPr>
      <w:rPr>
        <w:rFonts w:ascii="Times New Roman" w:hAnsi="Times New Roman" w:hint="default"/>
      </w:rPr>
    </w:lvl>
    <w:lvl w:ilvl="4" w:tplc="9200B866" w:tentative="1">
      <w:start w:val="1"/>
      <w:numFmt w:val="bullet"/>
      <w:lvlText w:val="–"/>
      <w:lvlJc w:val="left"/>
      <w:pPr>
        <w:tabs>
          <w:tab w:val="num" w:pos="3600"/>
        </w:tabs>
        <w:ind w:left="3600" w:hanging="360"/>
      </w:pPr>
      <w:rPr>
        <w:rFonts w:ascii="Times New Roman" w:hAnsi="Times New Roman" w:hint="default"/>
      </w:rPr>
    </w:lvl>
    <w:lvl w:ilvl="5" w:tplc="C4B4C51E" w:tentative="1">
      <w:start w:val="1"/>
      <w:numFmt w:val="bullet"/>
      <w:lvlText w:val="–"/>
      <w:lvlJc w:val="left"/>
      <w:pPr>
        <w:tabs>
          <w:tab w:val="num" w:pos="4320"/>
        </w:tabs>
        <w:ind w:left="4320" w:hanging="360"/>
      </w:pPr>
      <w:rPr>
        <w:rFonts w:ascii="Times New Roman" w:hAnsi="Times New Roman" w:hint="default"/>
      </w:rPr>
    </w:lvl>
    <w:lvl w:ilvl="6" w:tplc="9D18409E" w:tentative="1">
      <w:start w:val="1"/>
      <w:numFmt w:val="bullet"/>
      <w:lvlText w:val="–"/>
      <w:lvlJc w:val="left"/>
      <w:pPr>
        <w:tabs>
          <w:tab w:val="num" w:pos="5040"/>
        </w:tabs>
        <w:ind w:left="5040" w:hanging="360"/>
      </w:pPr>
      <w:rPr>
        <w:rFonts w:ascii="Times New Roman" w:hAnsi="Times New Roman" w:hint="default"/>
      </w:rPr>
    </w:lvl>
    <w:lvl w:ilvl="7" w:tplc="8234AC9E" w:tentative="1">
      <w:start w:val="1"/>
      <w:numFmt w:val="bullet"/>
      <w:lvlText w:val="–"/>
      <w:lvlJc w:val="left"/>
      <w:pPr>
        <w:tabs>
          <w:tab w:val="num" w:pos="5760"/>
        </w:tabs>
        <w:ind w:left="5760" w:hanging="360"/>
      </w:pPr>
      <w:rPr>
        <w:rFonts w:ascii="Times New Roman" w:hAnsi="Times New Roman" w:hint="default"/>
      </w:rPr>
    </w:lvl>
    <w:lvl w:ilvl="8" w:tplc="DF58BE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46200DE"/>
    <w:multiLevelType w:val="hybridMultilevel"/>
    <w:tmpl w:val="4E8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451BD"/>
    <w:multiLevelType w:val="hybridMultilevel"/>
    <w:tmpl w:val="86C80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LcwMTQ0MDSzMDRQ0lEKTi0uzszPAykwtKgFAGabotgtAAAA"/>
  </w:docVars>
  <w:rsids>
    <w:rsidRoot w:val="004434D1"/>
    <w:rsid w:val="000150E8"/>
    <w:rsid w:val="00017D41"/>
    <w:rsid w:val="000333A4"/>
    <w:rsid w:val="00084F32"/>
    <w:rsid w:val="00087E32"/>
    <w:rsid w:val="000B3CAA"/>
    <w:rsid w:val="000E7858"/>
    <w:rsid w:val="00120042"/>
    <w:rsid w:val="00124914"/>
    <w:rsid w:val="00132F20"/>
    <w:rsid w:val="001461C3"/>
    <w:rsid w:val="00150633"/>
    <w:rsid w:val="0017756E"/>
    <w:rsid w:val="00186048"/>
    <w:rsid w:val="001A212A"/>
    <w:rsid w:val="001C61A0"/>
    <w:rsid w:val="001D2878"/>
    <w:rsid w:val="001D2B7A"/>
    <w:rsid w:val="002052BA"/>
    <w:rsid w:val="00216BF9"/>
    <w:rsid w:val="00233262"/>
    <w:rsid w:val="0028115A"/>
    <w:rsid w:val="0028590D"/>
    <w:rsid w:val="002D3177"/>
    <w:rsid w:val="002E413B"/>
    <w:rsid w:val="002F22A8"/>
    <w:rsid w:val="00325BD5"/>
    <w:rsid w:val="00326603"/>
    <w:rsid w:val="00326986"/>
    <w:rsid w:val="003308C5"/>
    <w:rsid w:val="00332A93"/>
    <w:rsid w:val="00351E1B"/>
    <w:rsid w:val="003804BD"/>
    <w:rsid w:val="00395837"/>
    <w:rsid w:val="003B3671"/>
    <w:rsid w:val="003C221F"/>
    <w:rsid w:val="003D0D3C"/>
    <w:rsid w:val="003E52EA"/>
    <w:rsid w:val="003E7501"/>
    <w:rsid w:val="004259CF"/>
    <w:rsid w:val="00430912"/>
    <w:rsid w:val="00440763"/>
    <w:rsid w:val="004434D1"/>
    <w:rsid w:val="00456C65"/>
    <w:rsid w:val="0046051F"/>
    <w:rsid w:val="004765AB"/>
    <w:rsid w:val="00483013"/>
    <w:rsid w:val="00496539"/>
    <w:rsid w:val="0049767A"/>
    <w:rsid w:val="004D40AE"/>
    <w:rsid w:val="004D4B42"/>
    <w:rsid w:val="00521E7C"/>
    <w:rsid w:val="00537820"/>
    <w:rsid w:val="0054372D"/>
    <w:rsid w:val="005607CF"/>
    <w:rsid w:val="005742A9"/>
    <w:rsid w:val="00582229"/>
    <w:rsid w:val="00583FD6"/>
    <w:rsid w:val="00592076"/>
    <w:rsid w:val="00597605"/>
    <w:rsid w:val="005A6601"/>
    <w:rsid w:val="005B50C9"/>
    <w:rsid w:val="005E43E9"/>
    <w:rsid w:val="00624FEF"/>
    <w:rsid w:val="00650FE2"/>
    <w:rsid w:val="0066664D"/>
    <w:rsid w:val="0067467F"/>
    <w:rsid w:val="00680508"/>
    <w:rsid w:val="00684423"/>
    <w:rsid w:val="006870DA"/>
    <w:rsid w:val="006A7306"/>
    <w:rsid w:val="006B3BCF"/>
    <w:rsid w:val="006C228F"/>
    <w:rsid w:val="006C6CEE"/>
    <w:rsid w:val="006D048A"/>
    <w:rsid w:val="00701F6A"/>
    <w:rsid w:val="007128DA"/>
    <w:rsid w:val="00715883"/>
    <w:rsid w:val="0073462A"/>
    <w:rsid w:val="0075203F"/>
    <w:rsid w:val="007776F8"/>
    <w:rsid w:val="007966F0"/>
    <w:rsid w:val="007A1DE7"/>
    <w:rsid w:val="007C0F64"/>
    <w:rsid w:val="007C3CFB"/>
    <w:rsid w:val="007F6FEC"/>
    <w:rsid w:val="00800D8B"/>
    <w:rsid w:val="00823898"/>
    <w:rsid w:val="0084507C"/>
    <w:rsid w:val="008526EE"/>
    <w:rsid w:val="00874844"/>
    <w:rsid w:val="008763B2"/>
    <w:rsid w:val="00881383"/>
    <w:rsid w:val="00891B5D"/>
    <w:rsid w:val="008A0940"/>
    <w:rsid w:val="008A2FB7"/>
    <w:rsid w:val="008A4D70"/>
    <w:rsid w:val="008F10BF"/>
    <w:rsid w:val="008F2B56"/>
    <w:rsid w:val="008F7992"/>
    <w:rsid w:val="00904DBD"/>
    <w:rsid w:val="0091342F"/>
    <w:rsid w:val="0091377A"/>
    <w:rsid w:val="009143BA"/>
    <w:rsid w:val="00917DBB"/>
    <w:rsid w:val="009276B9"/>
    <w:rsid w:val="00947B4B"/>
    <w:rsid w:val="00950BED"/>
    <w:rsid w:val="009556FE"/>
    <w:rsid w:val="00970F6A"/>
    <w:rsid w:val="00971BF4"/>
    <w:rsid w:val="00975003"/>
    <w:rsid w:val="00984CE7"/>
    <w:rsid w:val="009850CD"/>
    <w:rsid w:val="009946A6"/>
    <w:rsid w:val="0099771B"/>
    <w:rsid w:val="00997D1C"/>
    <w:rsid w:val="009A2995"/>
    <w:rsid w:val="009C3638"/>
    <w:rsid w:val="009C5B79"/>
    <w:rsid w:val="009E0823"/>
    <w:rsid w:val="009E10EB"/>
    <w:rsid w:val="009E44BF"/>
    <w:rsid w:val="009F0732"/>
    <w:rsid w:val="00A007C4"/>
    <w:rsid w:val="00A322D1"/>
    <w:rsid w:val="00A35A44"/>
    <w:rsid w:val="00A41E6B"/>
    <w:rsid w:val="00A515D4"/>
    <w:rsid w:val="00A533AF"/>
    <w:rsid w:val="00A65DD9"/>
    <w:rsid w:val="00A7045E"/>
    <w:rsid w:val="00A813DB"/>
    <w:rsid w:val="00A9275D"/>
    <w:rsid w:val="00AA0960"/>
    <w:rsid w:val="00AB0238"/>
    <w:rsid w:val="00AB12FE"/>
    <w:rsid w:val="00AB4998"/>
    <w:rsid w:val="00AB63AE"/>
    <w:rsid w:val="00AC5D80"/>
    <w:rsid w:val="00AD5E91"/>
    <w:rsid w:val="00AE24A2"/>
    <w:rsid w:val="00AE7A4B"/>
    <w:rsid w:val="00B2480B"/>
    <w:rsid w:val="00B262C0"/>
    <w:rsid w:val="00B27F71"/>
    <w:rsid w:val="00B313D9"/>
    <w:rsid w:val="00B51AE4"/>
    <w:rsid w:val="00B657DF"/>
    <w:rsid w:val="00B76198"/>
    <w:rsid w:val="00B81EB7"/>
    <w:rsid w:val="00B82C36"/>
    <w:rsid w:val="00B92F44"/>
    <w:rsid w:val="00BA7E0A"/>
    <w:rsid w:val="00BC43EB"/>
    <w:rsid w:val="00BC47AF"/>
    <w:rsid w:val="00BC5475"/>
    <w:rsid w:val="00BD22BB"/>
    <w:rsid w:val="00C220DA"/>
    <w:rsid w:val="00C24B7B"/>
    <w:rsid w:val="00C30697"/>
    <w:rsid w:val="00C31751"/>
    <w:rsid w:val="00C66168"/>
    <w:rsid w:val="00C74D46"/>
    <w:rsid w:val="00CA2DE0"/>
    <w:rsid w:val="00CB5962"/>
    <w:rsid w:val="00CB6A1A"/>
    <w:rsid w:val="00CC4D28"/>
    <w:rsid w:val="00CD6AFA"/>
    <w:rsid w:val="00D0344C"/>
    <w:rsid w:val="00D03638"/>
    <w:rsid w:val="00D61732"/>
    <w:rsid w:val="00D6623E"/>
    <w:rsid w:val="00D73DC2"/>
    <w:rsid w:val="00E02191"/>
    <w:rsid w:val="00E02C3F"/>
    <w:rsid w:val="00E05723"/>
    <w:rsid w:val="00E16963"/>
    <w:rsid w:val="00E37FB5"/>
    <w:rsid w:val="00E41487"/>
    <w:rsid w:val="00E41C5E"/>
    <w:rsid w:val="00E42B96"/>
    <w:rsid w:val="00E94516"/>
    <w:rsid w:val="00E95DBF"/>
    <w:rsid w:val="00EB0298"/>
    <w:rsid w:val="00ED01D2"/>
    <w:rsid w:val="00ED663C"/>
    <w:rsid w:val="00EF2B14"/>
    <w:rsid w:val="00F77B57"/>
    <w:rsid w:val="00FA397E"/>
    <w:rsid w:val="00FE217A"/>
    <w:rsid w:val="00FF08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B2842-4992-4CAD-B75B-5FA3261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D8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F8"/>
    <w:pPr>
      <w:ind w:left="720"/>
      <w:contextualSpacing/>
    </w:pPr>
  </w:style>
  <w:style w:type="table" w:styleId="TableGrid">
    <w:name w:val="Table Grid"/>
    <w:basedOn w:val="TableNormal"/>
    <w:uiPriority w:val="59"/>
    <w:rsid w:val="0077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75D"/>
    <w:rPr>
      <w:color w:val="808080"/>
    </w:rPr>
  </w:style>
  <w:style w:type="paragraph" w:styleId="BalloonText">
    <w:name w:val="Balloon Text"/>
    <w:basedOn w:val="Normal"/>
    <w:link w:val="BalloonTextChar"/>
    <w:uiPriority w:val="99"/>
    <w:semiHidden/>
    <w:unhideWhenUsed/>
    <w:rsid w:val="00150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33"/>
    <w:rPr>
      <w:rFonts w:ascii="Segoe UI" w:hAnsi="Segoe UI" w:cs="Segoe UI"/>
      <w:sz w:val="18"/>
      <w:szCs w:val="18"/>
    </w:rPr>
  </w:style>
  <w:style w:type="paragraph" w:customStyle="1" w:styleId="RefCaption">
    <w:name w:val="Ref Caption"/>
    <w:basedOn w:val="Caption"/>
    <w:autoRedefine/>
    <w:qFormat/>
    <w:rsid w:val="000150E8"/>
    <w:pPr>
      <w:spacing w:before="120" w:after="240"/>
      <w:jc w:val="center"/>
    </w:pPr>
    <w:rPr>
      <w:rFonts w:ascii="Times New Roman" w:hAnsi="Times New Roman" w:cs="Times New Roman"/>
      <w:b/>
      <w:i w:val="0"/>
      <w:color w:val="000000" w:themeColor="text1"/>
      <w:sz w:val="24"/>
      <w:lang w:eastAsia="zh-TW"/>
    </w:rPr>
  </w:style>
  <w:style w:type="paragraph" w:styleId="Caption">
    <w:name w:val="caption"/>
    <w:basedOn w:val="Normal"/>
    <w:next w:val="Normal"/>
    <w:uiPriority w:val="35"/>
    <w:semiHidden/>
    <w:unhideWhenUsed/>
    <w:qFormat/>
    <w:rsid w:val="000150E8"/>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D80"/>
    <w:rPr>
      <w:rFonts w:asciiTheme="majorHAnsi" w:eastAsiaTheme="majorEastAsia" w:hAnsiTheme="majorHAnsi" w:cstheme="majorBidi"/>
      <w:color w:val="365F91" w:themeColor="accent1" w:themeShade="BF"/>
      <w:sz w:val="32"/>
      <w:szCs w:val="32"/>
      <w:lang w:eastAsia="en-US"/>
    </w:rPr>
  </w:style>
  <w:style w:type="paragraph" w:customStyle="1" w:styleId="covertext">
    <w:name w:val="cover text"/>
    <w:basedOn w:val="Normal"/>
    <w:rsid w:val="00AC5D80"/>
    <w:pPr>
      <w:spacing w:before="120" w:after="120" w:line="240" w:lineRule="auto"/>
    </w:pPr>
    <w:rPr>
      <w:rFonts w:ascii="Times New Roman" w:hAnsi="Times New Roman" w:cs="Times New Roman"/>
      <w:sz w:val="24"/>
      <w:szCs w:val="20"/>
      <w:lang w:eastAsia="ja-JP"/>
    </w:rPr>
  </w:style>
  <w:style w:type="paragraph" w:styleId="Header">
    <w:name w:val="header"/>
    <w:basedOn w:val="Normal"/>
    <w:link w:val="HeaderChar"/>
    <w:unhideWhenUsed/>
    <w:rsid w:val="00AC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80"/>
  </w:style>
  <w:style w:type="paragraph" w:styleId="Footer">
    <w:name w:val="footer"/>
    <w:basedOn w:val="Normal"/>
    <w:link w:val="FooterChar"/>
    <w:unhideWhenUsed/>
    <w:rsid w:val="00AC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3732">
      <w:bodyDiv w:val="1"/>
      <w:marLeft w:val="0"/>
      <w:marRight w:val="0"/>
      <w:marTop w:val="0"/>
      <w:marBottom w:val="0"/>
      <w:divBdr>
        <w:top w:val="none" w:sz="0" w:space="0" w:color="auto"/>
        <w:left w:val="none" w:sz="0" w:space="0" w:color="auto"/>
        <w:bottom w:val="none" w:sz="0" w:space="0" w:color="auto"/>
        <w:right w:val="none" w:sz="0" w:space="0" w:color="auto"/>
      </w:divBdr>
      <w:divsChild>
        <w:div w:id="191693882">
          <w:marLeft w:val="1166"/>
          <w:marRight w:val="0"/>
          <w:marTop w:val="96"/>
          <w:marBottom w:val="0"/>
          <w:divBdr>
            <w:top w:val="none" w:sz="0" w:space="0" w:color="auto"/>
            <w:left w:val="none" w:sz="0" w:space="0" w:color="auto"/>
            <w:bottom w:val="none" w:sz="0" w:space="0" w:color="auto"/>
            <w:right w:val="none" w:sz="0" w:space="0" w:color="auto"/>
          </w:divBdr>
        </w:div>
      </w:divsChild>
    </w:div>
    <w:div w:id="1115947583">
      <w:bodyDiv w:val="1"/>
      <w:marLeft w:val="0"/>
      <w:marRight w:val="0"/>
      <w:marTop w:val="0"/>
      <w:marBottom w:val="0"/>
      <w:divBdr>
        <w:top w:val="none" w:sz="0" w:space="0" w:color="auto"/>
        <w:left w:val="none" w:sz="0" w:space="0" w:color="auto"/>
        <w:bottom w:val="none" w:sz="0" w:space="0" w:color="auto"/>
        <w:right w:val="none" w:sz="0" w:space="0" w:color="auto"/>
      </w:divBdr>
    </w:div>
    <w:div w:id="1711298500">
      <w:bodyDiv w:val="1"/>
      <w:marLeft w:val="0"/>
      <w:marRight w:val="0"/>
      <w:marTop w:val="0"/>
      <w:marBottom w:val="0"/>
      <w:divBdr>
        <w:top w:val="none" w:sz="0" w:space="0" w:color="auto"/>
        <w:left w:val="none" w:sz="0" w:space="0" w:color="auto"/>
        <w:bottom w:val="none" w:sz="0" w:space="0" w:color="auto"/>
        <w:right w:val="none" w:sz="0" w:space="0" w:color="auto"/>
      </w:divBdr>
      <w:divsChild>
        <w:div w:id="2068528955">
          <w:marLeft w:val="1166"/>
          <w:marRight w:val="0"/>
          <w:marTop w:val="96"/>
          <w:marBottom w:val="0"/>
          <w:divBdr>
            <w:top w:val="none" w:sz="0" w:space="0" w:color="auto"/>
            <w:left w:val="none" w:sz="0" w:space="0" w:color="auto"/>
            <w:bottom w:val="none" w:sz="0" w:space="0" w:color="auto"/>
            <w:right w:val="none" w:sz="0" w:space="0" w:color="auto"/>
          </w:divBdr>
        </w:div>
      </w:divsChild>
    </w:div>
    <w:div w:id="208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6</cp:revision>
  <cp:lastPrinted>2016-09-29T06:12:00Z</cp:lastPrinted>
  <dcterms:created xsi:type="dcterms:W3CDTF">2016-10-21T11:28:00Z</dcterms:created>
  <dcterms:modified xsi:type="dcterms:W3CDTF">2016-10-23T02:29:00Z</dcterms:modified>
</cp:coreProperties>
</file>