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7" w:rsidRDefault="00CE5C57" w:rsidP="00CE5C57">
      <w:pPr>
        <w:jc w:val="center"/>
        <w:rPr>
          <w:b/>
          <w:sz w:val="28"/>
        </w:rPr>
      </w:pPr>
      <w:r>
        <w:rPr>
          <w:b/>
          <w:sz w:val="28"/>
        </w:rPr>
        <w:t>IEEE P802.15</w:t>
      </w:r>
    </w:p>
    <w:p w:rsidR="00CE5C57" w:rsidRDefault="00CE5C57" w:rsidP="00CE5C57">
      <w:pPr>
        <w:tabs>
          <w:tab w:val="left" w:pos="2415"/>
          <w:tab w:val="center" w:pos="4680"/>
        </w:tabs>
        <w:rPr>
          <w:b/>
          <w:sz w:val="28"/>
        </w:rPr>
      </w:pPr>
      <w:r>
        <w:rPr>
          <w:b/>
          <w:sz w:val="28"/>
        </w:rPr>
        <w:tab/>
      </w:r>
      <w:r>
        <w:rPr>
          <w:b/>
          <w:sz w:val="28"/>
        </w:rPr>
        <w:tab/>
        <w:t>Wireless Personal Area Networks</w:t>
      </w:r>
    </w:p>
    <w:p w:rsidR="00CE5C57" w:rsidRDefault="00CE5C57" w:rsidP="00CE5C5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5C57" w:rsidTr="005B1C40">
        <w:tc>
          <w:tcPr>
            <w:tcW w:w="1260" w:type="dxa"/>
            <w:tcBorders>
              <w:top w:val="single" w:sz="6" w:space="0" w:color="auto"/>
            </w:tcBorders>
          </w:tcPr>
          <w:p w:rsidR="00CE5C57" w:rsidRDefault="00CE5C57" w:rsidP="005B1C40">
            <w:pPr>
              <w:pStyle w:val="covertext"/>
            </w:pPr>
            <w:r>
              <w:t>Project</w:t>
            </w:r>
          </w:p>
        </w:tc>
        <w:tc>
          <w:tcPr>
            <w:tcW w:w="8190" w:type="dxa"/>
            <w:gridSpan w:val="2"/>
            <w:tcBorders>
              <w:top w:val="single" w:sz="6" w:space="0" w:color="auto"/>
            </w:tcBorders>
          </w:tcPr>
          <w:p w:rsidR="00CE5C57" w:rsidRDefault="00CE5C57" w:rsidP="005B1C40">
            <w:pPr>
              <w:pStyle w:val="covertext"/>
            </w:pPr>
            <w:r>
              <w:t>IEEE P802.15 Working Group for Wireless Personal Area Networks (WPANs)</w:t>
            </w:r>
          </w:p>
        </w:tc>
      </w:tr>
      <w:tr w:rsidR="00CE5C57" w:rsidTr="005B1C40">
        <w:tc>
          <w:tcPr>
            <w:tcW w:w="1260" w:type="dxa"/>
            <w:tcBorders>
              <w:top w:val="single" w:sz="6" w:space="0" w:color="auto"/>
            </w:tcBorders>
          </w:tcPr>
          <w:p w:rsidR="00CE5C57" w:rsidRDefault="00CE5C57" w:rsidP="005B1C40">
            <w:pPr>
              <w:pStyle w:val="covertext"/>
            </w:pPr>
            <w:r>
              <w:t>Title</w:t>
            </w:r>
          </w:p>
        </w:tc>
        <w:tc>
          <w:tcPr>
            <w:tcW w:w="8190" w:type="dxa"/>
            <w:gridSpan w:val="2"/>
            <w:tcBorders>
              <w:top w:val="single" w:sz="6" w:space="0" w:color="auto"/>
            </w:tcBorders>
          </w:tcPr>
          <w:p w:rsidR="00CE5C57" w:rsidRDefault="00CE5C57" w:rsidP="005707E6">
            <w:pPr>
              <w:pStyle w:val="covertext"/>
            </w:pPr>
            <w:r w:rsidRPr="0051513B">
              <w:t xml:space="preserve">802.15 TG10 (L2R) </w:t>
            </w:r>
            <w:r>
              <w:t>Comment Resolution</w:t>
            </w:r>
            <w:r w:rsidRPr="0051513B">
              <w:t xml:space="preserve"> </w:t>
            </w:r>
            <w:r>
              <w:t>for</w:t>
            </w:r>
            <w:r>
              <w:rPr>
                <w:szCs w:val="24"/>
              </w:rPr>
              <w:t xml:space="preserve"> CID </w:t>
            </w:r>
            <w:r w:rsidRPr="003B29F5">
              <w:rPr>
                <w:szCs w:val="24"/>
              </w:rPr>
              <w:t>#</w:t>
            </w:r>
            <w:r w:rsidRPr="000666BA">
              <w:rPr>
                <w:szCs w:val="24"/>
              </w:rPr>
              <w:t>3</w:t>
            </w:r>
            <w:r>
              <w:rPr>
                <w:szCs w:val="24"/>
              </w:rPr>
              <w:t>145</w:t>
            </w:r>
          </w:p>
        </w:tc>
      </w:tr>
      <w:tr w:rsidR="00CE5C57" w:rsidTr="005B1C40">
        <w:tc>
          <w:tcPr>
            <w:tcW w:w="1260" w:type="dxa"/>
            <w:tcBorders>
              <w:top w:val="single" w:sz="6" w:space="0" w:color="auto"/>
            </w:tcBorders>
          </w:tcPr>
          <w:p w:rsidR="00CE5C57" w:rsidRDefault="00CE5C57" w:rsidP="005B1C40">
            <w:pPr>
              <w:pStyle w:val="covertext"/>
            </w:pPr>
            <w:r>
              <w:t>Date Submitted</w:t>
            </w:r>
          </w:p>
        </w:tc>
        <w:tc>
          <w:tcPr>
            <w:tcW w:w="8190" w:type="dxa"/>
            <w:gridSpan w:val="2"/>
            <w:tcBorders>
              <w:top w:val="single" w:sz="6" w:space="0" w:color="auto"/>
            </w:tcBorders>
          </w:tcPr>
          <w:p w:rsidR="00CE5C57" w:rsidRDefault="00CE5C57" w:rsidP="00581E62">
            <w:pPr>
              <w:pStyle w:val="covertext"/>
            </w:pPr>
            <w:r>
              <w:t>[</w:t>
            </w:r>
            <w:r w:rsidR="006C39E5">
              <w:t>2</w:t>
            </w:r>
            <w:r w:rsidR="00581E62">
              <w:t>8</w:t>
            </w:r>
            <w:r>
              <w:t xml:space="preserve"> March 2016]</w:t>
            </w:r>
          </w:p>
        </w:tc>
      </w:tr>
      <w:tr w:rsidR="00CE5C57" w:rsidTr="005B1C40">
        <w:tc>
          <w:tcPr>
            <w:tcW w:w="1260" w:type="dxa"/>
            <w:tcBorders>
              <w:top w:val="single" w:sz="4" w:space="0" w:color="auto"/>
              <w:bottom w:val="single" w:sz="4" w:space="0" w:color="auto"/>
            </w:tcBorders>
          </w:tcPr>
          <w:p w:rsidR="00CE5C57" w:rsidRDefault="00CE5C57" w:rsidP="005B1C40">
            <w:pPr>
              <w:pStyle w:val="covertext"/>
            </w:pPr>
            <w:r>
              <w:t>Source</w:t>
            </w:r>
          </w:p>
        </w:tc>
        <w:tc>
          <w:tcPr>
            <w:tcW w:w="4050" w:type="dxa"/>
            <w:tcBorders>
              <w:top w:val="single" w:sz="4" w:space="0" w:color="auto"/>
              <w:bottom w:val="single" w:sz="4" w:space="0" w:color="auto"/>
            </w:tcBorders>
          </w:tcPr>
          <w:p w:rsidR="00CE5C57" w:rsidRDefault="00CE5C57" w:rsidP="005B1C40">
            <w:pPr>
              <w:pStyle w:val="covertext"/>
              <w:spacing w:before="0" w:after="0"/>
            </w:pPr>
            <w:r>
              <w:t>[Charlie Perkins]</w:t>
            </w:r>
            <w:r>
              <w:br/>
              <w:t>[Futurewei]</w:t>
            </w:r>
          </w:p>
          <w:p w:rsidR="00CE5C57" w:rsidRDefault="00CE5C57" w:rsidP="005B1C40">
            <w:pPr>
              <w:pStyle w:val="covertext"/>
              <w:spacing w:before="0" w:after="0"/>
            </w:pPr>
          </w:p>
        </w:tc>
        <w:tc>
          <w:tcPr>
            <w:tcW w:w="4140" w:type="dxa"/>
            <w:tcBorders>
              <w:top w:val="single" w:sz="4" w:space="0" w:color="auto"/>
              <w:bottom w:val="single" w:sz="4" w:space="0" w:color="auto"/>
            </w:tcBorders>
          </w:tcPr>
          <w:p w:rsidR="00CE5C57" w:rsidRDefault="00CE5C57" w:rsidP="005B1C40">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CE5C57" w:rsidTr="005B1C40">
        <w:tc>
          <w:tcPr>
            <w:tcW w:w="1260" w:type="dxa"/>
            <w:tcBorders>
              <w:top w:val="single" w:sz="6" w:space="0" w:color="auto"/>
            </w:tcBorders>
          </w:tcPr>
          <w:p w:rsidR="00CE5C57" w:rsidRDefault="00CE5C57" w:rsidP="005B1C40">
            <w:pPr>
              <w:pStyle w:val="covertext"/>
            </w:pPr>
            <w:r>
              <w:t>Re:</w:t>
            </w:r>
          </w:p>
        </w:tc>
        <w:tc>
          <w:tcPr>
            <w:tcW w:w="8190" w:type="dxa"/>
            <w:gridSpan w:val="2"/>
            <w:tcBorders>
              <w:top w:val="single" w:sz="6" w:space="0" w:color="auto"/>
            </w:tcBorders>
          </w:tcPr>
          <w:p w:rsidR="00CE5C57" w:rsidRDefault="00CE5C57" w:rsidP="005B1C40">
            <w:pPr>
              <w:pStyle w:val="covertext"/>
            </w:pPr>
            <w:r>
              <w:t>[TG10 (L2R) comment r</w:t>
            </w:r>
            <w:r w:rsidRPr="003B29F5">
              <w:t>esolution</w:t>
            </w:r>
            <w:r>
              <w:t>.]</w:t>
            </w:r>
          </w:p>
        </w:tc>
      </w:tr>
      <w:tr w:rsidR="00CE5C57" w:rsidTr="005B1C40">
        <w:tc>
          <w:tcPr>
            <w:tcW w:w="1260" w:type="dxa"/>
            <w:tcBorders>
              <w:top w:val="single" w:sz="6" w:space="0" w:color="auto"/>
            </w:tcBorders>
          </w:tcPr>
          <w:p w:rsidR="00CE5C57" w:rsidRDefault="00CE5C57" w:rsidP="005B1C40">
            <w:pPr>
              <w:pStyle w:val="covertext"/>
            </w:pPr>
            <w:r>
              <w:t>Abstract</w:t>
            </w:r>
          </w:p>
        </w:tc>
        <w:tc>
          <w:tcPr>
            <w:tcW w:w="8190" w:type="dxa"/>
            <w:gridSpan w:val="2"/>
            <w:tcBorders>
              <w:top w:val="single" w:sz="6" w:space="0" w:color="auto"/>
            </w:tcBorders>
          </w:tcPr>
          <w:p w:rsidR="00CE5C57" w:rsidRDefault="00CE5C57" w:rsidP="005B1C40">
            <w:pPr>
              <w:pStyle w:val="covertext"/>
            </w:pPr>
            <w:r>
              <w:t>This document provides comment resolutions</w:t>
            </w:r>
            <w:r w:rsidRPr="0051513B">
              <w:t xml:space="preserve"> </w:t>
            </w:r>
            <w:r>
              <w:t>for comments</w:t>
            </w:r>
            <w:r>
              <w:rPr>
                <w:szCs w:val="24"/>
              </w:rPr>
              <w:t xml:space="preserve"> CID </w:t>
            </w:r>
            <w:r w:rsidRPr="000666BA">
              <w:rPr>
                <w:szCs w:val="24"/>
              </w:rPr>
              <w:t>#3</w:t>
            </w:r>
            <w:r>
              <w:rPr>
                <w:szCs w:val="24"/>
              </w:rPr>
              <w:t>145 related to metric definitions and mesh configuration parameters</w:t>
            </w:r>
          </w:p>
        </w:tc>
      </w:tr>
      <w:tr w:rsidR="00CE5C57" w:rsidTr="005B1C40">
        <w:tc>
          <w:tcPr>
            <w:tcW w:w="1260" w:type="dxa"/>
            <w:tcBorders>
              <w:top w:val="single" w:sz="6" w:space="0" w:color="auto"/>
            </w:tcBorders>
          </w:tcPr>
          <w:p w:rsidR="00CE5C57" w:rsidRDefault="00CE5C57" w:rsidP="005B1C40">
            <w:pPr>
              <w:pStyle w:val="covertext"/>
            </w:pPr>
            <w:r>
              <w:t>Purpose</w:t>
            </w:r>
          </w:p>
        </w:tc>
        <w:tc>
          <w:tcPr>
            <w:tcW w:w="8190" w:type="dxa"/>
            <w:gridSpan w:val="2"/>
            <w:tcBorders>
              <w:top w:val="single" w:sz="6" w:space="0" w:color="auto"/>
            </w:tcBorders>
          </w:tcPr>
          <w:p w:rsidR="00CE5C57" w:rsidRDefault="00CE5C57" w:rsidP="005B1C40">
            <w:pPr>
              <w:pStyle w:val="covertext"/>
            </w:pPr>
            <w:r>
              <w:t>[TG10 (L2R) comment resolution to produce next draft.]</w:t>
            </w:r>
          </w:p>
        </w:tc>
      </w:tr>
      <w:tr w:rsidR="00CE5C57" w:rsidTr="005B1C40">
        <w:tc>
          <w:tcPr>
            <w:tcW w:w="1260" w:type="dxa"/>
            <w:tcBorders>
              <w:top w:val="single" w:sz="6" w:space="0" w:color="auto"/>
              <w:bottom w:val="single" w:sz="6" w:space="0" w:color="auto"/>
            </w:tcBorders>
          </w:tcPr>
          <w:p w:rsidR="00CE5C57" w:rsidRDefault="00CE5C57" w:rsidP="005B1C40">
            <w:pPr>
              <w:pStyle w:val="covertext"/>
            </w:pPr>
            <w:r>
              <w:t>Notice</w:t>
            </w:r>
          </w:p>
        </w:tc>
        <w:tc>
          <w:tcPr>
            <w:tcW w:w="8190" w:type="dxa"/>
            <w:gridSpan w:val="2"/>
            <w:tcBorders>
              <w:top w:val="single" w:sz="6" w:space="0" w:color="auto"/>
              <w:bottom w:val="single" w:sz="6" w:space="0" w:color="auto"/>
            </w:tcBorders>
          </w:tcPr>
          <w:p w:rsidR="00CE5C57" w:rsidRDefault="00CE5C57"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5C57" w:rsidTr="005B1C40">
        <w:tc>
          <w:tcPr>
            <w:tcW w:w="1260" w:type="dxa"/>
            <w:tcBorders>
              <w:top w:val="single" w:sz="6" w:space="0" w:color="auto"/>
              <w:bottom w:val="single" w:sz="6" w:space="0" w:color="auto"/>
            </w:tcBorders>
          </w:tcPr>
          <w:p w:rsidR="00CE5C57" w:rsidRDefault="00CE5C57" w:rsidP="005B1C40">
            <w:pPr>
              <w:pStyle w:val="covertext"/>
            </w:pPr>
            <w:r>
              <w:t>Release</w:t>
            </w:r>
          </w:p>
        </w:tc>
        <w:tc>
          <w:tcPr>
            <w:tcW w:w="8190" w:type="dxa"/>
            <w:gridSpan w:val="2"/>
            <w:tcBorders>
              <w:top w:val="single" w:sz="6" w:space="0" w:color="auto"/>
              <w:bottom w:val="single" w:sz="6" w:space="0" w:color="auto"/>
            </w:tcBorders>
          </w:tcPr>
          <w:p w:rsidR="00CE5C57" w:rsidRDefault="00CE5C57" w:rsidP="005B1C40">
            <w:pPr>
              <w:pStyle w:val="covertext"/>
            </w:pPr>
            <w:r>
              <w:t>The contributor acknowledges and accepts that this contribution becomes the property of IEEE and may be made publicly available by P802.15.</w:t>
            </w:r>
          </w:p>
        </w:tc>
      </w:tr>
    </w:tbl>
    <w:p w:rsidR="00CE5C57" w:rsidRDefault="00CE5C57" w:rsidP="00CE5C57">
      <w:pPr>
        <w:pStyle w:val="NoSpacing"/>
        <w:jc w:val="center"/>
      </w:pPr>
      <w:r>
        <w:rPr>
          <w:b/>
          <w:sz w:val="28"/>
        </w:rPr>
        <w:br w:type="page"/>
      </w:r>
    </w:p>
    <w:p w:rsidR="00CE5C57" w:rsidRDefault="00CE5C57" w:rsidP="00CE5C57">
      <w:pPr>
        <w:widowControl w:val="0"/>
        <w:spacing w:before="120"/>
        <w:rPr>
          <w:b/>
          <w:sz w:val="28"/>
          <w:u w:val="single"/>
        </w:rPr>
      </w:pPr>
      <w:r>
        <w:rPr>
          <w:rFonts w:hint="eastAsia"/>
          <w:b/>
          <w:sz w:val="28"/>
          <w:u w:val="single"/>
        </w:rPr>
        <w:lastRenderedPageBreak/>
        <w:t>Comment #</w:t>
      </w:r>
      <w:r w:rsidR="003A01E0">
        <w:rPr>
          <w:b/>
          <w:sz w:val="28"/>
          <w:u w:val="single"/>
        </w:rPr>
        <w:t>3145</w:t>
      </w:r>
    </w:p>
    <w:p w:rsidR="00CE5C57" w:rsidRDefault="00CE5C57" w:rsidP="00CE5C57">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738"/>
        <w:gridCol w:w="1440"/>
        <w:gridCol w:w="1080"/>
        <w:gridCol w:w="540"/>
        <w:gridCol w:w="900"/>
        <w:gridCol w:w="540"/>
        <w:gridCol w:w="2520"/>
        <w:gridCol w:w="1818"/>
      </w:tblGrid>
      <w:tr w:rsidR="00CE5C57" w:rsidRPr="000666BA" w:rsidTr="005B1C40">
        <w:trPr>
          <w:trHeight w:val="1020"/>
        </w:trPr>
        <w:tc>
          <w:tcPr>
            <w:tcW w:w="738" w:type="dxa"/>
            <w:noWrap/>
            <w:hideMark/>
          </w:tcPr>
          <w:p w:rsidR="00CE5C57" w:rsidRPr="002F5987" w:rsidRDefault="00CE5C57" w:rsidP="005B1C40">
            <w:r w:rsidRPr="002F5987">
              <w:t>3145</w:t>
            </w:r>
          </w:p>
        </w:tc>
        <w:tc>
          <w:tcPr>
            <w:tcW w:w="1440" w:type="dxa"/>
            <w:noWrap/>
            <w:hideMark/>
          </w:tcPr>
          <w:p w:rsidR="00CE5C57" w:rsidRPr="002F5987" w:rsidRDefault="00CE5C57" w:rsidP="005B1C40">
            <w:r w:rsidRPr="002F5987">
              <w:t xml:space="preserve">Don </w:t>
            </w:r>
            <w:proofErr w:type="spellStart"/>
            <w:r w:rsidRPr="002F5987">
              <w:t>Sturek</w:t>
            </w:r>
            <w:proofErr w:type="spellEnd"/>
          </w:p>
        </w:tc>
        <w:tc>
          <w:tcPr>
            <w:tcW w:w="1080" w:type="dxa"/>
            <w:hideMark/>
          </w:tcPr>
          <w:p w:rsidR="00CE5C57" w:rsidRPr="002F5987" w:rsidRDefault="00CE5C57" w:rsidP="005B1C40">
            <w:r w:rsidRPr="002F5987">
              <w:t>SSNI</w:t>
            </w:r>
          </w:p>
        </w:tc>
        <w:tc>
          <w:tcPr>
            <w:tcW w:w="540" w:type="dxa"/>
            <w:noWrap/>
            <w:hideMark/>
          </w:tcPr>
          <w:p w:rsidR="00CE5C57" w:rsidRPr="002F5987" w:rsidRDefault="00CE5C57" w:rsidP="005B1C40">
            <w:r w:rsidRPr="002F5987">
              <w:t>all</w:t>
            </w:r>
          </w:p>
        </w:tc>
        <w:tc>
          <w:tcPr>
            <w:tcW w:w="900" w:type="dxa"/>
            <w:noWrap/>
            <w:hideMark/>
          </w:tcPr>
          <w:p w:rsidR="00CE5C57" w:rsidRPr="002F5987" w:rsidRDefault="00CE5C57" w:rsidP="005B1C40"/>
        </w:tc>
        <w:tc>
          <w:tcPr>
            <w:tcW w:w="540" w:type="dxa"/>
            <w:noWrap/>
            <w:hideMark/>
          </w:tcPr>
          <w:p w:rsidR="00CE5C57" w:rsidRPr="002F5987" w:rsidRDefault="00CE5C57" w:rsidP="005B1C40"/>
        </w:tc>
        <w:tc>
          <w:tcPr>
            <w:tcW w:w="2520" w:type="dxa"/>
            <w:hideMark/>
          </w:tcPr>
          <w:p w:rsidR="00CE5C57" w:rsidRPr="002F5987" w:rsidRDefault="00CE5C57" w:rsidP="005B1C40">
            <w:r w:rsidRPr="002F5987">
              <w:t xml:space="preserve">So far, I find US/DS routing, P2P </w:t>
            </w:r>
            <w:proofErr w:type="gramStart"/>
            <w:r w:rsidRPr="002F5987">
              <w:t>routing,</w:t>
            </w:r>
            <w:proofErr w:type="gramEnd"/>
            <w:r w:rsidRPr="002F5987">
              <w:t xml:space="preserve"> sibling routing, multicast routing, TMCTP and service routing.  It would really help to have some explanation at the top as to what works with what.  For example see Figure 31.  Conceptually, I think some of these fields </w:t>
            </w:r>
            <w:proofErr w:type="spellStart"/>
            <w:r w:rsidRPr="002F5987">
              <w:t>cant</w:t>
            </w:r>
            <w:proofErr w:type="spellEnd"/>
            <w:r w:rsidRPr="002F5987">
              <w:t xml:space="preserve"> be set with others (</w:t>
            </w:r>
            <w:proofErr w:type="spellStart"/>
            <w:r w:rsidRPr="002F5987">
              <w:t>eg</w:t>
            </w:r>
            <w:proofErr w:type="spellEnd"/>
            <w:r w:rsidRPr="002F5987">
              <w:t>, mesh address mode must be long for TMCTP, P2P Route Discovery and Storing Mode don't seem to go together).  It would be great to see these different routing modes better defined and then a clear picture from Figure 31 as to the allowable operating modes</w:t>
            </w:r>
          </w:p>
        </w:tc>
        <w:tc>
          <w:tcPr>
            <w:tcW w:w="1818" w:type="dxa"/>
            <w:hideMark/>
          </w:tcPr>
          <w:p w:rsidR="00CE5C57" w:rsidRDefault="00CE5C57" w:rsidP="005B1C40">
            <w:r w:rsidRPr="002F5987">
              <w:t>Help clarify what works with what.  Seems like P2P and multicast routing don't have anything to do with one another (is that right?).  It seems that P2P and US/DS are orthogonal.  Seems like MCO works only with US/DS (right?).  Not clear you can use TMCTP with P2P (is that even possible?).</w:t>
            </w:r>
          </w:p>
        </w:tc>
      </w:tr>
    </w:tbl>
    <w:p w:rsidR="00CE5C57" w:rsidRDefault="00CE5C57" w:rsidP="00CE5C57">
      <w:pPr>
        <w:widowControl w:val="0"/>
        <w:spacing w:before="120"/>
        <w:rPr>
          <w:b/>
          <w:u w:val="single"/>
        </w:rPr>
      </w:pPr>
    </w:p>
    <w:p w:rsidR="00CE5C57" w:rsidRDefault="00CE5C57" w:rsidP="00CE5C57">
      <w:pPr>
        <w:widowControl w:val="0"/>
        <w:spacing w:before="120"/>
        <w:rPr>
          <w:b/>
          <w:u w:val="single"/>
        </w:rPr>
      </w:pPr>
      <w:r>
        <w:rPr>
          <w:b/>
          <w:u w:val="single"/>
        </w:rPr>
        <w:t>CID</w:t>
      </w:r>
      <w:r w:rsidRPr="000C398A">
        <w:rPr>
          <w:b/>
          <w:u w:val="single"/>
        </w:rPr>
        <w:t xml:space="preserve"> </w:t>
      </w:r>
      <w:r>
        <w:rPr>
          <w:b/>
          <w:u w:val="single"/>
        </w:rPr>
        <w:t>3145:</w:t>
      </w:r>
    </w:p>
    <w:p w:rsidR="004E52CA" w:rsidRDefault="004E52CA" w:rsidP="004E52CA">
      <w:pPr>
        <w:widowControl w:val="0"/>
        <w:spacing w:before="120"/>
      </w:pPr>
    </w:p>
    <w:p w:rsidR="004E52CA" w:rsidRDefault="004E52CA" w:rsidP="004E52CA">
      <w:pPr>
        <w:widowControl w:val="0"/>
        <w:spacing w:before="120"/>
        <w:rPr>
          <w:b/>
          <w:u w:val="single"/>
        </w:rPr>
      </w:pPr>
      <w:r>
        <w:rPr>
          <w:b/>
          <w:u w:val="single"/>
        </w:rPr>
        <w:t>Resolution: Accept with revision</w:t>
      </w:r>
    </w:p>
    <w:p w:rsidR="004E52CA" w:rsidRPr="00950172" w:rsidRDefault="004E52CA" w:rsidP="004E52CA">
      <w:pPr>
        <w:widowControl w:val="0"/>
        <w:spacing w:before="120"/>
        <w:rPr>
          <w:b/>
          <w:u w:val="single"/>
        </w:rPr>
      </w:pPr>
    </w:p>
    <w:p w:rsidR="00CE5C57" w:rsidRPr="00B6137A" w:rsidRDefault="006C39E5" w:rsidP="00CE5C57">
      <w:pPr>
        <w:widowControl w:val="0"/>
        <w:spacing w:before="120"/>
      </w:pPr>
      <w:r>
        <w:t xml:space="preserve">This </w:t>
      </w:r>
      <w:r w:rsidR="00536B0D">
        <w:t>contribution</w:t>
      </w:r>
      <w:r>
        <w:t xml:space="preserve"> provides some d</w:t>
      </w:r>
      <w:r w:rsidR="00CE5C57">
        <w:t xml:space="preserve">iscussion about interrelationships between </w:t>
      </w:r>
      <w:r w:rsidR="005707E6">
        <w:t xml:space="preserve">mesh address mode, multi-channel PAN operation (MPO), </w:t>
      </w:r>
      <w:r w:rsidR="00CE5C57" w:rsidRPr="00B6137A">
        <w:t>US/DS routing, P2P routing, sibling routing, multicast routing,</w:t>
      </w:r>
      <w:r w:rsidR="00CE5C57">
        <w:t xml:space="preserve"> </w:t>
      </w:r>
      <w:r w:rsidR="00CE5C57" w:rsidRPr="00B6137A">
        <w:t>TMCTP</w:t>
      </w:r>
      <w:r w:rsidR="00536B0D">
        <w:t>, as well as clarification about</w:t>
      </w:r>
      <w:r w:rsidR="00CE5C57" w:rsidRPr="00B6137A">
        <w:t xml:space="preserve"> service routing.</w:t>
      </w:r>
    </w:p>
    <w:p w:rsidR="00CE5C57" w:rsidRPr="00B6137A" w:rsidRDefault="00CE5C57" w:rsidP="00CE5C57">
      <w:pPr>
        <w:widowControl w:val="0"/>
        <w:spacing w:before="120"/>
      </w:pPr>
      <w:r w:rsidRPr="00B6137A">
        <w:t>Here, higher-la</w:t>
      </w:r>
      <w:r w:rsidR="006C39E5">
        <w:t>yer operation is not considered; as one result</w:t>
      </w:r>
      <w:r w:rsidRPr="00B6137A">
        <w:t>, multicast routing means multicast at layer 2.</w:t>
      </w:r>
    </w:p>
    <w:p w:rsidR="00CE5C57" w:rsidRPr="00B6137A" w:rsidRDefault="00CE5C57" w:rsidP="00CE5C57">
      <w:pPr>
        <w:widowControl w:val="0"/>
        <w:spacing w:before="120"/>
      </w:pPr>
      <w:r w:rsidRPr="00B6137A">
        <w:lastRenderedPageBreak/>
        <w:t>Sibling routing is a possible feature of US/DS routing, and so is not used</w:t>
      </w:r>
      <w:r>
        <w:t xml:space="preserve"> </w:t>
      </w:r>
      <w:r w:rsidRPr="00B6137A">
        <w:t>for multicast routing or P2P routing.</w:t>
      </w:r>
    </w:p>
    <w:p w:rsidR="00CE5C57" w:rsidRPr="00B6137A" w:rsidRDefault="00CE5C57" w:rsidP="00CE5C57">
      <w:pPr>
        <w:widowControl w:val="0"/>
        <w:spacing w:before="120"/>
      </w:pPr>
      <w:r w:rsidRPr="00B6137A">
        <w:t xml:space="preserve">Multicast routing </w:t>
      </w:r>
      <w:r w:rsidR="006C39E5">
        <w:t xml:space="preserve">is constrained to use US/DS routing; use of </w:t>
      </w:r>
      <w:r w:rsidRPr="00B6137A">
        <w:t>P2P routing</w:t>
      </w:r>
      <w:r w:rsidR="006C39E5">
        <w:t xml:space="preserve"> for multicast is out of scope for this specification.</w:t>
      </w:r>
    </w:p>
    <w:p w:rsidR="00CE5C57" w:rsidRPr="00B6137A" w:rsidRDefault="00CE5C57" w:rsidP="00CE5C57">
      <w:pPr>
        <w:widowControl w:val="0"/>
        <w:spacing w:before="120"/>
      </w:pPr>
      <w:r w:rsidRPr="00B6137A">
        <w:t>US/DS routing is always available.</w:t>
      </w:r>
    </w:p>
    <w:p w:rsidR="00CE5C57" w:rsidRPr="00B6137A" w:rsidRDefault="00CE5C57" w:rsidP="00CE5C57">
      <w:pPr>
        <w:widowControl w:val="0"/>
        <w:spacing w:before="120"/>
      </w:pPr>
      <w:r w:rsidRPr="00B6137A">
        <w:t>P2P routing can be used in addition to US/DS routing.</w:t>
      </w:r>
    </w:p>
    <w:p w:rsidR="00CE5C57" w:rsidRPr="00B6137A" w:rsidRDefault="00CE5C57" w:rsidP="00CE5C57">
      <w:pPr>
        <w:widowControl w:val="0"/>
        <w:spacing w:before="120"/>
      </w:pPr>
      <w:r w:rsidRPr="00B6137A">
        <w:t>P2P routing can be used in storing mode or non-storing mode.</w:t>
      </w:r>
    </w:p>
    <w:p w:rsidR="0009315D" w:rsidRDefault="005707E6" w:rsidP="0009315D">
      <w:pPr>
        <w:widowControl w:val="0"/>
        <w:spacing w:before="120"/>
      </w:pPr>
      <w:r>
        <w:t xml:space="preserve">When </w:t>
      </w:r>
      <w:proofErr w:type="gramStart"/>
      <w:r w:rsidR="00BB4625">
        <w:t>“</w:t>
      </w:r>
      <w:r>
        <w:t xml:space="preserve"> RA</w:t>
      </w:r>
      <w:proofErr w:type="gramEnd"/>
      <w:r>
        <w:t xml:space="preserve"> IE Required</w:t>
      </w:r>
      <w:r w:rsidR="00BB4625">
        <w:t>”</w:t>
      </w:r>
      <w:bookmarkStart w:id="0" w:name="_GoBack"/>
      <w:bookmarkEnd w:id="0"/>
      <w:r>
        <w:t xml:space="preserve"> is set to 0, the </w:t>
      </w:r>
      <w:proofErr w:type="spellStart"/>
      <w:r w:rsidR="0009315D" w:rsidRPr="005707E6">
        <w:rPr>
          <w:i/>
        </w:rPr>
        <w:t>macPromiscuousMode</w:t>
      </w:r>
      <w:proofErr w:type="spellEnd"/>
      <w:r>
        <w:t xml:space="preserve"> </w:t>
      </w:r>
      <w:r w:rsidR="0009315D" w:rsidRPr="00C474E6">
        <w:t>PIB attribute</w:t>
      </w:r>
      <w:r w:rsidR="0009315D">
        <w:t xml:space="preserve"> </w:t>
      </w:r>
      <w:r>
        <w:t>should be set to FALSE.</w:t>
      </w:r>
    </w:p>
    <w:p w:rsidR="00CE5C57" w:rsidRDefault="00C474E6" w:rsidP="00CE5C57">
      <w:pPr>
        <w:widowControl w:val="0"/>
        <w:spacing w:before="120"/>
      </w:pPr>
      <w:r>
        <w:t>Multicast requires RA IE</w:t>
      </w:r>
      <w:r w:rsidR="005707E6">
        <w:t>,</w:t>
      </w:r>
      <w:r>
        <w:t xml:space="preserve"> even if </w:t>
      </w:r>
      <w:r w:rsidR="00BB4625">
        <w:t>“</w:t>
      </w:r>
      <w:proofErr w:type="spellStart"/>
      <w:r>
        <w:t>RA_IE_Required</w:t>
      </w:r>
      <w:proofErr w:type="spellEnd"/>
      <w:r w:rsidR="00BB4625">
        <w:t>”</w:t>
      </w:r>
      <w:r>
        <w:t xml:space="preserve"> is 0.</w:t>
      </w:r>
      <w:r w:rsidR="005707E6">
        <w:t xml:space="preserve">  It should be discussed whether the latter is prohibited when multicast is configured.</w:t>
      </w:r>
    </w:p>
    <w:p w:rsidR="0009315D" w:rsidRDefault="00536B0D" w:rsidP="00CE5C57">
      <w:pPr>
        <w:widowControl w:val="0"/>
        <w:spacing w:before="120"/>
      </w:pPr>
      <w:r>
        <w:t xml:space="preserve">Service routing </w:t>
      </w:r>
      <w:r w:rsidR="006C39E5">
        <w:t xml:space="preserve">is not defined in the document.  Recent work provides for advertisement of a </w:t>
      </w:r>
      <w:proofErr w:type="spellStart"/>
      <w:r w:rsidR="0009315D">
        <w:t>meshID</w:t>
      </w:r>
      <w:proofErr w:type="spellEnd"/>
      <w:r w:rsidR="006C39E5">
        <w:t xml:space="preserve">, which may be interpreted as a kind of service advertisement.  </w:t>
      </w:r>
      <w:r w:rsidR="00CE5C57" w:rsidRPr="00B6137A">
        <w:t xml:space="preserve">If all services </w:t>
      </w:r>
      <w:r w:rsidR="006C39E5">
        <w:t xml:space="preserve">are accessible by the mesh root, </w:t>
      </w:r>
      <w:r w:rsidR="00CE5C57" w:rsidRPr="00B6137A">
        <w:t>then service routing is a subset of US routing.</w:t>
      </w:r>
      <w:r w:rsidR="006C39E5" w:rsidRPr="006C39E5">
        <w:t xml:space="preserve"> </w:t>
      </w:r>
      <w:r w:rsidR="006C39E5">
        <w:t xml:space="preserve"> </w:t>
      </w:r>
      <w:r w:rsidR="006C39E5" w:rsidRPr="006C39E5">
        <w:t>In that case, routing for a service amounts to routing through the mesh root, which is always available.</w:t>
      </w:r>
    </w:p>
    <w:p w:rsidR="000C1570" w:rsidRDefault="0009315D" w:rsidP="000C1570">
      <w:pPr>
        <w:widowControl w:val="0"/>
        <w:spacing w:before="120"/>
      </w:pPr>
      <w:r w:rsidRPr="00B6137A">
        <w:t>M</w:t>
      </w:r>
      <w:r>
        <w:t>P</w:t>
      </w:r>
      <w:r w:rsidRPr="00B6137A">
        <w:t>O operation require</w:t>
      </w:r>
      <w:r>
        <w:t>s long address mode.</w:t>
      </w:r>
      <w:r w:rsidRPr="00B6137A">
        <w:t xml:space="preserve"> </w:t>
      </w:r>
      <w:r>
        <w:t>For this reason, the MPO descriptor bit has been moved to be adjacent to the</w:t>
      </w:r>
      <w:r w:rsidRPr="0009315D">
        <w:t xml:space="preserve"> Mesh Address Mode</w:t>
      </w:r>
      <w:r>
        <w:t xml:space="preserve"> bit.  </w:t>
      </w:r>
      <w:r w:rsidR="00CE5C57" w:rsidRPr="00B6137A">
        <w:t>TMCTP operation is a particular kind of M</w:t>
      </w:r>
      <w:r w:rsidR="00B61384">
        <w:t>P</w:t>
      </w:r>
      <w:r w:rsidR="00CE5C57" w:rsidRPr="00B6137A">
        <w:t>O operation</w:t>
      </w:r>
      <w:r>
        <w:t>;</w:t>
      </w:r>
      <w:r w:rsidR="0020647C">
        <w:t xml:space="preserve"> </w:t>
      </w:r>
      <w:r>
        <w:t>therefore,</w:t>
      </w:r>
      <w:r w:rsidR="00CE5C57" w:rsidRPr="00B6137A">
        <w:t xml:space="preserve"> </w:t>
      </w:r>
      <w:r w:rsidRPr="00B6137A">
        <w:t>TMCTP</w:t>
      </w:r>
      <w:r>
        <w:t xml:space="preserve"> also</w:t>
      </w:r>
      <w:r w:rsidR="00CE5C57" w:rsidRPr="00B6137A">
        <w:t xml:space="preserve"> require</w:t>
      </w:r>
      <w:r w:rsidR="0020647C">
        <w:t>s long address mode.</w:t>
      </w:r>
    </w:p>
    <w:p w:rsidR="0009315D" w:rsidRDefault="0009315D" w:rsidP="000C1570">
      <w:pPr>
        <w:widowControl w:val="0"/>
        <w:spacing w:before="120"/>
      </w:pPr>
      <w:r>
        <w:t>In a SSPAN, it is specified that Number of Services = 0.  For this reason, the “Number of Services” field has been moved to be adjacent to the SSPAN descriptor bit.</w:t>
      </w:r>
    </w:p>
    <w:p w:rsidR="004E52CA" w:rsidRDefault="004E52CA" w:rsidP="004E52CA">
      <w:pPr>
        <w:widowControl w:val="0"/>
        <w:spacing w:before="120"/>
        <w:rPr>
          <w:b/>
          <w:i/>
          <w:lang w:eastAsia="ja-JP"/>
        </w:rPr>
      </w:pPr>
    </w:p>
    <w:p w:rsidR="004E52CA" w:rsidRDefault="004E52CA" w:rsidP="004E52CA">
      <w:pPr>
        <w:widowControl w:val="0"/>
        <w:spacing w:before="120"/>
      </w:pPr>
      <w:r>
        <w:rPr>
          <w:rFonts w:hint="eastAsia"/>
          <w:b/>
          <w:i/>
          <w:lang w:eastAsia="ja-JP"/>
        </w:rPr>
        <w:t xml:space="preserve">Modify Figure </w:t>
      </w:r>
      <w:r>
        <w:rPr>
          <w:b/>
          <w:i/>
          <w:lang w:eastAsia="ja-JP"/>
        </w:rPr>
        <w:t>31</w:t>
      </w:r>
      <w:r>
        <w:rPr>
          <w:rFonts w:hint="eastAsia"/>
          <w:b/>
          <w:i/>
          <w:lang w:eastAsia="ja-JP"/>
        </w:rPr>
        <w:t xml:space="preserve"> as follows</w:t>
      </w:r>
      <w:r>
        <w:rPr>
          <w:b/>
          <w:i/>
          <w:lang w:eastAsia="ja-JP"/>
        </w:rPr>
        <w:t>:</w:t>
      </w:r>
    </w:p>
    <w:p w:rsidR="004E52CA" w:rsidRDefault="004E52CA" w:rsidP="000C1570">
      <w:pPr>
        <w:widowControl w:val="0"/>
        <w:spacing w:before="120"/>
      </w:pPr>
    </w:p>
    <w:p w:rsidR="000712DE" w:rsidRDefault="0009315D" w:rsidP="00095233">
      <w:pPr>
        <w:widowControl w:val="0"/>
        <w:spacing w:before="120"/>
        <w:jc w:val="center"/>
      </w:pPr>
      <w:r>
        <w:object w:dxaOrig="7294" w:dyaOrig="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99.65pt" o:ole="">
            <v:imagedata r:id="rId9" o:title=""/>
          </v:shape>
          <o:OLEObject Type="Embed" ProgID="Visio.Drawing.11" ShapeID="_x0000_i1025" DrawAspect="Content" ObjectID="_1520661249" r:id="rId10"/>
        </w:object>
      </w:r>
    </w:p>
    <w:p w:rsidR="000C1570" w:rsidRPr="00B6137A" w:rsidRDefault="000C1570" w:rsidP="00095233">
      <w:pPr>
        <w:widowControl w:val="0"/>
        <w:spacing w:before="120"/>
        <w:jc w:val="center"/>
      </w:pPr>
      <w:r>
        <w:rPr>
          <w:rFonts w:ascii="Arial-BoldMT" w:hAnsi="Arial-BoldMT" w:cs="Arial-BoldMT"/>
          <w:b/>
          <w:bCs/>
          <w:color w:val="000000"/>
          <w:sz w:val="20"/>
          <w:lang w:eastAsia="en-US"/>
        </w:rPr>
        <w:t>Figure 31—Format of the Descriptor field of the L2R-D IE</w:t>
      </w:r>
    </w:p>
    <w:p w:rsidR="000C1570" w:rsidRDefault="000C1570" w:rsidP="000C1570">
      <w:pPr>
        <w:pStyle w:val="NoSpacing"/>
        <w:jc w:val="center"/>
        <w:rPr>
          <w:lang w:eastAsia="ja-JP"/>
        </w:rPr>
      </w:pPr>
    </w:p>
    <w:p w:rsidR="000B3339" w:rsidRDefault="000B3339" w:rsidP="0009315D">
      <w:pPr>
        <w:pStyle w:val="NoSpacing"/>
        <w:rPr>
          <w:lang w:eastAsia="ja-JP"/>
        </w:rPr>
      </w:pPr>
    </w:p>
    <w:p w:rsidR="000C1570" w:rsidRDefault="000C1570" w:rsidP="00CE5C57">
      <w:pPr>
        <w:pStyle w:val="NoSpacing"/>
        <w:jc w:val="center"/>
        <w:rPr>
          <w:lang w:eastAsia="ja-JP"/>
        </w:rPr>
      </w:pPr>
    </w:p>
    <w:p w:rsidR="000C1570" w:rsidRDefault="000C1570" w:rsidP="00CE5C57">
      <w:pPr>
        <w:pStyle w:val="NoSpacing"/>
        <w:jc w:val="center"/>
        <w:rPr>
          <w:lang w:eastAsia="ja-JP"/>
        </w:rPr>
      </w:pPr>
    </w:p>
    <w:sectPr w:rsidR="000C157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BD" w:rsidRDefault="00862DBD">
      <w:r>
        <w:separator/>
      </w:r>
    </w:p>
  </w:endnote>
  <w:endnote w:type="continuationSeparator" w:id="0">
    <w:p w:rsidR="00862DBD" w:rsidRDefault="0086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7E9F">
        <w:rPr>
          <w:noProof/>
        </w:rPr>
        <w:t>Charlie Perkins (Futurewei)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BD" w:rsidRDefault="00862DBD">
      <w:r>
        <w:separator/>
      </w:r>
    </w:p>
  </w:footnote>
  <w:footnote w:type="continuationSeparator" w:id="0">
    <w:p w:rsidR="00862DBD" w:rsidRDefault="0086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fldSimple w:instr=" DOCPROPERTY &quot;Category&quot;  \* MERGEFORMAT ">
      <w:r w:rsidR="006037CA">
        <w:rPr>
          <w:b/>
          <w:sz w:val="28"/>
          <w:u w:val="single"/>
        </w:rPr>
        <w:t>15-16-</w:t>
      </w:r>
      <w:r w:rsidR="0047556B" w:rsidRPr="003B1AAD">
        <w:rPr>
          <w:b/>
          <w:sz w:val="28"/>
          <w:u w:val="single"/>
        </w:rPr>
        <w:t>029</w:t>
      </w:r>
      <w:r w:rsidR="003A6545">
        <w:rPr>
          <w:b/>
          <w:sz w:val="28"/>
          <w:u w:val="single"/>
        </w:rPr>
        <w:t>9</w:t>
      </w:r>
      <w:r w:rsidR="0047556B" w:rsidRPr="003B1AAD">
        <w:rPr>
          <w:b/>
          <w:sz w:val="28"/>
          <w:u w:val="single"/>
        </w:rPr>
        <w:t>-0</w:t>
      </w:r>
      <w:r w:rsidR="005707E6">
        <w:rPr>
          <w:b/>
          <w:sz w:val="28"/>
          <w:u w:val="single"/>
        </w:rPr>
        <w:t>1</w:t>
      </w:r>
      <w:r w:rsidR="0047556B" w:rsidRPr="003B1AAD">
        <w:rPr>
          <w:b/>
          <w:sz w:val="28"/>
          <w:u w:val="single"/>
        </w:rPr>
        <w:t>-0</w:t>
      </w:r>
      <w:r w:rsidR="003A6545">
        <w:rPr>
          <w:b/>
          <w:sz w:val="28"/>
          <w:u w:val="single"/>
        </w:rPr>
        <w:t>010</w:t>
      </w:r>
      <w:r w:rsidR="0047556B">
        <w:rPr>
          <w:b/>
          <w:sz w:val="28"/>
          <w:u w:val="single"/>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712DE"/>
    <w:rsid w:val="000918D5"/>
    <w:rsid w:val="0009315D"/>
    <w:rsid w:val="000940C7"/>
    <w:rsid w:val="00095233"/>
    <w:rsid w:val="000A7E9F"/>
    <w:rsid w:val="000B091A"/>
    <w:rsid w:val="000B0C81"/>
    <w:rsid w:val="000B3339"/>
    <w:rsid w:val="000C1570"/>
    <w:rsid w:val="000C36ED"/>
    <w:rsid w:val="000E6CA3"/>
    <w:rsid w:val="0010068A"/>
    <w:rsid w:val="0012463B"/>
    <w:rsid w:val="00137EE5"/>
    <w:rsid w:val="001736A8"/>
    <w:rsid w:val="001A6C19"/>
    <w:rsid w:val="001C6AC7"/>
    <w:rsid w:val="001F04CE"/>
    <w:rsid w:val="0020647C"/>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6282"/>
    <w:rsid w:val="004561E4"/>
    <w:rsid w:val="0047556B"/>
    <w:rsid w:val="004E143F"/>
    <w:rsid w:val="004E52CA"/>
    <w:rsid w:val="004F5FEF"/>
    <w:rsid w:val="005002BB"/>
    <w:rsid w:val="00525DB4"/>
    <w:rsid w:val="00536B0D"/>
    <w:rsid w:val="00542238"/>
    <w:rsid w:val="005707E6"/>
    <w:rsid w:val="00581E62"/>
    <w:rsid w:val="005F420B"/>
    <w:rsid w:val="005F42D6"/>
    <w:rsid w:val="006037CA"/>
    <w:rsid w:val="00626D04"/>
    <w:rsid w:val="006349CA"/>
    <w:rsid w:val="00647AA1"/>
    <w:rsid w:val="00664800"/>
    <w:rsid w:val="006855C7"/>
    <w:rsid w:val="006C39E5"/>
    <w:rsid w:val="006D4422"/>
    <w:rsid w:val="006E5E32"/>
    <w:rsid w:val="006E79D1"/>
    <w:rsid w:val="006F252F"/>
    <w:rsid w:val="00712434"/>
    <w:rsid w:val="007258E2"/>
    <w:rsid w:val="00742AC8"/>
    <w:rsid w:val="007505C1"/>
    <w:rsid w:val="0079049B"/>
    <w:rsid w:val="00793042"/>
    <w:rsid w:val="00810596"/>
    <w:rsid w:val="00820B36"/>
    <w:rsid w:val="0082687E"/>
    <w:rsid w:val="00851914"/>
    <w:rsid w:val="00862DBD"/>
    <w:rsid w:val="008D4FFE"/>
    <w:rsid w:val="008E181E"/>
    <w:rsid w:val="0094127E"/>
    <w:rsid w:val="00982EEF"/>
    <w:rsid w:val="009939AA"/>
    <w:rsid w:val="009B74E4"/>
    <w:rsid w:val="009E497A"/>
    <w:rsid w:val="009F2C84"/>
    <w:rsid w:val="00A14601"/>
    <w:rsid w:val="00A17DA7"/>
    <w:rsid w:val="00A36CC2"/>
    <w:rsid w:val="00A43417"/>
    <w:rsid w:val="00A71FB5"/>
    <w:rsid w:val="00AA35C6"/>
    <w:rsid w:val="00AB2668"/>
    <w:rsid w:val="00AB4FF0"/>
    <w:rsid w:val="00AB79D2"/>
    <w:rsid w:val="00AD0512"/>
    <w:rsid w:val="00AF4495"/>
    <w:rsid w:val="00B2190E"/>
    <w:rsid w:val="00B30B52"/>
    <w:rsid w:val="00B61384"/>
    <w:rsid w:val="00B75254"/>
    <w:rsid w:val="00B977D7"/>
    <w:rsid w:val="00BA252B"/>
    <w:rsid w:val="00BB2CEF"/>
    <w:rsid w:val="00BB4625"/>
    <w:rsid w:val="00BC6204"/>
    <w:rsid w:val="00C12CD7"/>
    <w:rsid w:val="00C20ACD"/>
    <w:rsid w:val="00C474E6"/>
    <w:rsid w:val="00C51E43"/>
    <w:rsid w:val="00C877AE"/>
    <w:rsid w:val="00CA4180"/>
    <w:rsid w:val="00CC6BBF"/>
    <w:rsid w:val="00CD4788"/>
    <w:rsid w:val="00CE5C57"/>
    <w:rsid w:val="00CE7CB2"/>
    <w:rsid w:val="00CF61E3"/>
    <w:rsid w:val="00D444A9"/>
    <w:rsid w:val="00D56840"/>
    <w:rsid w:val="00D72DD6"/>
    <w:rsid w:val="00D831F3"/>
    <w:rsid w:val="00D8397E"/>
    <w:rsid w:val="00D85F94"/>
    <w:rsid w:val="00D87D7A"/>
    <w:rsid w:val="00DB1701"/>
    <w:rsid w:val="00DB4FB0"/>
    <w:rsid w:val="00DC6A54"/>
    <w:rsid w:val="00DD0842"/>
    <w:rsid w:val="00DF5ED4"/>
    <w:rsid w:val="00E16EAA"/>
    <w:rsid w:val="00E960A6"/>
    <w:rsid w:val="00EC1005"/>
    <w:rsid w:val="00EC2167"/>
    <w:rsid w:val="00EC3138"/>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6C72-22C4-4C52-831C-7B0DD9E1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666</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11</cp:revision>
  <cp:lastPrinted>1901-01-01T07:00:00Z</cp:lastPrinted>
  <dcterms:created xsi:type="dcterms:W3CDTF">2016-03-28T04:36:00Z</dcterms:created>
  <dcterms:modified xsi:type="dcterms:W3CDTF">2016-03-28T16:07:00Z</dcterms:modified>
  <cp:category>&lt;doc#&gt;</cp:category>
</cp:coreProperties>
</file>