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814320">
            <w:pPr>
              <w:pStyle w:val="covertext"/>
            </w:pPr>
            <w:r w:rsidRPr="0051513B">
              <w:t xml:space="preserve">802.15 TG10 (L2R) </w:t>
            </w:r>
            <w:r w:rsidR="00DE3A35">
              <w:t>Comment Resolution</w:t>
            </w:r>
            <w:r w:rsidRPr="0051513B">
              <w:t xml:space="preserve"> </w:t>
            </w:r>
            <w:r w:rsidR="003B29F5">
              <w:t>for</w:t>
            </w:r>
            <w:r w:rsidR="00E77B11">
              <w:rPr>
                <w:szCs w:val="24"/>
              </w:rPr>
              <w:t xml:space="preserve"> CIDs </w:t>
            </w:r>
            <w:r w:rsidR="003B29F5" w:rsidRPr="003B29F5">
              <w:rPr>
                <w:szCs w:val="24"/>
              </w:rPr>
              <w:t>#</w:t>
            </w:r>
            <w:r w:rsidR="00334519" w:rsidRPr="000666BA">
              <w:rPr>
                <w:szCs w:val="24"/>
              </w:rPr>
              <w:t>3</w:t>
            </w:r>
            <w:r w:rsidR="00814320">
              <w:rPr>
                <w:szCs w:val="24"/>
              </w:rPr>
              <w:t>145</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B6137A">
            <w:pPr>
              <w:pStyle w:val="covertext"/>
            </w:pPr>
            <w:r>
              <w:t>[</w:t>
            </w:r>
            <w:r w:rsidR="00334519">
              <w:t>1</w:t>
            </w:r>
            <w:r w:rsidR="00B6137A">
              <w:t>7</w:t>
            </w:r>
            <w:r w:rsidR="00600010">
              <w:t xml:space="preserve"> </w:t>
            </w:r>
            <w:r w:rsidR="00334519">
              <w:t>March</w:t>
            </w:r>
            <w:r w:rsidR="003B29F5">
              <w:t xml:space="preserve">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B29F5">
              <w:t>comment r</w:t>
            </w:r>
            <w:r w:rsidR="003B29F5" w:rsidRPr="003B29F5">
              <w:t>esolution</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C857CC" w:rsidP="00C857CC">
            <w:pPr>
              <w:pStyle w:val="covertext"/>
            </w:pPr>
            <w:r>
              <w:t>This document provides comment r</w:t>
            </w:r>
            <w:r w:rsidR="00E77B11">
              <w:t>esolution</w:t>
            </w:r>
            <w:r>
              <w:t>s</w:t>
            </w:r>
            <w:r w:rsidR="00E77B11" w:rsidRPr="0051513B">
              <w:t xml:space="preserve"> </w:t>
            </w:r>
            <w:r w:rsidR="00E77B11">
              <w:t>for comments</w:t>
            </w:r>
            <w:r w:rsidR="00B6137A">
              <w:rPr>
                <w:szCs w:val="24"/>
              </w:rPr>
              <w:t xml:space="preserve"> CID</w:t>
            </w:r>
            <w:r w:rsidR="00E77B11">
              <w:rPr>
                <w:szCs w:val="24"/>
              </w:rPr>
              <w:t xml:space="preserve"> </w:t>
            </w:r>
            <w:r w:rsidR="000666BA" w:rsidRPr="000666BA">
              <w:rPr>
                <w:szCs w:val="24"/>
              </w:rPr>
              <w:t>#</w:t>
            </w:r>
            <w:r w:rsidR="00B6137A" w:rsidRPr="000666BA">
              <w:rPr>
                <w:szCs w:val="24"/>
              </w:rPr>
              <w:t>3</w:t>
            </w:r>
            <w:r w:rsidR="00B6137A">
              <w:rPr>
                <w:szCs w:val="24"/>
              </w:rPr>
              <w:t>145</w:t>
            </w:r>
            <w:r w:rsidR="00E77B11">
              <w:rPr>
                <w:szCs w:val="24"/>
              </w:rPr>
              <w:t xml:space="preserve"> related to </w:t>
            </w:r>
            <w:r w:rsidR="003B29F5">
              <w:rPr>
                <w:szCs w:val="24"/>
              </w:rPr>
              <w:t>metric definitions and mesh configuration parameters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E77B11">
            <w:pPr>
              <w:pStyle w:val="covertext"/>
            </w:pPr>
            <w:r>
              <w:t>[</w:t>
            </w:r>
            <w:r w:rsidR="003C5FE3">
              <w:t>TG10 (L2R</w:t>
            </w:r>
            <w:r w:rsidR="00E77B11">
              <w:t>) comment resolution to produce next draft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E77B11" w:rsidRDefault="00643A24" w:rsidP="00E77B11">
      <w:pPr>
        <w:pStyle w:val="NoSpacing"/>
        <w:jc w:val="center"/>
      </w:pPr>
      <w:r>
        <w:rPr>
          <w:b/>
          <w:sz w:val="28"/>
        </w:rPr>
        <w:br w:type="page"/>
      </w:r>
    </w:p>
    <w:p w:rsidR="00620C57" w:rsidRDefault="00620C57" w:rsidP="000F3284">
      <w:pP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E77B11" w:rsidRDefault="00E77B11" w:rsidP="00E77B11">
      <w:pPr>
        <w:widowControl w:val="0"/>
        <w:spacing w:before="120"/>
        <w:rPr>
          <w:b/>
          <w:sz w:val="28"/>
          <w:u w:val="single"/>
        </w:rPr>
      </w:pPr>
      <w:r>
        <w:rPr>
          <w:rFonts w:hint="eastAsia"/>
          <w:b/>
          <w:sz w:val="28"/>
          <w:u w:val="single"/>
        </w:rPr>
        <w:lastRenderedPageBreak/>
        <w:t>Comment</w:t>
      </w:r>
      <w:r>
        <w:rPr>
          <w:b/>
          <w:sz w:val="28"/>
          <w:u w:val="single"/>
        </w:rPr>
        <w:t>s</w:t>
      </w:r>
      <w:r>
        <w:rPr>
          <w:rFonts w:hint="eastAsia"/>
          <w:b/>
          <w:sz w:val="28"/>
          <w:u w:val="single"/>
        </w:rPr>
        <w:t xml:space="preserve"> #</w:t>
      </w:r>
      <w:r w:rsidR="000666BA">
        <w:rPr>
          <w:b/>
          <w:sz w:val="28"/>
          <w:u w:val="single"/>
        </w:rPr>
        <w:t>3063, #3064, #3096, #3101</w:t>
      </w:r>
      <w:r w:rsidR="003B29F5">
        <w:rPr>
          <w:b/>
          <w:sz w:val="28"/>
          <w:u w:val="single"/>
        </w:rPr>
        <w:t xml:space="preserve">, </w:t>
      </w:r>
      <w:r w:rsidR="000666BA">
        <w:rPr>
          <w:b/>
          <w:sz w:val="28"/>
          <w:u w:val="single"/>
        </w:rPr>
        <w:t>#3102</w:t>
      </w:r>
    </w:p>
    <w:p w:rsidR="00C857CC" w:rsidRDefault="00C857CC" w:rsidP="00E77B11">
      <w:pPr>
        <w:widowControl w:val="0"/>
        <w:spacing w:before="120"/>
        <w:rPr>
          <w:b/>
          <w:sz w:val="28"/>
          <w:u w:val="single"/>
        </w:rPr>
      </w:pPr>
    </w:p>
    <w:tbl>
      <w:tblPr>
        <w:tblStyle w:val="TableGrid"/>
        <w:tblW w:w="0" w:type="auto"/>
        <w:tblLayout w:type="fixed"/>
        <w:tblLook w:val="04A0" w:firstRow="1" w:lastRow="0" w:firstColumn="1" w:lastColumn="0" w:noHBand="0" w:noVBand="1"/>
      </w:tblPr>
      <w:tblGrid>
        <w:gridCol w:w="738"/>
        <w:gridCol w:w="1440"/>
        <w:gridCol w:w="1080"/>
        <w:gridCol w:w="540"/>
        <w:gridCol w:w="900"/>
        <w:gridCol w:w="540"/>
        <w:gridCol w:w="2520"/>
        <w:gridCol w:w="1818"/>
      </w:tblGrid>
      <w:tr w:rsidR="00B6137A" w:rsidRPr="000666BA" w:rsidTr="009C61A2">
        <w:trPr>
          <w:trHeight w:val="1020"/>
        </w:trPr>
        <w:tc>
          <w:tcPr>
            <w:tcW w:w="738" w:type="dxa"/>
            <w:noWrap/>
            <w:hideMark/>
          </w:tcPr>
          <w:p w:rsidR="00B6137A" w:rsidRPr="002F5987" w:rsidRDefault="00B6137A" w:rsidP="002A237C">
            <w:r w:rsidRPr="002F5987">
              <w:t>3145</w:t>
            </w:r>
          </w:p>
        </w:tc>
        <w:tc>
          <w:tcPr>
            <w:tcW w:w="1440" w:type="dxa"/>
            <w:noWrap/>
            <w:hideMark/>
          </w:tcPr>
          <w:p w:rsidR="00B6137A" w:rsidRPr="002F5987" w:rsidRDefault="00B6137A" w:rsidP="002A237C">
            <w:r w:rsidRPr="002F5987">
              <w:t xml:space="preserve">Don </w:t>
            </w:r>
            <w:proofErr w:type="spellStart"/>
            <w:r w:rsidRPr="002F5987">
              <w:t>Sturek</w:t>
            </w:r>
            <w:proofErr w:type="spellEnd"/>
          </w:p>
        </w:tc>
        <w:tc>
          <w:tcPr>
            <w:tcW w:w="1080" w:type="dxa"/>
            <w:hideMark/>
          </w:tcPr>
          <w:p w:rsidR="00B6137A" w:rsidRPr="002F5987" w:rsidRDefault="00B6137A" w:rsidP="002A237C">
            <w:r w:rsidRPr="002F5987">
              <w:t>SSNI</w:t>
            </w:r>
          </w:p>
        </w:tc>
        <w:tc>
          <w:tcPr>
            <w:tcW w:w="540" w:type="dxa"/>
            <w:noWrap/>
            <w:hideMark/>
          </w:tcPr>
          <w:p w:rsidR="00B6137A" w:rsidRPr="002F5987" w:rsidRDefault="00B6137A" w:rsidP="002A237C">
            <w:r w:rsidRPr="002F5987">
              <w:t>all</w:t>
            </w:r>
          </w:p>
        </w:tc>
        <w:tc>
          <w:tcPr>
            <w:tcW w:w="900" w:type="dxa"/>
            <w:noWrap/>
            <w:hideMark/>
          </w:tcPr>
          <w:p w:rsidR="00B6137A" w:rsidRPr="002F5987" w:rsidRDefault="00B6137A" w:rsidP="002A237C"/>
        </w:tc>
        <w:tc>
          <w:tcPr>
            <w:tcW w:w="540" w:type="dxa"/>
            <w:noWrap/>
            <w:hideMark/>
          </w:tcPr>
          <w:p w:rsidR="00B6137A" w:rsidRPr="002F5987" w:rsidRDefault="00B6137A" w:rsidP="002A237C"/>
        </w:tc>
        <w:tc>
          <w:tcPr>
            <w:tcW w:w="2520" w:type="dxa"/>
            <w:hideMark/>
          </w:tcPr>
          <w:p w:rsidR="00B6137A" w:rsidRPr="002F5987" w:rsidRDefault="00B6137A" w:rsidP="002A237C">
            <w:r w:rsidRPr="002F5987">
              <w:t xml:space="preserve">So far, I find US/DS routing, P2P </w:t>
            </w:r>
            <w:proofErr w:type="gramStart"/>
            <w:r w:rsidRPr="002F5987">
              <w:t>routing,</w:t>
            </w:r>
            <w:proofErr w:type="gramEnd"/>
            <w:r w:rsidRPr="002F5987">
              <w:t xml:space="preserve"> sibling routing, multicast routing, TMCTP and service routing.  It would really help to have some explanation at the top as to what works with what.  For example see Figure 31.  Conceptually, I think some of these fields </w:t>
            </w:r>
            <w:proofErr w:type="spellStart"/>
            <w:r w:rsidRPr="002F5987">
              <w:t>cant</w:t>
            </w:r>
            <w:proofErr w:type="spellEnd"/>
            <w:r w:rsidRPr="002F5987">
              <w:t xml:space="preserve"> be set with others (</w:t>
            </w:r>
            <w:proofErr w:type="spellStart"/>
            <w:r w:rsidRPr="002F5987">
              <w:t>eg</w:t>
            </w:r>
            <w:proofErr w:type="spellEnd"/>
            <w:r w:rsidRPr="002F5987">
              <w:t>, mesh address mode must be long for TMCTP, P2P Route Discovery and Storing Mode don't seem to go together).  It would be great to see these different routing modes better defined and then a clear picture from Figure 31 as to the allowable operating modes</w:t>
            </w:r>
          </w:p>
        </w:tc>
        <w:tc>
          <w:tcPr>
            <w:tcW w:w="1818" w:type="dxa"/>
            <w:hideMark/>
          </w:tcPr>
          <w:p w:rsidR="00B6137A" w:rsidRDefault="00B6137A" w:rsidP="002A237C">
            <w:r w:rsidRPr="002F5987">
              <w:t>Help clarify what works with what.  Seems like P2P and multicast routing don't have anything to do with one another (is that right?).  It seems that P2P and US/DS are orthogonal.  Seems like MCO works only with US/DS (right?).  Not clear you can use TMCTP with P2P (is that even possible?).</w:t>
            </w:r>
          </w:p>
        </w:tc>
      </w:tr>
    </w:tbl>
    <w:p w:rsidR="00E03EB2" w:rsidRDefault="00E03EB2" w:rsidP="000E3700">
      <w:pPr>
        <w:widowControl w:val="0"/>
        <w:spacing w:before="120"/>
        <w:rPr>
          <w:b/>
          <w:u w:val="single"/>
        </w:rPr>
      </w:pPr>
    </w:p>
    <w:p w:rsidR="000E3700" w:rsidRDefault="000E3700" w:rsidP="000E3700">
      <w:pPr>
        <w:widowControl w:val="0"/>
        <w:spacing w:before="120"/>
        <w:rPr>
          <w:b/>
          <w:u w:val="single"/>
        </w:rPr>
      </w:pPr>
      <w:r>
        <w:rPr>
          <w:b/>
          <w:u w:val="single"/>
        </w:rPr>
        <w:t>CID</w:t>
      </w:r>
      <w:r w:rsidRPr="000C398A">
        <w:rPr>
          <w:b/>
          <w:u w:val="single"/>
        </w:rPr>
        <w:t xml:space="preserve"> </w:t>
      </w:r>
      <w:r w:rsidR="00C13051">
        <w:rPr>
          <w:b/>
          <w:u w:val="single"/>
        </w:rPr>
        <w:t>3</w:t>
      </w:r>
      <w:r w:rsidR="00B6137A">
        <w:rPr>
          <w:b/>
          <w:u w:val="single"/>
        </w:rPr>
        <w:t>145</w:t>
      </w:r>
      <w:r>
        <w:rPr>
          <w:b/>
          <w:u w:val="single"/>
        </w:rPr>
        <w:t>:</w:t>
      </w:r>
    </w:p>
    <w:p w:rsidR="00B6137A" w:rsidRDefault="00B6137A" w:rsidP="000E3700">
      <w:pPr>
        <w:widowControl w:val="0"/>
        <w:spacing w:before="120"/>
        <w:rPr>
          <w:b/>
          <w:u w:val="single"/>
        </w:rPr>
      </w:pPr>
    </w:p>
    <w:p w:rsidR="00B6137A" w:rsidRPr="00B6137A" w:rsidRDefault="00411EFF" w:rsidP="00B6137A">
      <w:pPr>
        <w:widowControl w:val="0"/>
        <w:spacing w:before="120"/>
      </w:pPr>
      <w:r>
        <w:t xml:space="preserve">Discussion about interrelationships between </w:t>
      </w:r>
      <w:r w:rsidR="00B6137A" w:rsidRPr="00B6137A">
        <w:t xml:space="preserve">US/DS </w:t>
      </w:r>
      <w:proofErr w:type="gramStart"/>
      <w:r w:rsidR="00B6137A" w:rsidRPr="00B6137A">
        <w:t>routing,</w:t>
      </w:r>
      <w:proofErr w:type="gramEnd"/>
      <w:r w:rsidR="00B6137A" w:rsidRPr="00B6137A">
        <w:t xml:space="preserve"> P2P routing, sibling routing, multicast routing,</w:t>
      </w:r>
      <w:r w:rsidR="00B6137A">
        <w:t xml:space="preserve"> </w:t>
      </w:r>
      <w:r w:rsidR="00B6137A" w:rsidRPr="00B6137A">
        <w:t>TMCTP and service routing.</w:t>
      </w:r>
    </w:p>
    <w:p w:rsidR="00B6137A" w:rsidRPr="00B6137A" w:rsidRDefault="00B6137A" w:rsidP="00B6137A">
      <w:pPr>
        <w:widowControl w:val="0"/>
        <w:spacing w:before="120"/>
      </w:pPr>
      <w:r w:rsidRPr="00B6137A">
        <w:t>Here, higher-layer operation is not considered.</w:t>
      </w:r>
    </w:p>
    <w:p w:rsidR="00B6137A" w:rsidRPr="00B6137A" w:rsidRDefault="00B6137A" w:rsidP="00B6137A">
      <w:pPr>
        <w:widowControl w:val="0"/>
        <w:spacing w:before="120"/>
      </w:pPr>
      <w:r w:rsidRPr="00B6137A">
        <w:t>So, multicast routing means multicast at layer 2.</w:t>
      </w:r>
    </w:p>
    <w:p w:rsidR="00B6137A" w:rsidRPr="00B6137A" w:rsidRDefault="00B6137A" w:rsidP="00B6137A">
      <w:pPr>
        <w:widowControl w:val="0"/>
        <w:spacing w:before="120"/>
      </w:pPr>
      <w:r w:rsidRPr="00B6137A">
        <w:t>Sibling routing is a possible feature of US/DS routing, and so is not used</w:t>
      </w:r>
      <w:r>
        <w:t xml:space="preserve"> </w:t>
      </w:r>
      <w:r w:rsidRPr="00B6137A">
        <w:t>for multicast routing or P2P routing.</w:t>
      </w:r>
    </w:p>
    <w:p w:rsidR="00B6137A" w:rsidRPr="00B6137A" w:rsidRDefault="00B6137A" w:rsidP="00B6137A">
      <w:pPr>
        <w:widowControl w:val="0"/>
        <w:spacing w:before="120"/>
      </w:pPr>
      <w:r w:rsidRPr="00B6137A">
        <w:t>Multicast routing can use US/DS routing or P2P routing</w:t>
      </w:r>
    </w:p>
    <w:p w:rsidR="00B6137A" w:rsidRPr="00B6137A" w:rsidRDefault="00B6137A" w:rsidP="00B6137A">
      <w:pPr>
        <w:widowControl w:val="0"/>
        <w:spacing w:before="120"/>
      </w:pPr>
    </w:p>
    <w:p w:rsidR="00B6137A" w:rsidRPr="00B6137A" w:rsidRDefault="00B6137A" w:rsidP="00B6137A">
      <w:pPr>
        <w:widowControl w:val="0"/>
        <w:spacing w:before="120"/>
      </w:pPr>
      <w:r w:rsidRPr="00B6137A">
        <w:t>US/DS routing is always available.</w:t>
      </w:r>
    </w:p>
    <w:p w:rsidR="00B6137A" w:rsidRPr="00B6137A" w:rsidRDefault="00B6137A" w:rsidP="00B6137A">
      <w:pPr>
        <w:widowControl w:val="0"/>
        <w:spacing w:before="120"/>
      </w:pPr>
      <w:r w:rsidRPr="00B6137A">
        <w:t>P2P routing can be used in addition to US/DS routing.</w:t>
      </w:r>
    </w:p>
    <w:p w:rsidR="00B6137A" w:rsidRPr="00B6137A" w:rsidRDefault="00B6137A" w:rsidP="00B6137A">
      <w:pPr>
        <w:widowControl w:val="0"/>
        <w:spacing w:before="120"/>
      </w:pPr>
      <w:r w:rsidRPr="00B6137A">
        <w:t>P2P routing can be used in storing mode or non-storing mode.</w:t>
      </w:r>
    </w:p>
    <w:p w:rsidR="00B6137A" w:rsidRPr="00B6137A" w:rsidRDefault="00B6137A" w:rsidP="00B6137A">
      <w:pPr>
        <w:widowControl w:val="0"/>
        <w:spacing w:before="120"/>
      </w:pPr>
    </w:p>
    <w:p w:rsidR="00B6137A" w:rsidRPr="00B6137A" w:rsidRDefault="00B6137A" w:rsidP="00B6137A">
      <w:pPr>
        <w:widowControl w:val="0"/>
        <w:spacing w:before="120"/>
      </w:pPr>
      <w:r w:rsidRPr="00B6137A">
        <w:t xml:space="preserve">Service </w:t>
      </w:r>
      <w:proofErr w:type="gramStart"/>
      <w:r w:rsidRPr="00B6137A">
        <w:t>routing ...</w:t>
      </w:r>
      <w:proofErr w:type="gramEnd"/>
      <w:r w:rsidRPr="00B6137A">
        <w:t xml:space="preserve"> ?  If all services are accessible by the mesh root</w:t>
      </w:r>
      <w:proofErr w:type="gramStart"/>
      <w:r w:rsidRPr="00B6137A">
        <w:t>,then</w:t>
      </w:r>
      <w:proofErr w:type="gramEnd"/>
      <w:r w:rsidRPr="00B6137A">
        <w:t xml:space="preserve"> service routing is a subset of US routing.</w:t>
      </w:r>
    </w:p>
    <w:p w:rsidR="00B6137A" w:rsidRPr="00B6137A" w:rsidRDefault="00B6137A" w:rsidP="00B6137A">
      <w:pPr>
        <w:widowControl w:val="0"/>
        <w:spacing w:before="120"/>
      </w:pPr>
    </w:p>
    <w:p w:rsidR="00B6137A" w:rsidRPr="00B6137A" w:rsidRDefault="00B6137A" w:rsidP="00B6137A">
      <w:pPr>
        <w:widowControl w:val="0"/>
        <w:spacing w:before="120"/>
      </w:pPr>
      <w:r w:rsidRPr="00B6137A">
        <w:t xml:space="preserve">Multicast routing should be allowed for storing-mode P2P.  </w:t>
      </w:r>
      <w:proofErr w:type="gramStart"/>
      <w:r w:rsidRPr="00B6137A">
        <w:t>Non-storing?</w:t>
      </w:r>
      <w:proofErr w:type="gramEnd"/>
    </w:p>
    <w:p w:rsidR="009675A5" w:rsidRDefault="009675A5" w:rsidP="00B6137A">
      <w:pPr>
        <w:widowControl w:val="0"/>
        <w:spacing w:before="120"/>
      </w:pPr>
    </w:p>
    <w:p w:rsidR="00B6137A" w:rsidRDefault="00B6137A" w:rsidP="00B6137A">
      <w:pPr>
        <w:widowControl w:val="0"/>
        <w:spacing w:before="120"/>
      </w:pPr>
      <w:r w:rsidRPr="00B6137A">
        <w:t>TMCTP operation is a particular kind of MCO operation.  Does it require long address mode?</w:t>
      </w:r>
    </w:p>
    <w:p w:rsidR="00411EFF" w:rsidRDefault="00411EFF" w:rsidP="00B6137A">
      <w:pPr>
        <w:widowControl w:val="0"/>
        <w:spacing w:before="120"/>
      </w:pPr>
    </w:p>
    <w:p w:rsidR="00411EFF" w:rsidRDefault="00411EFF" w:rsidP="00411EFF">
      <w:pPr>
        <w:autoSpaceDE w:val="0"/>
        <w:autoSpaceDN w:val="0"/>
        <w:adjustRightInd w:val="0"/>
        <w:rPr>
          <w:rFonts w:ascii="TimesNewRomanPS-BoldMT" w:hAnsi="TimesNewRomanPS-BoldMT" w:cs="TimesNewRomanPS-BoldMT"/>
          <w:b/>
          <w:bCs/>
          <w:color w:val="000000"/>
          <w:sz w:val="20"/>
          <w:lang w:eastAsia="en-US"/>
        </w:rPr>
      </w:pPr>
      <w:r>
        <w:rPr>
          <w:rFonts w:ascii="TimesNewRomanPS-BoldMT" w:hAnsi="TimesNewRomanPS-BoldMT" w:cs="TimesNewRomanPS-BoldMT"/>
          <w:b/>
          <w:bCs/>
          <w:color w:val="232021"/>
          <w:sz w:val="20"/>
          <w:lang w:eastAsia="en-US"/>
        </w:rPr>
        <w:t xml:space="preserve">Bits: 0 1 </w:t>
      </w:r>
      <w:r>
        <w:rPr>
          <w:rFonts w:ascii="TimesNewRomanPS-BoldMT" w:hAnsi="TimesNewRomanPS-BoldMT" w:cs="TimesNewRomanPS-BoldMT"/>
          <w:b/>
          <w:bCs/>
          <w:color w:val="000000"/>
          <w:sz w:val="20"/>
          <w:lang w:eastAsia="en-US"/>
        </w:rPr>
        <w:t>2 3 4 5 6 7-8 9 10 11-13 14-15</w:t>
      </w:r>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bookmarkStart w:id="0" w:name="_GoBack"/>
      <w:r w:rsidRPr="00411EFF">
        <w:rPr>
          <w:rFonts w:ascii="TimesNewRomanPSMT" w:hAnsi="TimesNewRomanPSMT" w:cs="TimesNewRomanPSMT"/>
          <w:color w:val="000000"/>
          <w:sz w:val="20"/>
        </w:rPr>
        <w:t xml:space="preserve">Mesh Address </w:t>
      </w:r>
      <w:r w:rsidRPr="00411EFF">
        <w:rPr>
          <w:rFonts w:ascii="TimesNewRomanPSMT" w:hAnsi="TimesNewRomanPSMT" w:cs="TimesNewRomanPSMT"/>
          <w:color w:val="000000"/>
          <w:sz w:val="20"/>
        </w:rPr>
        <w:t>Mode</w:t>
      </w:r>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r w:rsidRPr="00411EFF">
        <w:rPr>
          <w:rFonts w:ascii="TimesNewRomanPSMT" w:hAnsi="TimesNewRomanPSMT" w:cs="TimesNewRomanPSMT"/>
          <w:color w:val="000000"/>
          <w:sz w:val="20"/>
        </w:rPr>
        <w:t>Small Scale</w:t>
      </w:r>
      <w:r w:rsidRPr="00411EFF">
        <w:rPr>
          <w:rFonts w:ascii="TimesNewRomanPSMT" w:hAnsi="TimesNewRomanPSMT" w:cs="TimesNewRomanPSMT"/>
          <w:color w:val="000000"/>
          <w:sz w:val="20"/>
        </w:rPr>
        <w:t xml:space="preserve"> </w:t>
      </w:r>
      <w:r w:rsidRPr="00411EFF">
        <w:rPr>
          <w:rFonts w:ascii="TimesNewRomanPSMT" w:hAnsi="TimesNewRomanPSMT" w:cs="TimesNewRomanPSMT"/>
          <w:color w:val="000000"/>
          <w:sz w:val="20"/>
        </w:rPr>
        <w:t>PAN</w:t>
      </w:r>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r w:rsidRPr="00411EFF">
        <w:rPr>
          <w:rFonts w:ascii="TimesNewRomanPSMT" w:hAnsi="TimesNewRomanPSMT" w:cs="TimesNewRomanPSMT"/>
          <w:color w:val="000000"/>
          <w:sz w:val="20"/>
        </w:rPr>
        <w:t xml:space="preserve">PAN </w:t>
      </w:r>
      <w:proofErr w:type="spellStart"/>
      <w:r w:rsidRPr="00411EFF">
        <w:rPr>
          <w:rFonts w:ascii="TimesNewRomanPSMT" w:hAnsi="TimesNewRomanPSMT" w:cs="TimesNewRomanPSMT"/>
          <w:color w:val="000000"/>
          <w:sz w:val="20"/>
        </w:rPr>
        <w:t>Coord</w:t>
      </w:r>
      <w:proofErr w:type="spellEnd"/>
      <w:r w:rsidRPr="00411EFF">
        <w:rPr>
          <w:rFonts w:ascii="TimesNewRomanPSMT" w:hAnsi="TimesNewRomanPSMT" w:cs="TimesNewRomanPSMT"/>
          <w:color w:val="000000"/>
          <w:sz w:val="20"/>
        </w:rPr>
        <w:t xml:space="preserve"> </w:t>
      </w:r>
      <w:r w:rsidRPr="00411EFF">
        <w:rPr>
          <w:rFonts w:ascii="TimesNewRomanPSMT" w:hAnsi="TimesNewRomanPSMT" w:cs="TimesNewRomanPSMT"/>
          <w:color w:val="000000"/>
          <w:sz w:val="20"/>
        </w:rPr>
        <w:t>Connection</w:t>
      </w:r>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r w:rsidRPr="00411EFF">
        <w:rPr>
          <w:rFonts w:ascii="TimesNewRomanPSMT" w:hAnsi="TimesNewRomanPSMT" w:cs="TimesNewRomanPSMT"/>
          <w:color w:val="000000"/>
          <w:sz w:val="20"/>
        </w:rPr>
        <w:t>Storing Mode</w:t>
      </w:r>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r w:rsidRPr="00411EFF">
        <w:rPr>
          <w:rFonts w:ascii="TimesNewRomanPSMT" w:hAnsi="TimesNewRomanPSMT" w:cs="TimesNewRomanPSMT"/>
          <w:color w:val="000000"/>
          <w:sz w:val="20"/>
        </w:rPr>
        <w:t xml:space="preserve">RA IE </w:t>
      </w:r>
      <w:r w:rsidRPr="00411EFF">
        <w:rPr>
          <w:rFonts w:ascii="TimesNewRomanPSMT" w:hAnsi="TimesNewRomanPSMT" w:cs="TimesNewRomanPSMT"/>
          <w:color w:val="000000"/>
          <w:sz w:val="20"/>
        </w:rPr>
        <w:t>Required</w:t>
      </w:r>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proofErr w:type="spellStart"/>
      <w:r w:rsidRPr="00411EFF">
        <w:rPr>
          <w:rFonts w:ascii="TimesNewRomanPSMT" w:hAnsi="TimesNewRomanPSMT" w:cs="TimesNewRomanPSMT"/>
          <w:color w:val="000000"/>
          <w:sz w:val="20"/>
        </w:rPr>
        <w:t>DCat</w:t>
      </w:r>
      <w:proofErr w:type="spellEnd"/>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r w:rsidRPr="00411EFF">
        <w:rPr>
          <w:rFonts w:ascii="TimesNewRomanPSMT" w:hAnsi="TimesNewRomanPSMT" w:cs="TimesNewRomanPSMT"/>
          <w:color w:val="000000"/>
          <w:sz w:val="20"/>
        </w:rPr>
        <w:t>L2R Multicast</w:t>
      </w:r>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r w:rsidRPr="00411EFF">
        <w:rPr>
          <w:rFonts w:ascii="TimesNewRomanPSMT" w:hAnsi="TimesNewRomanPSMT" w:cs="TimesNewRomanPSMT"/>
          <w:color w:val="000000"/>
          <w:sz w:val="20"/>
        </w:rPr>
        <w:t xml:space="preserve">Key </w:t>
      </w:r>
      <w:r w:rsidRPr="00411EFF">
        <w:rPr>
          <w:rFonts w:ascii="TimesNewRomanPSMT" w:hAnsi="TimesNewRomanPSMT" w:cs="TimesNewRomanPSMT"/>
          <w:color w:val="000000"/>
          <w:sz w:val="20"/>
        </w:rPr>
        <w:t>Exchange</w:t>
      </w:r>
      <w:r w:rsidRPr="00411EFF">
        <w:rPr>
          <w:rFonts w:ascii="TimesNewRomanPSMT" w:hAnsi="TimesNewRomanPSMT" w:cs="TimesNewRomanPSMT"/>
          <w:color w:val="000000"/>
          <w:sz w:val="20"/>
        </w:rPr>
        <w:t xml:space="preserve"> </w:t>
      </w:r>
      <w:r w:rsidRPr="00411EFF">
        <w:rPr>
          <w:rFonts w:ascii="TimesNewRomanPSMT" w:hAnsi="TimesNewRomanPSMT" w:cs="TimesNewRomanPSMT"/>
          <w:color w:val="000000"/>
          <w:sz w:val="20"/>
        </w:rPr>
        <w:t>Mode</w:t>
      </w:r>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r w:rsidRPr="00411EFF">
        <w:rPr>
          <w:rFonts w:ascii="TimesNewRomanPSMT" w:hAnsi="TimesNewRomanPSMT" w:cs="TimesNewRomanPSMT"/>
          <w:color w:val="000000"/>
          <w:sz w:val="20"/>
        </w:rPr>
        <w:t xml:space="preserve">On-Demand </w:t>
      </w:r>
      <w:r w:rsidRPr="00411EFF">
        <w:rPr>
          <w:rFonts w:ascii="TimesNewRomanPSMT" w:hAnsi="TimesNewRomanPSMT" w:cs="TimesNewRomanPSMT"/>
          <w:color w:val="000000"/>
          <w:sz w:val="20"/>
        </w:rPr>
        <w:t>P2P Route</w:t>
      </w:r>
      <w:r w:rsidRPr="00411EFF">
        <w:rPr>
          <w:rFonts w:ascii="TimesNewRomanPSMT" w:hAnsi="TimesNewRomanPSMT" w:cs="TimesNewRomanPSMT"/>
          <w:color w:val="000000"/>
          <w:sz w:val="20"/>
        </w:rPr>
        <w:t xml:space="preserve"> </w:t>
      </w:r>
      <w:r w:rsidRPr="00411EFF">
        <w:rPr>
          <w:rFonts w:ascii="TimesNewRomanPSMT" w:hAnsi="TimesNewRomanPSMT" w:cs="TimesNewRomanPSMT"/>
          <w:color w:val="000000"/>
          <w:sz w:val="20"/>
        </w:rPr>
        <w:t>Discovery</w:t>
      </w:r>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r w:rsidRPr="00411EFF">
        <w:rPr>
          <w:rFonts w:ascii="TimesNewRomanPSMT" w:hAnsi="TimesNewRomanPSMT" w:cs="TimesNewRomanPSMT"/>
          <w:color w:val="000000"/>
          <w:sz w:val="20"/>
        </w:rPr>
        <w:t>MCO</w:t>
      </w:r>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r w:rsidRPr="00411EFF">
        <w:rPr>
          <w:rFonts w:ascii="TimesNewRomanPSMT" w:hAnsi="TimesNewRomanPSMT" w:cs="TimesNewRomanPSMT"/>
          <w:color w:val="000000"/>
          <w:sz w:val="20"/>
        </w:rPr>
        <w:t xml:space="preserve">Number of </w:t>
      </w:r>
      <w:r w:rsidRPr="00411EFF">
        <w:rPr>
          <w:rFonts w:ascii="TimesNewRomanPSMT" w:hAnsi="TimesNewRomanPSMT" w:cs="TimesNewRomanPSMT"/>
          <w:color w:val="000000"/>
          <w:sz w:val="20"/>
        </w:rPr>
        <w:t>Services</w:t>
      </w:r>
    </w:p>
    <w:p w:rsidR="00411EFF" w:rsidRPr="00411EFF" w:rsidRDefault="00411EFF" w:rsidP="00411EFF">
      <w:pPr>
        <w:pStyle w:val="ListParagraph"/>
        <w:numPr>
          <w:ilvl w:val="0"/>
          <w:numId w:val="16"/>
        </w:numPr>
        <w:autoSpaceDE w:val="0"/>
        <w:autoSpaceDN w:val="0"/>
        <w:adjustRightInd w:val="0"/>
        <w:rPr>
          <w:rFonts w:ascii="TimesNewRomanPSMT" w:hAnsi="TimesNewRomanPSMT" w:cs="TimesNewRomanPSMT"/>
          <w:color w:val="000000"/>
          <w:sz w:val="20"/>
        </w:rPr>
      </w:pPr>
      <w:r w:rsidRPr="00411EFF">
        <w:rPr>
          <w:rFonts w:ascii="TimesNewRomanPSMT" w:hAnsi="TimesNewRomanPSMT" w:cs="TimesNewRomanPSMT"/>
          <w:color w:val="000000"/>
          <w:sz w:val="20"/>
        </w:rPr>
        <w:t>Reserved</w:t>
      </w:r>
    </w:p>
    <w:bookmarkEnd w:id="0"/>
    <w:p w:rsidR="00411EFF" w:rsidRPr="00B6137A" w:rsidRDefault="00411EFF" w:rsidP="00411EFF">
      <w:pPr>
        <w:widowControl w:val="0"/>
        <w:spacing w:before="120"/>
      </w:pPr>
      <w:r>
        <w:rPr>
          <w:rFonts w:ascii="Arial-BoldMT" w:hAnsi="Arial-BoldMT" w:cs="Arial-BoldMT"/>
          <w:b/>
          <w:bCs/>
          <w:color w:val="000000"/>
          <w:sz w:val="20"/>
          <w:lang w:eastAsia="en-US"/>
        </w:rPr>
        <w:t>Figure 31—Format of the Descriptor field of the L2R-D IE</w:t>
      </w:r>
    </w:p>
    <w:sectPr w:rsidR="00411EFF" w:rsidRPr="00B6137A"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5B6" w:rsidRDefault="00A375B6">
      <w:r>
        <w:separator/>
      </w:r>
    </w:p>
  </w:endnote>
  <w:endnote w:type="continuationSeparator" w:id="0">
    <w:p w:rsidR="00A375B6" w:rsidRDefault="00A37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A375B6">
      <w:fldChar w:fldCharType="begin"/>
    </w:r>
    <w:r w:rsidR="00A375B6">
      <w:instrText xml:space="preserve"> AUTHOR  \* MERGEFORMAT </w:instrText>
    </w:r>
    <w:r w:rsidR="00A375B6">
      <w:fldChar w:fldCharType="separate"/>
    </w:r>
    <w:r>
      <w:rPr>
        <w:noProof/>
      </w:rPr>
      <w:t>Charlie Perkins (Futurewei)</w:t>
    </w:r>
    <w:r w:rsidR="00A375B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5B6" w:rsidRDefault="00A375B6">
      <w:r>
        <w:separator/>
      </w:r>
    </w:p>
  </w:footnote>
  <w:footnote w:type="continuationSeparator" w:id="0">
    <w:p w:rsidR="00A375B6" w:rsidRDefault="00A375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411EFF">
      <w:rPr>
        <w:b/>
        <w:noProof/>
        <w:sz w:val="28"/>
        <w:u w:val="single"/>
      </w:rPr>
      <w:t>March, 2016</w:t>
    </w:r>
    <w:r w:rsidRPr="001758D6">
      <w:rPr>
        <w:b/>
        <w:sz w:val="28"/>
        <w:u w:val="single"/>
      </w:rPr>
      <w:fldChar w:fldCharType="end"/>
    </w:r>
    <w:r>
      <w:rPr>
        <w:b/>
        <w:sz w:val="28"/>
        <w:u w:val="single"/>
      </w:rPr>
      <w:tab/>
      <w:t xml:space="preserve"> IEEE </w:t>
    </w:r>
    <w:r w:rsidRPr="001758D6">
      <w:rPr>
        <w:b/>
        <w:sz w:val="28"/>
        <w:u w:val="single"/>
      </w:rPr>
      <w:t>P802-</w:t>
    </w:r>
    <w:r w:rsidR="00A375B6">
      <w:fldChar w:fldCharType="begin"/>
    </w:r>
    <w:r w:rsidR="00A375B6">
      <w:instrText xml:space="preserve"> DOCPROPERTY "Category"  \* MERGEFORMAT </w:instrText>
    </w:r>
    <w:r w:rsidR="00A375B6">
      <w:fldChar w:fldCharType="separate"/>
    </w:r>
    <w:r>
      <w:rPr>
        <w:b/>
        <w:sz w:val="28"/>
        <w:u w:val="single"/>
      </w:rPr>
      <w:t>15-1</w:t>
    </w:r>
    <w:r w:rsidR="003B29F5">
      <w:rPr>
        <w:b/>
        <w:sz w:val="28"/>
        <w:u w:val="single"/>
      </w:rPr>
      <w:t>6</w:t>
    </w:r>
    <w:r>
      <w:rPr>
        <w:b/>
        <w:sz w:val="28"/>
        <w:u w:val="single"/>
      </w:rPr>
      <w:t>-</w:t>
    </w:r>
    <w:r w:rsidR="00CA4603" w:rsidRPr="00CA4603">
      <w:rPr>
        <w:b/>
        <w:sz w:val="28"/>
        <w:u w:val="single"/>
      </w:rPr>
      <w:t>0</w:t>
    </w:r>
    <w:r w:rsidR="000666BA">
      <w:rPr>
        <w:b/>
        <w:sz w:val="28"/>
        <w:u w:val="single"/>
      </w:rPr>
      <w:t>2</w:t>
    </w:r>
    <w:r w:rsidR="00814320">
      <w:rPr>
        <w:b/>
        <w:sz w:val="28"/>
        <w:u w:val="single"/>
      </w:rPr>
      <w:t>99</w:t>
    </w:r>
    <w:r>
      <w:rPr>
        <w:b/>
        <w:sz w:val="28"/>
        <w:u w:val="single"/>
      </w:rPr>
      <w:t>-0</w:t>
    </w:r>
    <w:r w:rsidR="000666BA">
      <w:rPr>
        <w:b/>
        <w:sz w:val="28"/>
        <w:u w:val="single"/>
      </w:rPr>
      <w:t>0</w:t>
    </w:r>
    <w:r>
      <w:rPr>
        <w:b/>
        <w:sz w:val="28"/>
        <w:u w:val="single"/>
      </w:rPr>
      <w:t>-001</w:t>
    </w:r>
    <w:r w:rsidRPr="00693306">
      <w:rPr>
        <w:b/>
        <w:sz w:val="28"/>
        <w:u w:val="single"/>
      </w:rPr>
      <w:t>0</w:t>
    </w:r>
    <w:r w:rsidR="00A375B6">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9pt;height:631pt" o:ole="">
          <v:imagedata r:id="rId1" o:title=""/>
        </v:shape>
        <o:OLEObject Type="Embed" ProgID="AcroExch.Document.DC" ShapeID="_x0000_i1025" DrawAspect="Content" ObjectID="_1519666083"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8E497C"/>
    <w:multiLevelType w:val="hybridMultilevel"/>
    <w:tmpl w:val="A904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5"/>
  </w:num>
  <w:num w:numId="4">
    <w:abstractNumId w:val="11"/>
  </w:num>
  <w:num w:numId="5">
    <w:abstractNumId w:val="8"/>
  </w:num>
  <w:num w:numId="6">
    <w:abstractNumId w:val="3"/>
  </w:num>
  <w:num w:numId="7">
    <w:abstractNumId w:val="0"/>
  </w:num>
  <w:num w:numId="8">
    <w:abstractNumId w:val="12"/>
  </w:num>
  <w:num w:numId="9">
    <w:abstractNumId w:val="7"/>
  </w:num>
  <w:num w:numId="10">
    <w:abstractNumId w:val="13"/>
  </w:num>
  <w:num w:numId="11">
    <w:abstractNumId w:val="6"/>
  </w:num>
  <w:num w:numId="12">
    <w:abstractNumId w:val="2"/>
  </w:num>
  <w:num w:numId="13">
    <w:abstractNumId w:val="10"/>
  </w:num>
  <w:num w:numId="14">
    <w:abstractNumId w:val="5"/>
  </w:num>
  <w:num w:numId="15">
    <w:abstractNumId w:val="9"/>
  </w:num>
  <w:num w:numId="1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B9C"/>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666BA"/>
    <w:rsid w:val="000711BA"/>
    <w:rsid w:val="00076FC4"/>
    <w:rsid w:val="000772D2"/>
    <w:rsid w:val="00077CB7"/>
    <w:rsid w:val="0008085F"/>
    <w:rsid w:val="0008170D"/>
    <w:rsid w:val="000820A7"/>
    <w:rsid w:val="0008310C"/>
    <w:rsid w:val="0008417E"/>
    <w:rsid w:val="00085CC9"/>
    <w:rsid w:val="00086169"/>
    <w:rsid w:val="00086801"/>
    <w:rsid w:val="00086F0B"/>
    <w:rsid w:val="00091EB6"/>
    <w:rsid w:val="000952E5"/>
    <w:rsid w:val="000A59C4"/>
    <w:rsid w:val="000A6924"/>
    <w:rsid w:val="000B22E9"/>
    <w:rsid w:val="000B45A1"/>
    <w:rsid w:val="000B4A8C"/>
    <w:rsid w:val="000B694E"/>
    <w:rsid w:val="000C0C01"/>
    <w:rsid w:val="000C1535"/>
    <w:rsid w:val="000C1BA8"/>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1681"/>
    <w:rsid w:val="000F3284"/>
    <w:rsid w:val="000F5B04"/>
    <w:rsid w:val="0010291B"/>
    <w:rsid w:val="00103306"/>
    <w:rsid w:val="001034A2"/>
    <w:rsid w:val="00106FD6"/>
    <w:rsid w:val="00107764"/>
    <w:rsid w:val="00107C04"/>
    <w:rsid w:val="00110427"/>
    <w:rsid w:val="00110B9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2C94"/>
    <w:rsid w:val="0015536D"/>
    <w:rsid w:val="00155DB4"/>
    <w:rsid w:val="00156BE5"/>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3933"/>
    <w:rsid w:val="001B6CB0"/>
    <w:rsid w:val="001B7B3E"/>
    <w:rsid w:val="001C0C74"/>
    <w:rsid w:val="001C7297"/>
    <w:rsid w:val="001D2125"/>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0312"/>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37AC7"/>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1687"/>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655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59B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4519"/>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0C41"/>
    <w:rsid w:val="003B29F5"/>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4924"/>
    <w:rsid w:val="003F5316"/>
    <w:rsid w:val="003F73AD"/>
    <w:rsid w:val="00400E13"/>
    <w:rsid w:val="0040566D"/>
    <w:rsid w:val="00407F59"/>
    <w:rsid w:val="004105DD"/>
    <w:rsid w:val="00411EFF"/>
    <w:rsid w:val="0041592D"/>
    <w:rsid w:val="00415D4C"/>
    <w:rsid w:val="00417222"/>
    <w:rsid w:val="00421690"/>
    <w:rsid w:val="00422060"/>
    <w:rsid w:val="004233F2"/>
    <w:rsid w:val="004253AA"/>
    <w:rsid w:val="004270BE"/>
    <w:rsid w:val="00427727"/>
    <w:rsid w:val="0043033B"/>
    <w:rsid w:val="00431118"/>
    <w:rsid w:val="00431B67"/>
    <w:rsid w:val="004416D3"/>
    <w:rsid w:val="004428A2"/>
    <w:rsid w:val="004429A9"/>
    <w:rsid w:val="00442B16"/>
    <w:rsid w:val="00444E8D"/>
    <w:rsid w:val="004459C9"/>
    <w:rsid w:val="00446679"/>
    <w:rsid w:val="004533E8"/>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4168"/>
    <w:rsid w:val="004B567A"/>
    <w:rsid w:val="004B632E"/>
    <w:rsid w:val="004B6F35"/>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1530"/>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069A5"/>
    <w:rsid w:val="006121E0"/>
    <w:rsid w:val="00612EF1"/>
    <w:rsid w:val="006137C9"/>
    <w:rsid w:val="00614EA1"/>
    <w:rsid w:val="00614F56"/>
    <w:rsid w:val="0061585D"/>
    <w:rsid w:val="00616AC7"/>
    <w:rsid w:val="00620C57"/>
    <w:rsid w:val="0062430B"/>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61A0"/>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132C"/>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1E6B"/>
    <w:rsid w:val="007A436E"/>
    <w:rsid w:val="007A66B1"/>
    <w:rsid w:val="007A7288"/>
    <w:rsid w:val="007A72C7"/>
    <w:rsid w:val="007B1294"/>
    <w:rsid w:val="007B169E"/>
    <w:rsid w:val="007B2ACD"/>
    <w:rsid w:val="007B3343"/>
    <w:rsid w:val="007B3A13"/>
    <w:rsid w:val="007B3BC9"/>
    <w:rsid w:val="007B463D"/>
    <w:rsid w:val="007B52EB"/>
    <w:rsid w:val="007B70C8"/>
    <w:rsid w:val="007C01BE"/>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320"/>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72"/>
    <w:rsid w:val="009501C8"/>
    <w:rsid w:val="00954488"/>
    <w:rsid w:val="00955DF1"/>
    <w:rsid w:val="009572E4"/>
    <w:rsid w:val="009603C9"/>
    <w:rsid w:val="0096150C"/>
    <w:rsid w:val="00961EEE"/>
    <w:rsid w:val="00962CDF"/>
    <w:rsid w:val="00964884"/>
    <w:rsid w:val="0096489A"/>
    <w:rsid w:val="009675A5"/>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C6938"/>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662C"/>
    <w:rsid w:val="00A305DE"/>
    <w:rsid w:val="00A32273"/>
    <w:rsid w:val="00A32BE7"/>
    <w:rsid w:val="00A34F85"/>
    <w:rsid w:val="00A375B6"/>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704"/>
    <w:rsid w:val="00AA2A30"/>
    <w:rsid w:val="00AA2DB0"/>
    <w:rsid w:val="00AA376D"/>
    <w:rsid w:val="00AA5AFF"/>
    <w:rsid w:val="00AA7FE8"/>
    <w:rsid w:val="00AB2453"/>
    <w:rsid w:val="00AB403F"/>
    <w:rsid w:val="00AB4D04"/>
    <w:rsid w:val="00AB5847"/>
    <w:rsid w:val="00AC395B"/>
    <w:rsid w:val="00AC3C50"/>
    <w:rsid w:val="00AC45EE"/>
    <w:rsid w:val="00AC4A0F"/>
    <w:rsid w:val="00AC4DAC"/>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3B1C"/>
    <w:rsid w:val="00B3549A"/>
    <w:rsid w:val="00B36B4F"/>
    <w:rsid w:val="00B440C1"/>
    <w:rsid w:val="00B4716A"/>
    <w:rsid w:val="00B47F3D"/>
    <w:rsid w:val="00B52223"/>
    <w:rsid w:val="00B5376F"/>
    <w:rsid w:val="00B55D54"/>
    <w:rsid w:val="00B55FC8"/>
    <w:rsid w:val="00B56D64"/>
    <w:rsid w:val="00B5753C"/>
    <w:rsid w:val="00B6137A"/>
    <w:rsid w:val="00B61D0F"/>
    <w:rsid w:val="00B621A6"/>
    <w:rsid w:val="00B63EE9"/>
    <w:rsid w:val="00B6411D"/>
    <w:rsid w:val="00B646C1"/>
    <w:rsid w:val="00B65572"/>
    <w:rsid w:val="00B6691B"/>
    <w:rsid w:val="00B71128"/>
    <w:rsid w:val="00B7267C"/>
    <w:rsid w:val="00B74AF9"/>
    <w:rsid w:val="00B74C60"/>
    <w:rsid w:val="00B76DF3"/>
    <w:rsid w:val="00B771B7"/>
    <w:rsid w:val="00B80D58"/>
    <w:rsid w:val="00B8187C"/>
    <w:rsid w:val="00B81C31"/>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0BB2"/>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3051"/>
    <w:rsid w:val="00C1477C"/>
    <w:rsid w:val="00C155D6"/>
    <w:rsid w:val="00C17055"/>
    <w:rsid w:val="00C212F2"/>
    <w:rsid w:val="00C22098"/>
    <w:rsid w:val="00C239FA"/>
    <w:rsid w:val="00C31326"/>
    <w:rsid w:val="00C33523"/>
    <w:rsid w:val="00C36FDA"/>
    <w:rsid w:val="00C414B7"/>
    <w:rsid w:val="00C42638"/>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57CC"/>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25C"/>
    <w:rsid w:val="00CE74DB"/>
    <w:rsid w:val="00CF012D"/>
    <w:rsid w:val="00CF0AF0"/>
    <w:rsid w:val="00CF2DB9"/>
    <w:rsid w:val="00CF4F1B"/>
    <w:rsid w:val="00CF6C14"/>
    <w:rsid w:val="00D005C0"/>
    <w:rsid w:val="00D0132A"/>
    <w:rsid w:val="00D01B73"/>
    <w:rsid w:val="00D0444E"/>
    <w:rsid w:val="00D079A6"/>
    <w:rsid w:val="00D07B8F"/>
    <w:rsid w:val="00D07F05"/>
    <w:rsid w:val="00D14C62"/>
    <w:rsid w:val="00D159C2"/>
    <w:rsid w:val="00D15EBD"/>
    <w:rsid w:val="00D16BA8"/>
    <w:rsid w:val="00D16DA2"/>
    <w:rsid w:val="00D16DE1"/>
    <w:rsid w:val="00D219F7"/>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0BE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3EB2"/>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16F"/>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5D77"/>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C7858"/>
    <w:rsid w:val="00FD4EC8"/>
    <w:rsid w:val="00FD5F84"/>
    <w:rsid w:val="00FD7EDF"/>
    <w:rsid w:val="00FE0476"/>
    <w:rsid w:val="00FE2DE3"/>
    <w:rsid w:val="00FE4D2C"/>
    <w:rsid w:val="00FE6706"/>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501092987">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62FF3-0C8C-4557-9491-D8D8B0D60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468</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3134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6</cp:revision>
  <cp:lastPrinted>2012-01-30T16:33:00Z</cp:lastPrinted>
  <dcterms:created xsi:type="dcterms:W3CDTF">2016-03-17T03:29:00Z</dcterms:created>
  <dcterms:modified xsi:type="dcterms:W3CDTF">2016-03-17T03:41:00Z</dcterms:modified>
  <cp:category>15-14-0070-00-0010</cp:category>
</cp:coreProperties>
</file>