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F452B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418F0949" w:rsidR="00CA09B2" w:rsidRPr="000B64AA" w:rsidRDefault="00626C2C" w:rsidP="004A6D48">
            <w:pPr>
              <w:pStyle w:val="T2"/>
              <w:rPr>
                <w:color w:val="FF0000"/>
                <w:lang w:val="fr-CA"/>
              </w:rPr>
            </w:pPr>
            <w:r w:rsidRPr="004F1449">
              <w:t>Proposed</w:t>
            </w:r>
            <w:r w:rsidRPr="000B64AA">
              <w:rPr>
                <w:lang w:val="fr-CA"/>
              </w:rPr>
              <w:t xml:space="preserve"> </w:t>
            </w:r>
            <w:proofErr w:type="gramStart"/>
            <w:r w:rsidRPr="000B64AA">
              <w:rPr>
                <w:lang w:val="fr-CA"/>
              </w:rPr>
              <w:t>PAR</w:t>
            </w:r>
            <w:r>
              <w:rPr>
                <w:lang w:val="fr-CA"/>
              </w:rPr>
              <w:t> :</w:t>
            </w:r>
            <w:proofErr w:type="gramEnd"/>
            <w:r>
              <w:rPr>
                <w:lang w:val="fr-CA"/>
              </w:rPr>
              <w:t xml:space="preserve"> </w:t>
            </w:r>
            <w:r w:rsidR="00AE036E">
              <w:rPr>
                <w:lang w:val="fr-CA"/>
              </w:rPr>
              <w:t xml:space="preserve">IEEE </w:t>
            </w:r>
            <w:r w:rsidR="0079753E" w:rsidRPr="000B64AA">
              <w:rPr>
                <w:lang w:val="fr-CA"/>
              </w:rPr>
              <w:t xml:space="preserve">802.11 </w:t>
            </w:r>
            <w:r w:rsidR="00AE036E" w:rsidRPr="00550D67">
              <w:t>Enhancements</w:t>
            </w:r>
            <w:r w:rsidR="00AE036E">
              <w:rPr>
                <w:lang w:val="fr-CA"/>
              </w:rPr>
              <w:t xml:space="preserve"> for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>ost</w:t>
            </w:r>
            <w:r w:rsidR="00AE036E">
              <w:rPr>
                <w:lang w:val="fr-CA"/>
              </w:rPr>
              <w:t>-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r w:rsidR="00451B66" w:rsidRPr="004F1449">
              <w:t>C</w:t>
            </w:r>
            <w:r w:rsidR="00492569" w:rsidRPr="004F1449">
              <w:t>ryptography</w:t>
            </w:r>
            <w:r w:rsidR="00D51164" w:rsidRPr="000B64AA">
              <w:rPr>
                <w:lang w:val="fr-CA"/>
              </w:rPr>
              <w:t xml:space="preserve"> </w:t>
            </w:r>
            <w:r w:rsidRPr="004F1449">
              <w:t xml:space="preserve"> 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27641AE6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r w:rsidR="004F1449">
              <w:rPr>
                <w:b w:val="0"/>
                <w:sz w:val="20"/>
                <w:lang w:val="en-CA"/>
              </w:rPr>
              <w:t>07</w:t>
            </w:r>
            <w:r w:rsidR="00485C39">
              <w:rPr>
                <w:b w:val="0"/>
                <w:sz w:val="20"/>
                <w:lang w:val="en-CA"/>
              </w:rPr>
              <w:t>-</w:t>
            </w:r>
            <w:r w:rsidR="00E75817">
              <w:rPr>
                <w:b w:val="0"/>
                <w:sz w:val="20"/>
                <w:lang w:val="en-CA"/>
              </w:rPr>
              <w:t>30</w:t>
            </w:r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Alexandru Lungu</w:t>
            </w:r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da.lungu@samsung.com</w:t>
            </w:r>
          </w:p>
        </w:tc>
      </w:tr>
      <w:tr w:rsidR="009019BC" w:rsidRPr="003831D2" w14:paraId="55E11F08" w14:textId="77777777" w:rsidTr="00F2133F">
        <w:trPr>
          <w:jc w:val="center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Mark Rison</w:t>
            </w:r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Samsung</w:t>
            </w:r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m.rison@samsung.com</w:t>
            </w:r>
          </w:p>
        </w:tc>
      </w:tr>
      <w:tr w:rsidR="0057252B" w:rsidRPr="003831D2" w14:paraId="6A435F72" w14:textId="77777777" w:rsidTr="00F2133F">
        <w:trPr>
          <w:jc w:val="center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Jay Yang</w:t>
            </w:r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>
              <w:rPr>
                <w:b w:val="0"/>
                <w:sz w:val="20"/>
                <w:lang w:val="en-CA"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>
              <w:rPr>
                <w:b w:val="0"/>
                <w:sz w:val="20"/>
                <w:lang w:val="en-CA"/>
              </w:rPr>
              <w:t>yang.zhijie@zte.com.cn</w:t>
            </w: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03C438D4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</w:t>
                            </w:r>
                            <w:r w:rsidR="00AE036E">
                              <w:rPr>
                                <w:sz w:val="24"/>
                                <w:lang w:val="en-CA"/>
                              </w:rPr>
                              <w:t xml:space="preserve">IEEE 802.11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03C438D4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</w:t>
                      </w:r>
                      <w:r w:rsidR="00AE036E">
                        <w:rPr>
                          <w:sz w:val="24"/>
                          <w:lang w:val="en-CA"/>
                        </w:rPr>
                        <w:t xml:space="preserve">IEEE 802.11 </w:t>
                      </w:r>
                      <w:r>
                        <w:rPr>
                          <w:sz w:val="24"/>
                          <w:lang w:val="en-CA"/>
                        </w:rPr>
                        <w:t xml:space="preserve">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0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0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584C008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6B67F7">
        <w:rPr>
          <w:szCs w:val="22"/>
          <w:lang w:val="en-CA"/>
        </w:rPr>
        <w:t>P802.</w:t>
      </w:r>
      <w:r w:rsidR="00C51752" w:rsidRPr="006B67F7">
        <w:rPr>
          <w:szCs w:val="22"/>
          <w:lang w:val="en-CA"/>
        </w:rPr>
        <w:t>11</w:t>
      </w:r>
      <w:r w:rsidR="006B67F7">
        <w:rPr>
          <w:szCs w:val="22"/>
          <w:lang w:val="en-CA"/>
        </w:rPr>
        <w:t>bt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102CE67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="006B67F7">
        <w:rPr>
          <w:b/>
          <w:bCs/>
          <w:szCs w:val="22"/>
          <w:lang w:val="en-CA"/>
        </w:rPr>
        <w:t xml:space="preserve">IEEE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76BC6CD1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6B67F7">
          <w:rPr>
            <w:rStyle w:val="Hyperlink"/>
            <w:szCs w:val="22"/>
            <w:lang w:val="en-CA"/>
          </w:rPr>
          <w:t>rjstacey@gmail.com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3FE48CD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723D21">
        <w:rPr>
          <w:szCs w:val="22"/>
          <w:lang w:val="en-CA" w:eastAsia="zh-CN"/>
        </w:rPr>
        <w:t>March 2027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012285">
        <w:rPr>
          <w:szCs w:val="22"/>
          <w:lang w:val="en-CA"/>
        </w:rPr>
        <w:t>January 2028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630132A5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r w:rsidR="00FA6C07">
        <w:rPr>
          <w:szCs w:val="22"/>
        </w:rPr>
        <w:t>extends 802.11 security to support</w:t>
      </w:r>
      <w:r w:rsidR="004A3756">
        <w:rPr>
          <w:szCs w:val="22"/>
        </w:rPr>
        <w:t xml:space="preserve"> </w:t>
      </w:r>
      <w:r w:rsidR="00A53C91">
        <w:rPr>
          <w:szCs w:val="22"/>
        </w:rPr>
        <w:t xml:space="preserve">algorithms </w:t>
      </w:r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r w:rsidR="00985745">
        <w:rPr>
          <w:szCs w:val="22"/>
          <w:lang w:val="en-CA"/>
        </w:rPr>
        <w:t>extension</w:t>
      </w:r>
      <w:r w:rsidR="004C1315">
        <w:rPr>
          <w:szCs w:val="22"/>
          <w:lang w:val="en-CA"/>
        </w:rPr>
        <w:t xml:space="preserve"> </w:t>
      </w:r>
      <w:r w:rsidR="004C1315" w:rsidRPr="00D54993">
        <w:rPr>
          <w:szCs w:val="22"/>
          <w:lang w:val="en-CA"/>
        </w:rPr>
        <w:t>specifies</w:t>
      </w:r>
      <w:r w:rsidR="005A05D6">
        <w:rPr>
          <w:szCs w:val="22"/>
          <w:lang w:val="en-CA"/>
        </w:rPr>
        <w:t>:</w:t>
      </w:r>
    </w:p>
    <w:p w14:paraId="5B98398E" w14:textId="7CC89516" w:rsidR="005A05D6" w:rsidRDefault="00EE47DA" w:rsidP="005A05D6">
      <w:pPr>
        <w:pStyle w:val="BL"/>
        <w:rPr>
          <w:lang w:val="en-CA"/>
        </w:rPr>
      </w:pPr>
      <w:r>
        <w:rPr>
          <w:lang w:val="en-CA"/>
        </w:rPr>
        <w:t>authentication and</w:t>
      </w:r>
      <w:r w:rsidRPr="00362237">
        <w:rPr>
          <w:lang w:val="en-CA"/>
        </w:rPr>
        <w:t xml:space="preserve"> </w:t>
      </w:r>
      <w:r w:rsidR="005A05D6" w:rsidRPr="00362237">
        <w:rPr>
          <w:lang w:val="en-CA"/>
        </w:rPr>
        <w:t>key management</w:t>
      </w:r>
      <w:r>
        <w:rPr>
          <w:lang w:val="en-CA"/>
        </w:rPr>
        <w:t xml:space="preserve"> (AKM)</w:t>
      </w:r>
      <w:r w:rsidR="005A05D6" w:rsidRPr="00362237">
        <w:rPr>
          <w:lang w:val="en-CA"/>
        </w:rPr>
        <w:t xml:space="preserve"> suites for PQC</w:t>
      </w:r>
      <w:r w:rsidR="005A05D6">
        <w:rPr>
          <w:lang w:val="en-CA"/>
        </w:rPr>
        <w:t>,</w:t>
      </w:r>
    </w:p>
    <w:p w14:paraId="79E4F598" w14:textId="3B9B74CE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digital signature and key establishment algorithms</w:t>
      </w:r>
      <w:r w:rsidR="00855C0A">
        <w:rPr>
          <w:lang w:val="en-CA"/>
        </w:rPr>
        <w:t xml:space="preserve"> that use PQC</w:t>
      </w:r>
      <w:r>
        <w:rPr>
          <w:lang w:val="en-CA"/>
        </w:rPr>
        <w:t>,</w:t>
      </w:r>
    </w:p>
    <w:p w14:paraId="5FAEAF78" w14:textId="0248E6D0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a password authenticated key exchange</w:t>
      </w:r>
      <w:r w:rsidR="00580D3B">
        <w:rPr>
          <w:lang w:val="en-CA"/>
        </w:rPr>
        <w:t xml:space="preserve"> that uses PQC</w:t>
      </w:r>
      <w:r w:rsidRPr="00362237">
        <w:rPr>
          <w:lang w:val="en-CA"/>
        </w:rPr>
        <w:t xml:space="preserve">, </w:t>
      </w:r>
      <w:r w:rsidR="000F452B">
        <w:rPr>
          <w:lang w:val="en-CA"/>
        </w:rPr>
        <w:t>and</w:t>
      </w:r>
    </w:p>
    <w:p w14:paraId="74ABAFFD" w14:textId="64E6529B" w:rsidR="001A5218" w:rsidRPr="000F452B" w:rsidRDefault="005A05D6" w:rsidP="000F452B">
      <w:pPr>
        <w:pStyle w:val="BL"/>
        <w:rPr>
          <w:lang w:val="en-CA"/>
        </w:rPr>
      </w:pPr>
      <w:r>
        <w:rPr>
          <w:lang w:val="en-CA"/>
        </w:rPr>
        <w:t xml:space="preserve">modifications </w:t>
      </w:r>
      <w:r w:rsidRPr="00362237">
        <w:rPr>
          <w:lang w:val="en-CA"/>
        </w:rPr>
        <w:t>to key handshak</w:t>
      </w:r>
      <w:r w:rsidR="00FA6C07">
        <w:rPr>
          <w:lang w:val="en-CA"/>
        </w:rPr>
        <w:t>e protocols</w:t>
      </w:r>
      <w:r w:rsidRPr="00362237">
        <w:rPr>
          <w:lang w:val="en-CA"/>
        </w:rPr>
        <w:t xml:space="preserve"> </w:t>
      </w:r>
      <w:r w:rsidR="004064C8">
        <w:rPr>
          <w:lang w:val="en-CA"/>
        </w:rPr>
        <w:t>for</w:t>
      </w:r>
      <w:r w:rsidRPr="00362237">
        <w:rPr>
          <w:lang w:val="en-CA"/>
        </w:rPr>
        <w:t xml:space="preserve"> PQC</w:t>
      </w:r>
      <w:r w:rsidR="000F452B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3ABB3B45" w:rsidR="002E0BCB" w:rsidRPr="00AE036E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r w:rsidR="006D3F55">
        <w:rPr>
          <w:szCs w:val="22"/>
          <w:lang w:val="en-CA"/>
        </w:rPr>
        <w:t>,</w:t>
      </w:r>
      <w:r w:rsidR="00593E80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for example key exchanges based on Diffie-Hellman (both finite field and elliptic curve) and digital signatures based on the RSA cryptosystem</w:t>
      </w:r>
      <w:r w:rsidR="004C79C4">
        <w:rPr>
          <w:szCs w:val="22"/>
          <w:lang w:val="en-CA"/>
        </w:rPr>
        <w:t>,</w:t>
      </w:r>
      <w:r w:rsidR="004C79C4" w:rsidRPr="003831D2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is vulnerable to compromise from a quantum</w:t>
      </w:r>
      <w:r w:rsidR="009769FD">
        <w:rPr>
          <w:szCs w:val="22"/>
          <w:lang w:val="en-CA"/>
        </w:rPr>
        <w:t xml:space="preserve"> computer</w:t>
      </w:r>
      <w:r w:rsidR="004563ED">
        <w:rPr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r w:rsidR="005C72DC">
        <w:rPr>
          <w:szCs w:val="22"/>
          <w:lang w:val="en-CA"/>
        </w:rPr>
        <w:t xml:space="preserve">that support </w:t>
      </w:r>
      <w:r w:rsidR="00F91ED5">
        <w:rPr>
          <w:szCs w:val="22"/>
          <w:lang w:val="en-CA"/>
        </w:rPr>
        <w:t xml:space="preserve">algorithms that are resistant to </w:t>
      </w:r>
      <w:r w:rsidR="00735D6E">
        <w:rPr>
          <w:szCs w:val="22"/>
          <w:lang w:val="en-CA"/>
        </w:rPr>
        <w:t>attack</w:t>
      </w:r>
      <w:r w:rsidR="000968C1">
        <w:rPr>
          <w:szCs w:val="22"/>
          <w:lang w:val="en-CA"/>
        </w:rPr>
        <w:t>s</w:t>
      </w:r>
      <w:r w:rsidR="00735D6E">
        <w:rPr>
          <w:szCs w:val="22"/>
          <w:lang w:val="en-CA"/>
        </w:rPr>
        <w:t xml:space="preserve"> by quantum computers </w:t>
      </w:r>
      <w:r w:rsidR="00291578">
        <w:rPr>
          <w:szCs w:val="22"/>
          <w:lang w:val="en-CA"/>
        </w:rPr>
        <w:t>(</w:t>
      </w:r>
      <w:r w:rsidR="00F163CD">
        <w:rPr>
          <w:szCs w:val="22"/>
          <w:lang w:val="en-CA"/>
        </w:rPr>
        <w:t>a.k.a. quantum-resistant</w:t>
      </w:r>
      <w:r w:rsidR="00291578">
        <w:rPr>
          <w:szCs w:val="22"/>
          <w:lang w:val="en-CA"/>
        </w:rPr>
        <w:t xml:space="preserve">) </w:t>
      </w:r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</w:t>
      </w:r>
      <w:r w:rsidR="00AE036E">
        <w:rPr>
          <w:szCs w:val="22"/>
          <w:lang w:val="en-CA"/>
        </w:rPr>
        <w:t xml:space="preserve">on </w:t>
      </w:r>
      <w:r w:rsidR="00315723" w:rsidRPr="00FA6C07">
        <w:rPr>
          <w:szCs w:val="22"/>
          <w:lang w:val="en-CA"/>
        </w:rPr>
        <w:t xml:space="preserve">classic cryptography </w:t>
      </w:r>
      <w:r w:rsidR="00EE47DA" w:rsidRPr="004F1449">
        <w:rPr>
          <w:szCs w:val="22"/>
          <w:lang w:val="en-CA"/>
        </w:rPr>
        <w:t xml:space="preserve">for use in US government systems </w:t>
      </w:r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r w:rsidR="00FC280E">
        <w:rPr>
          <w:szCs w:val="22"/>
          <w:lang w:val="en-CA"/>
        </w:rPr>
        <w:t xml:space="preserve"> </w:t>
      </w:r>
      <w:r w:rsidR="00A9149F" w:rsidRPr="00550D67">
        <w:rPr>
          <w:szCs w:val="22"/>
          <w:lang w:val="en-GB"/>
        </w:rPr>
        <w:t xml:space="preserve">In addition, the European Commission encourages Member States to develop comprehensive national strategies for PQC adoption. </w:t>
      </w:r>
      <w:r w:rsidR="00FC280E">
        <w:rPr>
          <w:szCs w:val="22"/>
          <w:lang w:val="en-CA"/>
        </w:rPr>
        <w:t xml:space="preserve">It is believed that these requirements will </w:t>
      </w:r>
      <w:r w:rsidR="008E36CA">
        <w:rPr>
          <w:szCs w:val="22"/>
          <w:lang w:val="en-CA"/>
        </w:rPr>
        <w:t xml:space="preserve">also </w:t>
      </w:r>
      <w:r w:rsidR="00FC280E">
        <w:rPr>
          <w:szCs w:val="22"/>
          <w:lang w:val="en-CA"/>
        </w:rPr>
        <w:t>appear in other market verticals</w:t>
      </w:r>
      <w:r w:rsidR="00981F0B">
        <w:rPr>
          <w:szCs w:val="22"/>
          <w:lang w:val="en-CA"/>
        </w:rPr>
        <w:t xml:space="preserve"> beyond government use</w:t>
      </w:r>
      <w:r w:rsidR="00AE036E">
        <w:rPr>
          <w:szCs w:val="22"/>
          <w:lang w:val="en-CA"/>
        </w:rPr>
        <w:t xml:space="preserve"> </w:t>
      </w:r>
      <w:r w:rsidR="00AE036E" w:rsidRPr="00AE036E">
        <w:rPr>
          <w:szCs w:val="22"/>
        </w:rPr>
        <w:t>(e.g., consumer, financial, etc.)</w:t>
      </w:r>
      <w:r w:rsidR="00FC280E" w:rsidRPr="00AE036E">
        <w:rPr>
          <w:szCs w:val="22"/>
          <w:lang w:val="en-CA"/>
        </w:rPr>
        <w:t>.</w:t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7D817ECE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project?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project? </w:t>
      </w:r>
      <w:r w:rsidRPr="003831D2">
        <w:rPr>
          <w:bCs/>
          <w:szCs w:val="22"/>
          <w:lang w:val="en-CA"/>
        </w:rPr>
        <w:t>No</w:t>
      </w:r>
    </w:p>
    <w:p w14:paraId="7E083611" w14:textId="1A777EF9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BE5EEE">
        <w:rPr>
          <w:b/>
          <w:bCs/>
          <w:szCs w:val="22"/>
          <w:lang w:val="en-CA"/>
        </w:rPr>
        <w:t xml:space="preserve"> </w:t>
      </w:r>
      <w:r w:rsidR="0091775F" w:rsidRPr="003831D2">
        <w:rPr>
          <w:b/>
          <w:bCs/>
          <w:szCs w:val="22"/>
          <w:lang w:val="en-CA"/>
        </w:rPr>
        <w:t xml:space="preserve">Are </w:t>
      </w:r>
      <w:proofErr w:type="gramStart"/>
      <w:r w:rsidR="0091775F" w:rsidRPr="003831D2">
        <w:rPr>
          <w:b/>
          <w:bCs/>
          <w:szCs w:val="22"/>
          <w:lang w:val="en-CA"/>
        </w:rPr>
        <w:t>there</w:t>
      </w:r>
      <w:proofErr w:type="gramEnd"/>
      <w:r w:rsidR="0091775F" w:rsidRPr="003831D2">
        <w:rPr>
          <w:b/>
          <w:bCs/>
          <w:szCs w:val="22"/>
          <w:lang w:val="en-CA"/>
        </w:rPr>
        <w:t xml:space="preserve"> other standards or projects with a similar scope?</w:t>
      </w:r>
      <w:r w:rsidR="006B67F7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22D02D8F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organization? </w:t>
      </w:r>
      <w:r w:rsidRPr="003831D2">
        <w:rPr>
          <w:szCs w:val="22"/>
          <w:lang w:val="en-CA"/>
        </w:rPr>
        <w:t>No</w:t>
      </w:r>
    </w:p>
    <w:p w14:paraId="2A617542" w14:textId="3BDDA7A0" w:rsidR="00AE036E" w:rsidRDefault="0091775F" w:rsidP="00521505">
      <w:pPr>
        <w:shd w:val="clear" w:color="auto" w:fill="FFFFFF"/>
        <w:spacing w:before="100" w:beforeAutospacing="1" w:after="100" w:afterAutospacing="1"/>
        <w:rPr>
          <w:szCs w:val="22"/>
          <w:lang w:val="en-CA"/>
        </w:rPr>
      </w:pPr>
      <w:r w:rsidRPr="00521505">
        <w:rPr>
          <w:b/>
          <w:bCs/>
          <w:szCs w:val="22"/>
          <w:lang w:val="en-CA"/>
        </w:rPr>
        <w:t>8.1 Additional Explanatory Notes (Item Number and Explanation):</w:t>
      </w:r>
    </w:p>
    <w:p w14:paraId="1AEF0014" w14:textId="41746BA2" w:rsidR="00AE036E" w:rsidRDefault="00AE036E" w:rsidP="00550D67">
      <w:pPr>
        <w:shd w:val="clear" w:color="auto" w:fill="FFFFFF"/>
        <w:spacing w:before="100" w:beforeAutospacing="1" w:after="100" w:afterAutospacing="1"/>
        <w:ind w:left="360"/>
        <w:rPr>
          <w:szCs w:val="22"/>
          <w:lang w:val="en-CA"/>
        </w:rPr>
      </w:pPr>
      <w:r>
        <w:rPr>
          <w:szCs w:val="22"/>
          <w:lang w:val="en-CA"/>
        </w:rPr>
        <w:t xml:space="preserve">Section </w:t>
      </w:r>
      <w:r w:rsidR="00AA02A9" w:rsidRPr="00AE036E">
        <w:rPr>
          <w:szCs w:val="22"/>
          <w:lang w:val="en-CA"/>
        </w:rPr>
        <w:t>5.5</w:t>
      </w:r>
      <w:r w:rsidR="00A340A8" w:rsidRPr="00AE036E">
        <w:rPr>
          <w:szCs w:val="22"/>
          <w:lang w:val="en-CA"/>
        </w:rPr>
        <w:t>:</w:t>
      </w:r>
      <w:r w:rsidR="006B67F7" w:rsidRPr="00AE036E">
        <w:rPr>
          <w:szCs w:val="22"/>
          <w:lang w:val="en-CA"/>
        </w:rPr>
        <w:t xml:space="preserve"> </w:t>
      </w:r>
      <w:r w:rsidR="00AA02A9" w:rsidRPr="00AE036E">
        <w:rPr>
          <w:szCs w:val="22"/>
          <w:lang w:val="en-CA"/>
        </w:rPr>
        <w:t>The algorithms published by NIST</w:t>
      </w:r>
      <w:r w:rsidRPr="00AE036E">
        <w:rPr>
          <w:szCs w:val="22"/>
          <w:lang w:val="en-CA"/>
        </w:rPr>
        <w:t>:</w:t>
      </w:r>
    </w:p>
    <w:p w14:paraId="60524B72" w14:textId="2A51FCC5" w:rsidR="00AE036E" w:rsidRPr="00550D67" w:rsidRDefault="00AA02A9" w:rsidP="00550D67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Cs w:val="22"/>
          <w:lang w:val="en-CA"/>
        </w:rPr>
      </w:pPr>
      <w:r w:rsidRPr="00AE036E">
        <w:rPr>
          <w:color w:val="1B1B1B"/>
          <w:szCs w:val="22"/>
          <w:lang w:val="en-CA"/>
        </w:rPr>
        <w:t>FIPS 203, </w:t>
      </w:r>
      <w:hyperlink r:id="rId16" w:history="1">
        <w:r w:rsidRPr="00AE036E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</w:p>
    <w:p w14:paraId="1712AA89" w14:textId="0750DA1D" w:rsidR="00AE036E" w:rsidRPr="00550D67" w:rsidRDefault="00AA02A9" w:rsidP="00550D67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Cs w:val="22"/>
          <w:lang w:val="en-CA"/>
        </w:rPr>
      </w:pPr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204, </w:t>
      </w:r>
      <w:hyperlink r:id="rId17" w:history="1">
        <w:r w:rsidRPr="00AE036E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</w:p>
    <w:p w14:paraId="0CABA3D0" w14:textId="0F4575D0" w:rsidR="008C107C" w:rsidRPr="002E36A7" w:rsidRDefault="00AA02A9" w:rsidP="002E36A7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Cs w:val="22"/>
          <w:lang w:val="en-CA"/>
        </w:rPr>
      </w:pPr>
      <w:r w:rsidRPr="00AE036E">
        <w:rPr>
          <w:color w:val="1B1B1B"/>
          <w:szCs w:val="22"/>
          <w:lang w:val="en-CA"/>
        </w:rPr>
        <w:t>FIPS</w:t>
      </w:r>
      <w:r w:rsidRPr="00AE036E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Pr="00AE036E">
        <w:rPr>
          <w:color w:val="1B1B1B"/>
          <w:szCs w:val="22"/>
          <w:lang w:val="en-CA"/>
        </w:rPr>
        <w:t>205, </w:t>
      </w:r>
      <w:hyperlink r:id="rId18" w:history="1">
        <w:r w:rsidRPr="00AE036E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</w:p>
    <w:p w14:paraId="4997FF5B" w14:textId="187B725B" w:rsidR="00390271" w:rsidRPr="003831D2" w:rsidRDefault="00390271" w:rsidP="00AE036E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73E4437B" w14:textId="3CA4B78F" w:rsidR="00AA02A9" w:rsidRPr="003831D2" w:rsidRDefault="00AA02A9">
      <w:pPr>
        <w:rPr>
          <w:b/>
          <w:bCs/>
          <w:sz w:val="24"/>
          <w:szCs w:val="24"/>
          <w:lang w:val="en-CA"/>
        </w:rPr>
      </w:pP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A1F4" w14:textId="77777777" w:rsidR="002B549B" w:rsidRPr="00AD464C" w:rsidRDefault="002B549B">
      <w:r w:rsidRPr="00AD464C">
        <w:separator/>
      </w:r>
    </w:p>
  </w:endnote>
  <w:endnote w:type="continuationSeparator" w:id="0">
    <w:p w14:paraId="0037E7D4" w14:textId="77777777" w:rsidR="002B549B" w:rsidRPr="00AD464C" w:rsidRDefault="002B549B">
      <w:r w:rsidRPr="00AD464C">
        <w:continuationSeparator/>
      </w:r>
    </w:p>
  </w:endnote>
  <w:endnote w:type="continuationNotice" w:id="1">
    <w:p w14:paraId="5D58D806" w14:textId="77777777" w:rsidR="002B549B" w:rsidRDefault="002B5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00D0" w14:textId="77777777" w:rsidR="002B549B" w:rsidRPr="00AD464C" w:rsidRDefault="002B549B">
      <w:r w:rsidRPr="00AD464C">
        <w:separator/>
      </w:r>
    </w:p>
  </w:footnote>
  <w:footnote w:type="continuationSeparator" w:id="0">
    <w:p w14:paraId="6B3D2075" w14:textId="77777777" w:rsidR="002B549B" w:rsidRPr="00AD464C" w:rsidRDefault="002B549B">
      <w:r w:rsidRPr="00AD464C">
        <w:continuationSeparator/>
      </w:r>
    </w:p>
  </w:footnote>
  <w:footnote w:type="continuationNotice" w:id="1">
    <w:p w14:paraId="318BF3D0" w14:textId="77777777" w:rsidR="002B549B" w:rsidRDefault="002B5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334C3213" w:rsidR="002A36FE" w:rsidRPr="00AD464C" w:rsidRDefault="004F1449" w:rsidP="0098025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61E70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r w:rsidR="00AE036E">
      <w:t>1376r</w:t>
    </w:r>
    <w:r w:rsidR="00550D6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A634F53"/>
    <w:multiLevelType w:val="hybridMultilevel"/>
    <w:tmpl w:val="DB945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8D0"/>
    <w:multiLevelType w:val="hybridMultilevel"/>
    <w:tmpl w:val="0CF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6E40"/>
    <w:multiLevelType w:val="hybridMultilevel"/>
    <w:tmpl w:val="A7BC4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0B6D78"/>
    <w:multiLevelType w:val="hybridMultilevel"/>
    <w:tmpl w:val="DE0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B17707"/>
    <w:multiLevelType w:val="hybridMultilevel"/>
    <w:tmpl w:val="23E6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F528C"/>
    <w:multiLevelType w:val="hybridMultilevel"/>
    <w:tmpl w:val="12DA9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8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25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5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9"/>
  </w:num>
  <w:num w:numId="9" w16cid:durableId="14046435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30"/>
  </w:num>
  <w:num w:numId="11" w16cid:durableId="332296891">
    <w:abstractNumId w:val="18"/>
  </w:num>
  <w:num w:numId="12" w16cid:durableId="2012948845">
    <w:abstractNumId w:val="12"/>
  </w:num>
  <w:num w:numId="13" w16cid:durableId="537474018">
    <w:abstractNumId w:val="22"/>
  </w:num>
  <w:num w:numId="14" w16cid:durableId="1544976671">
    <w:abstractNumId w:val="19"/>
  </w:num>
  <w:num w:numId="15" w16cid:durableId="767963964">
    <w:abstractNumId w:val="32"/>
  </w:num>
  <w:num w:numId="16" w16cid:durableId="1253585203">
    <w:abstractNumId w:val="10"/>
  </w:num>
  <w:num w:numId="17" w16cid:durableId="949581411">
    <w:abstractNumId w:val="31"/>
  </w:num>
  <w:num w:numId="18" w16cid:durableId="519006061">
    <w:abstractNumId w:val="6"/>
  </w:num>
  <w:num w:numId="19" w16cid:durableId="502282191">
    <w:abstractNumId w:val="13"/>
  </w:num>
  <w:num w:numId="20" w16cid:durableId="521673909">
    <w:abstractNumId w:val="3"/>
  </w:num>
  <w:num w:numId="21" w16cid:durableId="857045570">
    <w:abstractNumId w:val="21"/>
  </w:num>
  <w:num w:numId="22" w16cid:durableId="1094477127">
    <w:abstractNumId w:val="7"/>
  </w:num>
  <w:num w:numId="23" w16cid:durableId="374352158">
    <w:abstractNumId w:val="26"/>
  </w:num>
  <w:num w:numId="24" w16cid:durableId="376054425">
    <w:abstractNumId w:val="16"/>
  </w:num>
  <w:num w:numId="25" w16cid:durableId="1839271319">
    <w:abstractNumId w:val="8"/>
  </w:num>
  <w:num w:numId="26" w16cid:durableId="139661384">
    <w:abstractNumId w:val="28"/>
  </w:num>
  <w:num w:numId="27" w16cid:durableId="56438909">
    <w:abstractNumId w:val="27"/>
  </w:num>
  <w:num w:numId="28" w16cid:durableId="778915369">
    <w:abstractNumId w:val="17"/>
  </w:num>
  <w:num w:numId="29" w16cid:durableId="795756790">
    <w:abstractNumId w:val="23"/>
  </w:num>
  <w:num w:numId="30" w16cid:durableId="1698391222">
    <w:abstractNumId w:val="20"/>
  </w:num>
  <w:num w:numId="31" w16cid:durableId="1745445835">
    <w:abstractNumId w:val="11"/>
  </w:num>
  <w:num w:numId="32" w16cid:durableId="865682341">
    <w:abstractNumId w:val="24"/>
  </w:num>
  <w:num w:numId="33" w16cid:durableId="489950135">
    <w:abstractNumId w:val="9"/>
  </w:num>
  <w:num w:numId="34" w16cid:durableId="1414660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52B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273F3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0E3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549B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36A7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0EC7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66D09"/>
    <w:rsid w:val="0047113A"/>
    <w:rsid w:val="00472313"/>
    <w:rsid w:val="00473130"/>
    <w:rsid w:val="004755F7"/>
    <w:rsid w:val="004762CA"/>
    <w:rsid w:val="00476B8A"/>
    <w:rsid w:val="00476D4D"/>
    <w:rsid w:val="00480C2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1449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1505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2CEE"/>
    <w:rsid w:val="0054604E"/>
    <w:rsid w:val="005501BD"/>
    <w:rsid w:val="00550D67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4EED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6C2C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66FB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B67F7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3CF1"/>
    <w:rsid w:val="00864BB0"/>
    <w:rsid w:val="00865057"/>
    <w:rsid w:val="00865F84"/>
    <w:rsid w:val="00866071"/>
    <w:rsid w:val="0087079F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07C"/>
    <w:rsid w:val="008C1BE0"/>
    <w:rsid w:val="008C1F06"/>
    <w:rsid w:val="008C5729"/>
    <w:rsid w:val="008C5881"/>
    <w:rsid w:val="008C5B93"/>
    <w:rsid w:val="008D0681"/>
    <w:rsid w:val="008D1C29"/>
    <w:rsid w:val="008D2A4D"/>
    <w:rsid w:val="008D3DDC"/>
    <w:rsid w:val="008D4B48"/>
    <w:rsid w:val="008D6DBF"/>
    <w:rsid w:val="008D7394"/>
    <w:rsid w:val="008E00F9"/>
    <w:rsid w:val="008E1A5A"/>
    <w:rsid w:val="008E34ED"/>
    <w:rsid w:val="008E36CA"/>
    <w:rsid w:val="008E3C6E"/>
    <w:rsid w:val="008E6223"/>
    <w:rsid w:val="008E7B5C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1F0B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49F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36E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178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5EEE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5222"/>
    <w:rsid w:val="00CC6DE1"/>
    <w:rsid w:val="00CD1354"/>
    <w:rsid w:val="00CD215C"/>
    <w:rsid w:val="00CD219D"/>
    <w:rsid w:val="00CD3B5A"/>
    <w:rsid w:val="00CD630C"/>
    <w:rsid w:val="00CD7DA9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531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DC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1758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5817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17150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jstacey@gmai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717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5773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4</cp:revision>
  <cp:lastPrinted>1901-01-02T02:00:00Z</cp:lastPrinted>
  <dcterms:created xsi:type="dcterms:W3CDTF">2025-07-30T07:48:00Z</dcterms:created>
  <dcterms:modified xsi:type="dcterms:W3CDTF">2025-07-30T07:49:00Z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