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549"/>
        <w:gridCol w:w="1701"/>
        <w:gridCol w:w="1926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36868" w:rsidP="00DD4DD6">
            <w:pPr>
              <w:pStyle w:val="T2"/>
            </w:pPr>
            <w:r>
              <w:t xml:space="preserve">PQC SG </w:t>
            </w:r>
            <w:r w:rsidR="00DD4DD6">
              <w:t>21</w:t>
            </w:r>
            <w:r>
              <w:t xml:space="preserve"> </w:t>
            </w:r>
            <w:r w:rsidR="00827120">
              <w:t>April</w:t>
            </w:r>
            <w:r>
              <w:t xml:space="preserve"> 2025 Teleconference Meeting Minutes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021B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136868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136868">
              <w:rPr>
                <w:b w:val="0"/>
                <w:sz w:val="20"/>
              </w:rPr>
              <w:t>0</w:t>
            </w:r>
            <w:r w:rsidR="00B307C6">
              <w:rPr>
                <w:b w:val="0"/>
                <w:sz w:val="20"/>
              </w:rPr>
              <w:t>4</w:t>
            </w:r>
            <w:r>
              <w:rPr>
                <w:b w:val="0"/>
                <w:sz w:val="20"/>
              </w:rPr>
              <w:t>-</w:t>
            </w:r>
            <w:r w:rsidR="00F021BC">
              <w:rPr>
                <w:b w:val="0"/>
                <w:sz w:val="20"/>
              </w:rPr>
              <w:t>25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136868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549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92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136868">
        <w:trPr>
          <w:jc w:val="center"/>
        </w:trPr>
        <w:tc>
          <w:tcPr>
            <w:tcW w:w="1336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Alex Lungu</w:t>
            </w:r>
          </w:p>
        </w:tc>
        <w:tc>
          <w:tcPr>
            <w:tcW w:w="2064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</w:t>
            </w:r>
          </w:p>
        </w:tc>
        <w:tc>
          <w:tcPr>
            <w:tcW w:w="2549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OCS, CB4 0AE, U.K.</w:t>
            </w:r>
          </w:p>
        </w:tc>
        <w:tc>
          <w:tcPr>
            <w:tcW w:w="1701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+44 1223 434600</w:t>
            </w:r>
          </w:p>
        </w:tc>
        <w:tc>
          <w:tcPr>
            <w:tcW w:w="1926" w:type="dxa"/>
            <w:vAlign w:val="center"/>
          </w:tcPr>
          <w:p w:rsidR="00CA09B2" w:rsidRDefault="0013686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da.lungu@samsung.com</w:t>
            </w:r>
          </w:p>
        </w:tc>
      </w:tr>
    </w:tbl>
    <w:p w:rsidR="00CA09B2" w:rsidRDefault="00673CF5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BEA8BF" wp14:editId="61296BA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9F7" w:rsidRDefault="008E29F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E29F7" w:rsidRDefault="008E29F7">
                            <w:pPr>
                              <w:jc w:val="both"/>
                            </w:pPr>
                            <w:r>
                              <w:t xml:space="preserve">This document </w:t>
                            </w:r>
                            <w:proofErr w:type="spellStart"/>
                            <w:r>
                              <w:t>containes</w:t>
                            </w:r>
                            <w:proofErr w:type="spellEnd"/>
                            <w:r>
                              <w:t xml:space="preserve"> the minutes for the PQC SG teleconference that took place on the 21</w:t>
                            </w:r>
                            <w:r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of April 2025.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EA8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E29F7" w:rsidRDefault="008E29F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E29F7" w:rsidRDefault="008E29F7">
                      <w:pPr>
                        <w:jc w:val="both"/>
                      </w:pPr>
                      <w:r>
                        <w:t xml:space="preserve">This document </w:t>
                      </w:r>
                      <w:proofErr w:type="spellStart"/>
                      <w:r>
                        <w:t>containes</w:t>
                      </w:r>
                      <w:proofErr w:type="spellEnd"/>
                      <w:r>
                        <w:t xml:space="preserve"> the minutes for the PQC SG teleconference that took place on the 21</w:t>
                      </w:r>
                      <w:r>
                        <w:rPr>
                          <w:vertAlign w:val="superscript"/>
                        </w:rPr>
                        <w:t>st</w:t>
                      </w:r>
                      <w:r>
                        <w:t xml:space="preserve"> of April 2025.</w:t>
                      </w:r>
                    </w:p>
                  </w:txbxContent>
                </v:textbox>
              </v:shape>
            </w:pict>
          </mc:Fallback>
        </mc:AlternateContent>
      </w:r>
    </w:p>
    <w:p w:rsidR="00136868" w:rsidRDefault="00CA09B2" w:rsidP="00136868">
      <w:pPr>
        <w:pStyle w:val="Heading1"/>
      </w:pPr>
      <w:r>
        <w:br w:type="page"/>
      </w:r>
      <w:r w:rsidR="00136868">
        <w:lastRenderedPageBreak/>
        <w:t xml:space="preserve"> </w:t>
      </w:r>
    </w:p>
    <w:p w:rsidR="00C77A36" w:rsidRDefault="0066260F" w:rsidP="00D10CCB">
      <w:pPr>
        <w:pStyle w:val="ListParagraph"/>
        <w:numPr>
          <w:ilvl w:val="0"/>
          <w:numId w:val="1"/>
        </w:numPr>
      </w:pPr>
      <w:r>
        <w:t>The Chair, Stephen Orr (Cisco), calls the meeting to order</w:t>
      </w:r>
      <w:r w:rsidR="00D56E7C">
        <w:t xml:space="preserve"> at </w:t>
      </w:r>
      <w:r w:rsidR="00F021BC">
        <w:t>09:31</w:t>
      </w:r>
      <w:r w:rsidR="00D56E7C">
        <w:t xml:space="preserve"> ET</w:t>
      </w:r>
      <w:r>
        <w:t>.</w:t>
      </w:r>
    </w:p>
    <w:p w:rsidR="0066260F" w:rsidRDefault="0066260F" w:rsidP="0066260F">
      <w:pPr>
        <w:pStyle w:val="ListParagraph"/>
        <w:numPr>
          <w:ilvl w:val="0"/>
          <w:numId w:val="1"/>
        </w:numPr>
      </w:pPr>
      <w:r>
        <w:t>Chair provides reminders: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Please record your attendance during the session by using the IMAT system. 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 xml:space="preserve">No recordings </w:t>
      </w:r>
      <w:proofErr w:type="gramStart"/>
      <w:r>
        <w:t>are allowed</w:t>
      </w:r>
      <w:proofErr w:type="gramEnd"/>
      <w:r>
        <w:t>.</w:t>
      </w:r>
    </w:p>
    <w:p w:rsidR="0066260F" w:rsidRDefault="0066260F" w:rsidP="0066260F">
      <w:pPr>
        <w:pStyle w:val="ListParagraph"/>
        <w:numPr>
          <w:ilvl w:val="1"/>
          <w:numId w:val="1"/>
        </w:numPr>
      </w:pPr>
      <w:r>
        <w:t>Please use the mute function unless addressing the group.</w:t>
      </w:r>
    </w:p>
    <w:p w:rsidR="00C77A36" w:rsidRDefault="0066260F" w:rsidP="00D10CCB">
      <w:pPr>
        <w:pStyle w:val="ListParagraph"/>
        <w:numPr>
          <w:ilvl w:val="1"/>
          <w:numId w:val="1"/>
        </w:numPr>
      </w:pPr>
      <w:r w:rsidRPr="0066260F">
        <w:t>Please announce your affiliation when you first address the group during a meeting slot</w:t>
      </w:r>
      <w:r>
        <w:t>.</w:t>
      </w:r>
    </w:p>
    <w:p w:rsidR="00C77A36" w:rsidRDefault="00C77A36" w:rsidP="000F37BC">
      <w:pPr>
        <w:pStyle w:val="ListParagraph"/>
        <w:numPr>
          <w:ilvl w:val="0"/>
          <w:numId w:val="1"/>
        </w:numPr>
      </w:pPr>
      <w:r>
        <w:t>Policy and procedures</w:t>
      </w:r>
    </w:p>
    <w:p w:rsidR="0066260F" w:rsidRPr="0066260F" w:rsidRDefault="0066260F" w:rsidP="00C77A36">
      <w:pPr>
        <w:ind w:left="720"/>
      </w:pPr>
      <w:r>
        <w:t xml:space="preserve">Chair </w:t>
      </w:r>
      <w:r w:rsidR="00C77A36">
        <w:t>informs</w:t>
      </w:r>
      <w:r>
        <w:t xml:space="preserve"> that participants have a duty to inform the IEEE</w:t>
      </w:r>
      <w:r w:rsidR="00C77A36">
        <w:t xml:space="preserve"> </w:t>
      </w:r>
      <w:r w:rsidR="00D56E7C">
        <w:t>o</w:t>
      </w:r>
      <w:r w:rsidRPr="0066260F">
        <w:t>f each holder of any potential Essentia</w:t>
      </w:r>
      <w:r w:rsidR="00C77A36">
        <w:t xml:space="preserve">l </w:t>
      </w:r>
      <w:r w:rsidRPr="0066260F">
        <w:t xml:space="preserve">Patent Claims of which they are personally aware if the claims </w:t>
      </w:r>
      <w:proofErr w:type="gramStart"/>
      <w:r w:rsidRPr="0066260F">
        <w:t>are owned or controlled by the participant</w:t>
      </w:r>
      <w:proofErr w:type="gramEnd"/>
      <w:r w:rsidRPr="0066260F">
        <w:t xml:space="preserve"> or the entity the participant is from, employed by, or otherwise represents</w:t>
      </w:r>
      <w:r>
        <w:t>.</w:t>
      </w:r>
    </w:p>
    <w:p w:rsidR="0066260F" w:rsidRPr="0066260F" w:rsidRDefault="0066260F" w:rsidP="00C77A36">
      <w:pPr>
        <w:ind w:left="720"/>
      </w:pPr>
      <w:r w:rsidRPr="0066260F">
        <w:t xml:space="preserve">Participants should </w:t>
      </w:r>
      <w:r w:rsidR="00C77A36">
        <w:t xml:space="preserve">also </w:t>
      </w:r>
      <w:r w:rsidRPr="0066260F">
        <w:t xml:space="preserve">inform the IEEE (or cause the IEEE to be informed) of the identity of any other </w:t>
      </w:r>
      <w:r w:rsidR="00C77A36">
        <w:t>h</w:t>
      </w:r>
      <w:r w:rsidRPr="0066260F">
        <w:t>olders of potential Essential Patent Claims</w:t>
      </w:r>
      <w:r>
        <w:t>.</w:t>
      </w:r>
    </w:p>
    <w:p w:rsidR="00C77A36" w:rsidRDefault="00650526" w:rsidP="00D10CCB">
      <w:pPr>
        <w:ind w:left="720"/>
        <w:rPr>
          <w:b/>
        </w:rPr>
      </w:pPr>
      <w:r>
        <w:rPr>
          <w:b/>
        </w:rPr>
        <w:t xml:space="preserve">Nobody speaks </w:t>
      </w:r>
      <w:r w:rsidR="00C77A36" w:rsidRPr="00C77A36">
        <w:rPr>
          <w:b/>
        </w:rPr>
        <w:t>up.</w:t>
      </w:r>
    </w:p>
    <w:p w:rsidR="00D56E7C" w:rsidRDefault="00C77A36" w:rsidP="00C77A36">
      <w:pPr>
        <w:pStyle w:val="ListParagraph"/>
        <w:numPr>
          <w:ilvl w:val="0"/>
          <w:numId w:val="1"/>
        </w:numPr>
      </w:pPr>
      <w:r w:rsidRPr="00C77A36">
        <w:t>Chair presents</w:t>
      </w:r>
      <w:r w:rsidR="00D56E7C">
        <w:t>:</w:t>
      </w:r>
    </w:p>
    <w:p w:rsidR="00D56E7C" w:rsidRDefault="00C77A36" w:rsidP="00D56E7C">
      <w:pPr>
        <w:pStyle w:val="ListParagraph"/>
        <w:numPr>
          <w:ilvl w:val="1"/>
          <w:numId w:val="1"/>
        </w:numPr>
      </w:pPr>
      <w:r w:rsidRPr="00C77A36">
        <w:t>Patent-related information</w:t>
      </w:r>
      <w:r w:rsidR="00130249">
        <w:t>.</w:t>
      </w:r>
    </w:p>
    <w:p w:rsidR="00C77A36" w:rsidRDefault="00C77A36" w:rsidP="00D56E7C">
      <w:pPr>
        <w:pStyle w:val="ListParagraph"/>
        <w:numPr>
          <w:ilvl w:val="1"/>
          <w:numId w:val="1"/>
        </w:numPr>
      </w:pPr>
      <w:r w:rsidRPr="00C77A36">
        <w:t>IEEE SA Copyright Policy</w:t>
      </w:r>
      <w:r>
        <w:t xml:space="preserve">. Chair requests the secretary to ensure the presentation of the </w:t>
      </w:r>
      <w:r w:rsidRPr="00C77A36">
        <w:rPr>
          <w:b/>
        </w:rPr>
        <w:t xml:space="preserve">Copyright </w:t>
      </w:r>
      <w:r>
        <w:rPr>
          <w:b/>
        </w:rPr>
        <w:t>P</w:t>
      </w:r>
      <w:r w:rsidRPr="00C77A36">
        <w:rPr>
          <w:b/>
        </w:rPr>
        <w:t>olicy</w:t>
      </w:r>
      <w:r>
        <w:t xml:space="preserve"> </w:t>
      </w:r>
      <w:proofErr w:type="gramStart"/>
      <w:r>
        <w:t xml:space="preserve">is </w:t>
      </w:r>
      <w:proofErr w:type="spellStart"/>
      <w:r>
        <w:t>minuted</w:t>
      </w:r>
      <w:proofErr w:type="spellEnd"/>
      <w:proofErr w:type="gramEnd"/>
      <w:r>
        <w:t>.</w:t>
      </w:r>
    </w:p>
    <w:p w:rsidR="00240722" w:rsidRDefault="00240722" w:rsidP="00D56E7C">
      <w:pPr>
        <w:pStyle w:val="ListParagraph"/>
        <w:numPr>
          <w:ilvl w:val="1"/>
          <w:numId w:val="1"/>
        </w:numPr>
      </w:pPr>
      <w:r w:rsidRPr="00C77A36">
        <w:t>Other guidelines for IEEE WG meetings</w:t>
      </w:r>
      <w:r>
        <w:t>.</w:t>
      </w:r>
    </w:p>
    <w:p w:rsidR="00D56E7C" w:rsidRDefault="00D56E7C" w:rsidP="00D56E7C">
      <w:pPr>
        <w:pStyle w:val="ListParagraph"/>
        <w:numPr>
          <w:ilvl w:val="1"/>
          <w:numId w:val="1"/>
        </w:numPr>
      </w:pPr>
      <w:r w:rsidRPr="00D56E7C">
        <w:t xml:space="preserve">Participant </w:t>
      </w:r>
      <w:proofErr w:type="spellStart"/>
      <w:r w:rsidRPr="00D56E7C">
        <w:t>behavior</w:t>
      </w:r>
      <w:proofErr w:type="spellEnd"/>
      <w:r w:rsidRPr="00D56E7C">
        <w:t xml:space="preserve"> in IEEE-SA activities is guided</w:t>
      </w:r>
      <w:r>
        <w:t xml:space="preserve"> </w:t>
      </w:r>
      <w:r w:rsidRPr="00D56E7C">
        <w:t>by the IEEE Codes of Ethics &amp; Conduct</w:t>
      </w:r>
    </w:p>
    <w:p w:rsidR="00D56E7C" w:rsidRPr="00D56E7C" w:rsidRDefault="00D56E7C" w:rsidP="00D56E7C">
      <w:pPr>
        <w:pStyle w:val="ListParagraph"/>
        <w:numPr>
          <w:ilvl w:val="1"/>
          <w:numId w:val="1"/>
        </w:numPr>
      </w:pPr>
      <w:r w:rsidRPr="00D56E7C">
        <w:rPr>
          <w:bCs/>
          <w:lang w:val="en-US"/>
        </w:rPr>
        <w:t>Participants in the IEEE-SA “individual process” shall act independently of others, including employers</w:t>
      </w:r>
      <w:r w:rsidR="00130249">
        <w:rPr>
          <w:bCs/>
          <w:lang w:val="en-US"/>
        </w:rPr>
        <w:t>.</w:t>
      </w:r>
    </w:p>
    <w:p w:rsidR="00D56E7C" w:rsidRDefault="00D56E7C" w:rsidP="00D10CCB">
      <w:pPr>
        <w:pStyle w:val="ListParagraph"/>
        <w:numPr>
          <w:ilvl w:val="1"/>
          <w:numId w:val="1"/>
        </w:numPr>
      </w:pPr>
      <w:r w:rsidRPr="00D56E7C">
        <w:t>IEEE-SA standards activities shall allow the fair &amp;</w:t>
      </w:r>
      <w:r>
        <w:t xml:space="preserve"> </w:t>
      </w:r>
      <w:r w:rsidRPr="00D56E7C">
        <w:t>equitable consideration of all viewpoints</w:t>
      </w:r>
      <w:r w:rsidR="00130249">
        <w:t>.</w:t>
      </w:r>
    </w:p>
    <w:p w:rsidR="00CA09B2" w:rsidRDefault="00D56E7C" w:rsidP="00D10CCB">
      <w:pPr>
        <w:pStyle w:val="ListParagraph"/>
        <w:numPr>
          <w:ilvl w:val="0"/>
          <w:numId w:val="1"/>
        </w:numPr>
      </w:pPr>
      <w:r>
        <w:t xml:space="preserve">For </w:t>
      </w:r>
      <w:proofErr w:type="gramStart"/>
      <w:r>
        <w:t>documentation</w:t>
      </w:r>
      <w:proofErr w:type="gramEnd"/>
      <w:r w:rsidR="00F11C03">
        <w:t xml:space="preserve"> the “</w:t>
      </w:r>
      <w:r w:rsidR="00F11C03" w:rsidRPr="00D56E7C">
        <w:t>PQC SG</w:t>
      </w:r>
      <w:r w:rsidR="00F11C03">
        <w:t>” repository in</w:t>
      </w:r>
      <w:r>
        <w:t xml:space="preserve"> </w:t>
      </w:r>
      <w:hyperlink r:id="rId7" w:history="1">
        <w:r w:rsidRPr="00BC05F1">
          <w:rPr>
            <w:rStyle w:val="Hyperlink"/>
          </w:rPr>
          <w:t>http://mentor.ieee.org</w:t>
        </w:r>
      </w:hyperlink>
      <w:r>
        <w:t xml:space="preserve"> shall be used</w:t>
      </w:r>
      <w:r w:rsidR="00240722">
        <w:t xml:space="preserve"> for </w:t>
      </w:r>
      <w:r>
        <w:t>submissions.</w:t>
      </w:r>
    </w:p>
    <w:p w:rsidR="009E107F" w:rsidRDefault="009E107F" w:rsidP="00064FE7">
      <w:pPr>
        <w:pStyle w:val="ListParagraph"/>
        <w:numPr>
          <w:ilvl w:val="0"/>
          <w:numId w:val="1"/>
        </w:numPr>
      </w:pPr>
      <w:r>
        <w:t>Meeting</w:t>
      </w:r>
      <w:r w:rsidR="00C12AED">
        <w:t xml:space="preserve"> minutes </w:t>
      </w:r>
      <w:r w:rsidR="00064FE7">
        <w:t xml:space="preserve">for the previous meeting </w:t>
      </w:r>
      <w:proofErr w:type="gramStart"/>
      <w:r w:rsidR="00064FE7">
        <w:t>can be found</w:t>
      </w:r>
      <w:proofErr w:type="gramEnd"/>
      <w:r w:rsidR="00064FE7">
        <w:t xml:space="preserve"> at </w:t>
      </w:r>
      <w:hyperlink r:id="rId8" w:history="1">
        <w:r w:rsidR="00DD4DD6">
          <w:rPr>
            <w:rStyle w:val="Hyperlink"/>
          </w:rPr>
          <w:t>11-25/0642r0</w:t>
        </w:r>
      </w:hyperlink>
      <w:r w:rsidR="00064FE7">
        <w:t xml:space="preserve">. </w:t>
      </w:r>
    </w:p>
    <w:p w:rsidR="00064FE7" w:rsidRDefault="00064FE7" w:rsidP="00064FE7">
      <w:pPr>
        <w:pStyle w:val="ListParagraph"/>
        <w:numPr>
          <w:ilvl w:val="1"/>
          <w:numId w:val="1"/>
        </w:numPr>
      </w:pPr>
      <w:r>
        <w:t>Meeting minutes approved with unanimous consent.</w:t>
      </w:r>
    </w:p>
    <w:p w:rsidR="00D56E7C" w:rsidRDefault="00D56E7C" w:rsidP="009A7FE0">
      <w:pPr>
        <w:pStyle w:val="ListParagraph"/>
        <w:numPr>
          <w:ilvl w:val="0"/>
          <w:numId w:val="1"/>
        </w:numPr>
      </w:pPr>
      <w:r>
        <w:t>Agenda for the meeting</w:t>
      </w:r>
      <w:r w:rsidR="009A7FE0">
        <w:t xml:space="preserve"> </w:t>
      </w:r>
      <w:proofErr w:type="gramStart"/>
      <w:r>
        <w:t>can be found</w:t>
      </w:r>
      <w:proofErr w:type="gramEnd"/>
      <w:r>
        <w:t xml:space="preserve"> at</w:t>
      </w:r>
      <w:r w:rsidR="009A7FE0">
        <w:t xml:space="preserve"> </w:t>
      </w:r>
      <w:hyperlink r:id="rId9" w:history="1">
        <w:r w:rsidR="00DD4DD6">
          <w:rPr>
            <w:rStyle w:val="Hyperlink"/>
          </w:rPr>
          <w:t>11-25/0671r0</w:t>
        </w:r>
      </w:hyperlink>
      <w:r>
        <w:t>.</w:t>
      </w:r>
    </w:p>
    <w:p w:rsidR="007B654C" w:rsidRDefault="007B654C" w:rsidP="007B654C">
      <w:pPr>
        <w:pStyle w:val="ListParagraph"/>
        <w:numPr>
          <w:ilvl w:val="1"/>
          <w:numId w:val="1"/>
        </w:numPr>
      </w:pPr>
      <w:r w:rsidRPr="007B654C">
        <w:t>Agenda approved with unanimous consent.</w:t>
      </w:r>
    </w:p>
    <w:p w:rsidR="009A7FE0" w:rsidRDefault="009A7FE0" w:rsidP="009A7FE0">
      <w:pPr>
        <w:pStyle w:val="ListParagraph"/>
        <w:numPr>
          <w:ilvl w:val="0"/>
          <w:numId w:val="1"/>
        </w:numPr>
      </w:pPr>
      <w:r>
        <w:t>Meeting plan</w:t>
      </w:r>
    </w:p>
    <w:p w:rsidR="009A7FE0" w:rsidRDefault="00A9568F" w:rsidP="00A9568F">
      <w:pPr>
        <w:pStyle w:val="ListParagraph"/>
        <w:numPr>
          <w:ilvl w:val="1"/>
          <w:numId w:val="1"/>
        </w:numPr>
      </w:pPr>
      <w:r>
        <w:t>2 meeting time slots are planned for face to face meetings in Warsaw</w:t>
      </w:r>
    </w:p>
    <w:p w:rsidR="00A9568F" w:rsidRDefault="00A9568F" w:rsidP="00A9568F">
      <w:pPr>
        <w:pStyle w:val="ListParagraph"/>
        <w:numPr>
          <w:ilvl w:val="0"/>
          <w:numId w:val="1"/>
        </w:numPr>
      </w:pPr>
      <w:r w:rsidRPr="00A9568F">
        <w:t>View on PQC</w:t>
      </w:r>
      <w:r>
        <w:t xml:space="preserve"> - </w:t>
      </w:r>
      <w:hyperlink r:id="rId10" w:history="1">
        <w:r>
          <w:rPr>
            <w:rStyle w:val="Hyperlink"/>
          </w:rPr>
          <w:t>11-25/0528r1</w:t>
        </w:r>
      </w:hyperlink>
      <w:r>
        <w:t xml:space="preserve"> </w:t>
      </w:r>
    </w:p>
    <w:p w:rsidR="00A9568F" w:rsidRDefault="00724907" w:rsidP="00A9568F">
      <w:pPr>
        <w:pStyle w:val="ListParagraph"/>
        <w:numPr>
          <w:ilvl w:val="1"/>
          <w:numId w:val="1"/>
        </w:numPr>
      </w:pPr>
      <w:r>
        <w:t>Question on the work envisioned to allow supporting legacy devices</w:t>
      </w:r>
      <w:r w:rsidR="00ED5AE2">
        <w:t xml:space="preserve">: will PQC not be transparent to legacy devices by </w:t>
      </w:r>
      <w:proofErr w:type="gramStart"/>
      <w:r w:rsidR="00ED5AE2">
        <w:t>default</w:t>
      </w:r>
      <w:proofErr w:type="gramEnd"/>
      <w:r w:rsidR="00ED5AE2">
        <w:t xml:space="preserve"> as it will use an AKM unknown to these devices?</w:t>
      </w:r>
    </w:p>
    <w:p w:rsidR="00ED5AE2" w:rsidRDefault="00ED5AE2" w:rsidP="00ED5AE2">
      <w:pPr>
        <w:pStyle w:val="ListParagraph"/>
        <w:numPr>
          <w:ilvl w:val="2"/>
          <w:numId w:val="1"/>
        </w:numPr>
      </w:pPr>
      <w:r>
        <w:t>To be considered off-line.</w:t>
      </w:r>
    </w:p>
    <w:p w:rsidR="00ED5AE2" w:rsidRDefault="00ED5AE2" w:rsidP="00ED5AE2">
      <w:pPr>
        <w:pStyle w:val="ListParagraph"/>
        <w:numPr>
          <w:ilvl w:val="1"/>
          <w:numId w:val="1"/>
        </w:numPr>
      </w:pPr>
      <w:r>
        <w:t xml:space="preserve">Question on hybrid algorithms: </w:t>
      </w:r>
      <w:proofErr w:type="gramStart"/>
      <w:r>
        <w:t>don’t</w:t>
      </w:r>
      <w:proofErr w:type="gramEnd"/>
      <w:r>
        <w:t xml:space="preserve"> these algorithms cover both PQC and classic cryptography and thus remain incompatible with legacy devices?</w:t>
      </w:r>
    </w:p>
    <w:p w:rsidR="00ED5AE2" w:rsidRDefault="00ED5AE2" w:rsidP="00ED5AE2">
      <w:pPr>
        <w:pStyle w:val="ListParagraph"/>
        <w:numPr>
          <w:ilvl w:val="2"/>
          <w:numId w:val="1"/>
        </w:numPr>
      </w:pPr>
      <w:r>
        <w:t>To be considered off-line. There is a backwards-compatibility concern, but this needs to be re-considered.</w:t>
      </w:r>
    </w:p>
    <w:p w:rsidR="00E67D54" w:rsidRDefault="00E67D54" w:rsidP="00E67D54">
      <w:pPr>
        <w:pStyle w:val="ListParagraph"/>
        <w:numPr>
          <w:ilvl w:val="0"/>
          <w:numId w:val="1"/>
        </w:numPr>
      </w:pPr>
      <w:r w:rsidRPr="00E67D54">
        <w:rPr>
          <w:lang w:val="en-US"/>
        </w:rPr>
        <w:t>PQC Draft proposed PAR</w:t>
      </w:r>
      <w:r>
        <w:rPr>
          <w:lang w:val="en-US"/>
        </w:rPr>
        <w:t xml:space="preserve"> - </w:t>
      </w:r>
      <w:hyperlink r:id="rId11" w:history="1">
        <w:r w:rsidR="00ED5AE2">
          <w:rPr>
            <w:rStyle w:val="Hyperlink"/>
          </w:rPr>
          <w:t>11-25/0597r1</w:t>
        </w:r>
      </w:hyperlink>
    </w:p>
    <w:p w:rsidR="00ED5AE2" w:rsidRDefault="00E67D54" w:rsidP="00E67D54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Changes done to incorporate </w:t>
      </w:r>
      <w:r>
        <w:t xml:space="preserve">feedback provided </w:t>
      </w:r>
      <w:r>
        <w:rPr>
          <w:lang w:val="en-US"/>
        </w:rPr>
        <w:t>before the meeting</w:t>
      </w:r>
      <w:r>
        <w:t xml:space="preserve"> </w:t>
      </w:r>
      <w:proofErr w:type="gramStart"/>
      <w:r>
        <w:t xml:space="preserve">were </w:t>
      </w:r>
      <w:proofErr w:type="spellStart"/>
      <w:r>
        <w:t>presented</w:t>
      </w:r>
      <w:proofErr w:type="gramEnd"/>
      <w:r>
        <w:t>.</w:t>
      </w:r>
    </w:p>
    <w:p w:rsidR="00E67D54" w:rsidRDefault="00ED5AE2" w:rsidP="00E67D54">
      <w:pPr>
        <w:pStyle w:val="ListParagraph"/>
        <w:numPr>
          <w:ilvl w:val="1"/>
          <w:numId w:val="1"/>
        </w:numPr>
      </w:pPr>
      <w:proofErr w:type="spellEnd"/>
      <w:r>
        <w:t>Some comments received off-line were conflicting between themselves.</w:t>
      </w:r>
    </w:p>
    <w:p w:rsidR="00ED5AE2" w:rsidRDefault="00ED5AE2" w:rsidP="00E67D54">
      <w:pPr>
        <w:pStyle w:val="ListParagraph"/>
        <w:numPr>
          <w:ilvl w:val="1"/>
          <w:numId w:val="1"/>
        </w:numPr>
      </w:pPr>
      <w:r>
        <w:t>Question on the addition of point e) to section 5.2.b.</w:t>
      </w:r>
    </w:p>
    <w:p w:rsidR="00ED5AE2" w:rsidRDefault="001E0E0B" w:rsidP="00ED5AE2">
      <w:pPr>
        <w:pStyle w:val="ListParagraph"/>
        <w:numPr>
          <w:ilvl w:val="2"/>
          <w:numId w:val="1"/>
        </w:numPr>
      </w:pPr>
      <w:r>
        <w:t xml:space="preserve">There was a conflicting comment during the last meeting that this text </w:t>
      </w:r>
      <w:proofErr w:type="gramStart"/>
      <w:r>
        <w:t>could be added</w:t>
      </w:r>
      <w:proofErr w:type="gramEnd"/>
      <w:r>
        <w:t xml:space="preserve"> to section 8.1.</w:t>
      </w:r>
    </w:p>
    <w:p w:rsidR="001E0E0B" w:rsidRDefault="001E0E0B" w:rsidP="00ED5AE2">
      <w:pPr>
        <w:pStyle w:val="ListParagraph"/>
        <w:numPr>
          <w:ilvl w:val="2"/>
          <w:numId w:val="1"/>
        </w:numPr>
      </w:pPr>
      <w:r>
        <w:t xml:space="preserve">Text </w:t>
      </w:r>
      <w:proofErr w:type="gramStart"/>
      <w:r>
        <w:t>was added</w:t>
      </w:r>
      <w:proofErr w:type="gramEnd"/>
      <w:r>
        <w:t xml:space="preserve"> to section 5.2.b.</w:t>
      </w:r>
    </w:p>
    <w:p w:rsidR="001E0E0B" w:rsidRDefault="001E0E0B" w:rsidP="001E0E0B">
      <w:pPr>
        <w:pStyle w:val="ListParagraph"/>
        <w:numPr>
          <w:ilvl w:val="1"/>
          <w:numId w:val="1"/>
        </w:numPr>
      </w:pPr>
      <w:r>
        <w:t>Comment on moving the “symmetric” keyword from section 5.2.b, point d).</w:t>
      </w:r>
    </w:p>
    <w:p w:rsidR="001E0E0B" w:rsidRDefault="001E0E0B" w:rsidP="001E0E0B">
      <w:pPr>
        <w:pStyle w:val="ListParagraph"/>
        <w:numPr>
          <w:ilvl w:val="2"/>
          <w:numId w:val="1"/>
        </w:numPr>
      </w:pPr>
      <w:r>
        <w:t xml:space="preserve">The intent is to leave a door open so we can update multiple handshakes, as the group </w:t>
      </w:r>
      <w:proofErr w:type="gramStart"/>
      <w:r>
        <w:t>doesn’t</w:t>
      </w:r>
      <w:proofErr w:type="gramEnd"/>
      <w:r>
        <w:t xml:space="preserve"> need to fulfil everything in scope.</w:t>
      </w:r>
    </w:p>
    <w:p w:rsidR="001E0E0B" w:rsidRDefault="001E0E0B" w:rsidP="001E0E0B">
      <w:pPr>
        <w:pStyle w:val="ListParagraph"/>
        <w:numPr>
          <w:ilvl w:val="2"/>
          <w:numId w:val="1"/>
        </w:numPr>
      </w:pPr>
      <w:r>
        <w:t>The scope remains quite limited regardless of how wide point d) leaves us.</w:t>
      </w:r>
    </w:p>
    <w:p w:rsidR="001E0E0B" w:rsidRDefault="001E0E0B" w:rsidP="001E0E0B">
      <w:pPr>
        <w:pStyle w:val="ListParagraph"/>
        <w:numPr>
          <w:ilvl w:val="2"/>
          <w:numId w:val="1"/>
        </w:numPr>
      </w:pPr>
      <w:r>
        <w:t xml:space="preserve">The conclusion </w:t>
      </w:r>
      <w:r w:rsidR="00A50D47">
        <w:t>was to remove the keyword.</w:t>
      </w:r>
    </w:p>
    <w:p w:rsidR="001E0E0B" w:rsidRDefault="001E0E0B" w:rsidP="001E0E0B">
      <w:pPr>
        <w:pStyle w:val="ListParagraph"/>
        <w:numPr>
          <w:ilvl w:val="1"/>
          <w:numId w:val="1"/>
        </w:numPr>
      </w:pPr>
      <w:r>
        <w:t>Question on section 5.2.b: Does point e) of cover work done by the 11bc group, or does another point</w:t>
      </w:r>
      <w:r w:rsidR="00A50D47">
        <w:t xml:space="preserve"> cover it</w:t>
      </w:r>
      <w:r>
        <w:t>?</w:t>
      </w:r>
    </w:p>
    <w:p w:rsidR="001E0E0B" w:rsidRDefault="00A50D47" w:rsidP="001E0E0B">
      <w:pPr>
        <w:pStyle w:val="ListParagraph"/>
        <w:numPr>
          <w:ilvl w:val="2"/>
          <w:numId w:val="1"/>
        </w:numPr>
      </w:pPr>
      <w:r>
        <w:t>This should be resolved / the PAR should be open to this.</w:t>
      </w:r>
    </w:p>
    <w:p w:rsidR="00A50D47" w:rsidRDefault="00A50D47" w:rsidP="001E0E0B">
      <w:pPr>
        <w:pStyle w:val="ListParagraph"/>
        <w:numPr>
          <w:ilvl w:val="2"/>
          <w:numId w:val="1"/>
        </w:numPr>
      </w:pPr>
      <w:r>
        <w:lastRenderedPageBreak/>
        <w:t>The PAR draft is not envisioned to be too narrow to handle 11bc.</w:t>
      </w:r>
    </w:p>
    <w:p w:rsidR="00A50D47" w:rsidRDefault="00A50D47" w:rsidP="00A50D47">
      <w:pPr>
        <w:pStyle w:val="ListParagraph"/>
        <w:numPr>
          <w:ilvl w:val="1"/>
          <w:numId w:val="1"/>
        </w:numPr>
      </w:pPr>
      <w:r>
        <w:t xml:space="preserve">Question on point e) to section 5.2.b: Why </w:t>
      </w:r>
      <w:proofErr w:type="gramStart"/>
      <w:r>
        <w:t>is it needed</w:t>
      </w:r>
      <w:proofErr w:type="gramEnd"/>
      <w:r>
        <w:t xml:space="preserve"> if AES remains quantum resistant?</w:t>
      </w:r>
    </w:p>
    <w:p w:rsidR="00A50D47" w:rsidRDefault="00A50D47" w:rsidP="00A50D47">
      <w:pPr>
        <w:pStyle w:val="ListParagraph"/>
        <w:numPr>
          <w:ilvl w:val="2"/>
          <w:numId w:val="1"/>
        </w:numPr>
      </w:pPr>
      <w:r>
        <w:t xml:space="preserve">While no concrete example </w:t>
      </w:r>
      <w:proofErr w:type="gramStart"/>
      <w:r>
        <w:t>is offered</w:t>
      </w:r>
      <w:proofErr w:type="gramEnd"/>
      <w:r>
        <w:t>, this point was suggested as a “maybe”.</w:t>
      </w:r>
    </w:p>
    <w:p w:rsidR="00A50D47" w:rsidRDefault="00A50D47" w:rsidP="00A50D47">
      <w:pPr>
        <w:pStyle w:val="ListParagraph"/>
        <w:numPr>
          <w:ilvl w:val="2"/>
          <w:numId w:val="1"/>
        </w:numPr>
      </w:pPr>
      <w:r>
        <w:t xml:space="preserve">There is a concern that </w:t>
      </w:r>
      <w:r w:rsidR="001E25BE">
        <w:t xml:space="preserve">point </w:t>
      </w:r>
      <w:r>
        <w:t xml:space="preserve">e) </w:t>
      </w:r>
      <w:proofErr w:type="gramStart"/>
      <w:r>
        <w:t xml:space="preserve">may be </w:t>
      </w:r>
      <w:proofErr w:type="spellStart"/>
      <w:r>
        <w:t>mis</w:t>
      </w:r>
      <w:proofErr w:type="spellEnd"/>
      <w:r>
        <w:t>-interpreted</w:t>
      </w:r>
      <w:proofErr w:type="gramEnd"/>
      <w:r>
        <w:t xml:space="preserve"> as replacing the symmetric pairwise cipher.</w:t>
      </w:r>
    </w:p>
    <w:p w:rsidR="001E25BE" w:rsidRDefault="001E25BE" w:rsidP="00A50D47">
      <w:pPr>
        <w:pStyle w:val="ListParagraph"/>
        <w:numPr>
          <w:ilvl w:val="2"/>
          <w:numId w:val="1"/>
        </w:numPr>
      </w:pPr>
      <w:r>
        <w:t xml:space="preserve">There is a risk to out-scope the group from its goal, so the point </w:t>
      </w:r>
      <w:proofErr w:type="gramStart"/>
      <w:r>
        <w:t>is best left</w:t>
      </w:r>
      <w:proofErr w:type="gramEnd"/>
      <w:r>
        <w:t xml:space="preserve"> in.</w:t>
      </w:r>
    </w:p>
    <w:p w:rsidR="00A50D47" w:rsidRDefault="001E25BE" w:rsidP="00A50D47">
      <w:pPr>
        <w:pStyle w:val="ListParagraph"/>
        <w:numPr>
          <w:ilvl w:val="1"/>
          <w:numId w:val="1"/>
        </w:numPr>
      </w:pPr>
      <w:r>
        <w:t>Question on section 5.3: are we not dependent on any other standards?</w:t>
      </w:r>
    </w:p>
    <w:p w:rsidR="001E25BE" w:rsidRDefault="001E25BE" w:rsidP="001E25BE">
      <w:pPr>
        <w:pStyle w:val="ListParagraph"/>
        <w:numPr>
          <w:ilvl w:val="2"/>
          <w:numId w:val="1"/>
        </w:numPr>
      </w:pPr>
      <w:r>
        <w:t xml:space="preserve">No standards on which the group is dependent </w:t>
      </w:r>
      <w:proofErr w:type="gramStart"/>
      <w:r>
        <w:t>were identified</w:t>
      </w:r>
      <w:proofErr w:type="gramEnd"/>
      <w:r>
        <w:t>.</w:t>
      </w:r>
    </w:p>
    <w:p w:rsidR="001E25BE" w:rsidRDefault="00902F1E" w:rsidP="001E25BE">
      <w:pPr>
        <w:pStyle w:val="ListParagraph"/>
        <w:numPr>
          <w:ilvl w:val="2"/>
          <w:numId w:val="1"/>
        </w:numPr>
      </w:pPr>
      <w:r>
        <w:t xml:space="preserve">Enough work </w:t>
      </w:r>
      <w:proofErr w:type="gramStart"/>
      <w:r>
        <w:t>is believed to have been done</w:t>
      </w:r>
      <w:proofErr w:type="gramEnd"/>
      <w:r>
        <w:t xml:space="preserve"> by other standards’ groups to enable us to satisfy the PAR.</w:t>
      </w:r>
    </w:p>
    <w:p w:rsidR="00F563B1" w:rsidRDefault="00B2232A" w:rsidP="00B2232A">
      <w:pPr>
        <w:pStyle w:val="ListParagraph"/>
        <w:numPr>
          <w:ilvl w:val="0"/>
          <w:numId w:val="1"/>
        </w:numPr>
      </w:pPr>
      <w:r w:rsidRPr="00B2232A">
        <w:rPr>
          <w:lang w:val="en-US"/>
        </w:rPr>
        <w:t>PQC Draft Proposed CSD</w:t>
      </w:r>
      <w:r w:rsidRPr="00B2232A">
        <w:t xml:space="preserve"> </w:t>
      </w:r>
      <w:r>
        <w:t xml:space="preserve">- </w:t>
      </w:r>
      <w:hyperlink r:id="rId12" w:history="1">
        <w:r w:rsidR="00902F1E">
          <w:rPr>
            <w:rStyle w:val="Hyperlink"/>
          </w:rPr>
          <w:t>11-25/05</w:t>
        </w:r>
        <w:r w:rsidR="00902F1E">
          <w:rPr>
            <w:rStyle w:val="Hyperlink"/>
          </w:rPr>
          <w:t>9</w:t>
        </w:r>
        <w:r w:rsidR="00902F1E">
          <w:rPr>
            <w:rStyle w:val="Hyperlink"/>
          </w:rPr>
          <w:t>8</w:t>
        </w:r>
        <w:r w:rsidR="00902F1E">
          <w:rPr>
            <w:rStyle w:val="Hyperlink"/>
          </w:rPr>
          <w:t>r1</w:t>
        </w:r>
      </w:hyperlink>
      <w:r>
        <w:t xml:space="preserve"> </w:t>
      </w:r>
    </w:p>
    <w:p w:rsidR="00B2232A" w:rsidRDefault="00B2232A" w:rsidP="00B2232A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Changes done to incorporate </w:t>
      </w:r>
      <w:r>
        <w:t xml:space="preserve">feedback provided </w:t>
      </w:r>
      <w:r>
        <w:rPr>
          <w:lang w:val="en-US"/>
        </w:rPr>
        <w:t>before the meeting</w:t>
      </w:r>
      <w:r>
        <w:t xml:space="preserve"> </w:t>
      </w:r>
      <w:proofErr w:type="gramStart"/>
      <w:r>
        <w:t>were presented</w:t>
      </w:r>
      <w:proofErr w:type="gramEnd"/>
      <w:r>
        <w:t>.</w:t>
      </w:r>
    </w:p>
    <w:p w:rsidR="00902F1E" w:rsidRDefault="00902F1E" w:rsidP="00B2232A">
      <w:pPr>
        <w:pStyle w:val="ListParagraph"/>
        <w:numPr>
          <w:ilvl w:val="1"/>
          <w:numId w:val="1"/>
        </w:numPr>
      </w:pPr>
      <w:r>
        <w:t xml:space="preserve">A few </w:t>
      </w:r>
      <w:proofErr w:type="spellStart"/>
      <w:r>
        <w:t>editoral</w:t>
      </w:r>
      <w:proofErr w:type="spellEnd"/>
      <w:r>
        <w:t xml:space="preserve"> changes </w:t>
      </w:r>
      <w:proofErr w:type="gramStart"/>
      <w:r>
        <w:t>were performed</w:t>
      </w:r>
      <w:proofErr w:type="gramEnd"/>
      <w:r w:rsidR="00DD7CD2">
        <w:t xml:space="preserve"> during the meeting</w:t>
      </w:r>
      <w:r>
        <w:t>.</w:t>
      </w:r>
    </w:p>
    <w:p w:rsidR="00902F1E" w:rsidRDefault="00902F1E" w:rsidP="00B2232A">
      <w:pPr>
        <w:pStyle w:val="ListParagraph"/>
        <w:numPr>
          <w:ilvl w:val="1"/>
          <w:numId w:val="1"/>
        </w:numPr>
      </w:pPr>
      <w:r>
        <w:t>Question on the CSD being required at all from the SG.</w:t>
      </w:r>
    </w:p>
    <w:p w:rsidR="00902F1E" w:rsidRDefault="00902F1E" w:rsidP="00AA1468">
      <w:pPr>
        <w:pStyle w:val="ListParagraph"/>
        <w:numPr>
          <w:ilvl w:val="2"/>
          <w:numId w:val="1"/>
        </w:numPr>
      </w:pPr>
      <w:proofErr w:type="gramStart"/>
      <w:r>
        <w:t>The CSD is required for LMSC’s consideration</w:t>
      </w:r>
      <w:proofErr w:type="gramEnd"/>
      <w:r>
        <w:t xml:space="preserve">, </w:t>
      </w:r>
      <w:proofErr w:type="gramStart"/>
      <w:r>
        <w:t xml:space="preserve">the </w:t>
      </w:r>
      <w:r w:rsidR="00AA1468" w:rsidRPr="00AA1468">
        <w:t xml:space="preserve">Coexistence </w:t>
      </w:r>
      <w:proofErr w:type="spellStart"/>
      <w:r>
        <w:t>Assesment</w:t>
      </w:r>
      <w:proofErr w:type="spellEnd"/>
      <w:r>
        <w:t xml:space="preserve"> is not</w:t>
      </w:r>
      <w:proofErr w:type="gramEnd"/>
      <w:r>
        <w:t>.</w:t>
      </w:r>
    </w:p>
    <w:p w:rsidR="00902F1E" w:rsidRDefault="00902F1E" w:rsidP="00902F1E">
      <w:pPr>
        <w:pStyle w:val="ListParagraph"/>
        <w:numPr>
          <w:ilvl w:val="1"/>
          <w:numId w:val="1"/>
        </w:numPr>
      </w:pPr>
      <w:r>
        <w:t>Question on “the USA entity” wording – which entity is this?</w:t>
      </w:r>
    </w:p>
    <w:p w:rsidR="00902F1E" w:rsidRDefault="00902F1E" w:rsidP="00902F1E">
      <w:pPr>
        <w:pStyle w:val="ListParagraph"/>
        <w:numPr>
          <w:ilvl w:val="2"/>
          <w:numId w:val="1"/>
        </w:numPr>
      </w:pPr>
      <w:proofErr w:type="gramStart"/>
      <w:r>
        <w:t>NSA is the entity</w:t>
      </w:r>
      <w:proofErr w:type="gramEnd"/>
      <w:r>
        <w:t xml:space="preserve">, </w:t>
      </w:r>
      <w:proofErr w:type="gramStart"/>
      <w:r>
        <w:t>text was updated</w:t>
      </w:r>
      <w:proofErr w:type="gramEnd"/>
      <w:r>
        <w:t>.</w:t>
      </w:r>
    </w:p>
    <w:p w:rsidR="008E29F7" w:rsidRDefault="00DD7CD2" w:rsidP="00DD7CD2">
      <w:pPr>
        <w:pStyle w:val="ListParagraph"/>
        <w:numPr>
          <w:ilvl w:val="0"/>
          <w:numId w:val="1"/>
        </w:numPr>
      </w:pPr>
      <w:r>
        <w:t xml:space="preserve">An opportunity presents itself - </w:t>
      </w:r>
      <w:hyperlink r:id="rId13" w:history="1">
        <w:r w:rsidR="008E29F7" w:rsidRPr="00DD7CD2">
          <w:rPr>
            <w:rStyle w:val="Hyperlink"/>
          </w:rPr>
          <w:t>11-25/063</w:t>
        </w:r>
        <w:r w:rsidR="008E29F7" w:rsidRPr="00DD7CD2">
          <w:rPr>
            <w:rStyle w:val="Hyperlink"/>
          </w:rPr>
          <w:t>1</w:t>
        </w:r>
        <w:r w:rsidR="008E29F7" w:rsidRPr="00DD7CD2">
          <w:rPr>
            <w:rStyle w:val="Hyperlink"/>
          </w:rPr>
          <w:t>r</w:t>
        </w:r>
        <w:r w:rsidR="008E29F7" w:rsidRPr="00DD7CD2">
          <w:rPr>
            <w:rStyle w:val="Hyperlink"/>
          </w:rPr>
          <w:t>0</w:t>
        </w:r>
      </w:hyperlink>
    </w:p>
    <w:p w:rsidR="00DD7CD2" w:rsidRDefault="00DD7CD2" w:rsidP="00DD7CD2">
      <w:pPr>
        <w:pStyle w:val="ListParagraph"/>
        <w:numPr>
          <w:ilvl w:val="1"/>
          <w:numId w:val="1"/>
        </w:numPr>
      </w:pPr>
      <w:r>
        <w:t>Comment on 11bi, which is more mature than the PQC SG, being in the process of doing</w:t>
      </w:r>
      <w:r w:rsidR="0078085A">
        <w:t xml:space="preserve"> </w:t>
      </w:r>
      <w:proofErr w:type="spellStart"/>
      <w:r w:rsidR="0078085A">
        <w:t>somthing</w:t>
      </w:r>
      <w:proofErr w:type="spellEnd"/>
      <w:r>
        <w:t xml:space="preserve"> similar, </w:t>
      </w:r>
      <w:proofErr w:type="gramStart"/>
      <w:r>
        <w:t>protecting</w:t>
      </w:r>
      <w:proofErr w:type="gramEnd"/>
      <w:r>
        <w:t xml:space="preserve"> Association frames</w:t>
      </w:r>
      <w:r w:rsidR="0078085A">
        <w:t>.</w:t>
      </w:r>
      <w:r>
        <w:t xml:space="preserve"> </w:t>
      </w:r>
      <w:r w:rsidR="0078085A">
        <w:t>T</w:t>
      </w:r>
      <w:r>
        <w:t xml:space="preserve">here is overlap in result and </w:t>
      </w:r>
      <w:r w:rsidR="0078085A">
        <w:t xml:space="preserve">in </w:t>
      </w:r>
      <w:r>
        <w:t>technique with the proposal at hand.</w:t>
      </w:r>
    </w:p>
    <w:p w:rsidR="0078085A" w:rsidRDefault="0078085A" w:rsidP="0078085A">
      <w:pPr>
        <w:pStyle w:val="ListParagraph"/>
        <w:numPr>
          <w:ilvl w:val="2"/>
          <w:numId w:val="1"/>
        </w:numPr>
      </w:pPr>
      <w:r>
        <w:t xml:space="preserve">11bi is doing something similar, and duplication of work </w:t>
      </w:r>
      <w:proofErr w:type="gramStart"/>
      <w:r>
        <w:t>is not welcomed</w:t>
      </w:r>
      <w:proofErr w:type="gramEnd"/>
      <w:r>
        <w:t xml:space="preserve">. If the 11bi work is mature, it </w:t>
      </w:r>
      <w:proofErr w:type="gramStart"/>
      <w:r>
        <w:t>can simply be re-used</w:t>
      </w:r>
      <w:proofErr w:type="gramEnd"/>
      <w:r>
        <w:t xml:space="preserve"> for PQC – especially for association. There is also a concern that the 11bi group is violating IEEE’s code of ethics by block voting.</w:t>
      </w:r>
    </w:p>
    <w:p w:rsidR="0078085A" w:rsidRPr="00DD7CD2" w:rsidRDefault="0078085A" w:rsidP="0078085A">
      <w:pPr>
        <w:pStyle w:val="ListParagraph"/>
        <w:numPr>
          <w:ilvl w:val="2"/>
          <w:numId w:val="1"/>
        </w:numPr>
      </w:pPr>
      <w:r>
        <w:t xml:space="preserve">There are also suggestions in the contribution at hand that </w:t>
      </w:r>
      <w:proofErr w:type="gramStart"/>
      <w:r>
        <w:t>are not captured</w:t>
      </w:r>
      <w:proofErr w:type="gramEnd"/>
      <w:r>
        <w:t xml:space="preserve"> in 11bi.</w:t>
      </w:r>
    </w:p>
    <w:p w:rsidR="00F43ACC" w:rsidRDefault="00DD7CD2" w:rsidP="00DD7CD2">
      <w:pPr>
        <w:pStyle w:val="ListParagraph"/>
        <w:numPr>
          <w:ilvl w:val="1"/>
          <w:numId w:val="1"/>
        </w:numPr>
      </w:pPr>
      <w:r>
        <w:t>Straw poll at slide 8 of the contribution</w:t>
      </w:r>
      <w:r w:rsidR="00F43ACC">
        <w:t>:</w:t>
      </w:r>
    </w:p>
    <w:p w:rsidR="00F43ACC" w:rsidRPr="00F43ACC" w:rsidRDefault="00F43ACC" w:rsidP="00F43ACC">
      <w:pPr>
        <w:pStyle w:val="ListParagraph"/>
        <w:numPr>
          <w:ilvl w:val="2"/>
          <w:numId w:val="1"/>
        </w:numPr>
      </w:pPr>
      <w:r w:rsidRPr="00F43ACC">
        <w:t>The PQ TG, once formed, should:</w:t>
      </w:r>
    </w:p>
    <w:p w:rsidR="00F43ACC" w:rsidRPr="00F43ACC" w:rsidRDefault="00F43ACC" w:rsidP="00F43ACC">
      <w:pPr>
        <w:pStyle w:val="ListParagraph"/>
        <w:numPr>
          <w:ilvl w:val="3"/>
          <w:numId w:val="1"/>
        </w:numPr>
      </w:pPr>
      <w:r w:rsidRPr="00F43ACC">
        <w:t>Leave the unfortunate architecture alone, just define new PQ algorithms; or</w:t>
      </w:r>
    </w:p>
    <w:p w:rsidR="00F43ACC" w:rsidRDefault="00F43ACC" w:rsidP="00F43ACC">
      <w:pPr>
        <w:pStyle w:val="ListParagraph"/>
        <w:numPr>
          <w:ilvl w:val="3"/>
          <w:numId w:val="1"/>
        </w:numPr>
      </w:pPr>
      <w:proofErr w:type="spellStart"/>
      <w:r w:rsidRPr="00F43ACC">
        <w:t>Rearchitect</w:t>
      </w:r>
      <w:proofErr w:type="spellEnd"/>
      <w:r w:rsidRPr="00F43ACC">
        <w:t xml:space="preserve"> things for PQC protocols only to integrate the 4way HS into the new protocols and avoid </w:t>
      </w:r>
      <w:proofErr w:type="spellStart"/>
      <w:r w:rsidRPr="00F43ACC">
        <w:t>clunkiness</w:t>
      </w:r>
      <w:proofErr w:type="spellEnd"/>
      <w:r w:rsidRPr="00F43ACC">
        <w:t xml:space="preserve"> </w:t>
      </w:r>
    </w:p>
    <w:p w:rsidR="00DD7CD2" w:rsidRDefault="005D73A6" w:rsidP="00716228">
      <w:pPr>
        <w:pStyle w:val="ListParagraph"/>
        <w:numPr>
          <w:ilvl w:val="2"/>
          <w:numId w:val="1"/>
        </w:numPr>
      </w:pPr>
      <w:r>
        <w:t>Results:</w:t>
      </w:r>
    </w:p>
    <w:p w:rsidR="00E34298" w:rsidRDefault="00E34298" w:rsidP="00716228">
      <w:pPr>
        <w:pStyle w:val="ListParagraph"/>
        <w:numPr>
          <w:ilvl w:val="3"/>
          <w:numId w:val="1"/>
        </w:numPr>
      </w:pPr>
      <w:r w:rsidRPr="005D73A6">
        <w:t>5</w:t>
      </w:r>
      <w:r>
        <w:t xml:space="preserve"> votes for option</w:t>
      </w:r>
      <w:r w:rsidRPr="005D73A6">
        <w:t xml:space="preserve"> a</w:t>
      </w:r>
      <w:r w:rsidR="00716228">
        <w:t>)</w:t>
      </w:r>
      <w:r>
        <w:t>;</w:t>
      </w:r>
    </w:p>
    <w:p w:rsidR="005D73A6" w:rsidRDefault="005D73A6" w:rsidP="00716228">
      <w:pPr>
        <w:pStyle w:val="ListParagraph"/>
        <w:numPr>
          <w:ilvl w:val="3"/>
          <w:numId w:val="1"/>
        </w:numPr>
      </w:pPr>
      <w:r w:rsidRPr="005D73A6">
        <w:t xml:space="preserve">12 </w:t>
      </w:r>
      <w:r>
        <w:t xml:space="preserve">votes for option </w:t>
      </w:r>
      <w:r w:rsidRPr="005D73A6">
        <w:t>b</w:t>
      </w:r>
      <w:r w:rsidR="00716228">
        <w:t>)</w:t>
      </w:r>
      <w:r>
        <w:t>;</w:t>
      </w:r>
      <w:bookmarkStart w:id="0" w:name="_GoBack"/>
      <w:bookmarkEnd w:id="0"/>
    </w:p>
    <w:p w:rsidR="005D73A6" w:rsidRDefault="005D73A6" w:rsidP="00716228">
      <w:pPr>
        <w:pStyle w:val="ListParagraph"/>
        <w:numPr>
          <w:ilvl w:val="3"/>
          <w:numId w:val="1"/>
        </w:numPr>
      </w:pPr>
      <w:proofErr w:type="gramStart"/>
      <w:r w:rsidRPr="005D73A6">
        <w:t>3</w:t>
      </w:r>
      <w:proofErr w:type="gramEnd"/>
      <w:r>
        <w:t xml:space="preserve"> votes for newly added</w:t>
      </w:r>
      <w:r w:rsidRPr="005D73A6">
        <w:t xml:space="preserve"> </w:t>
      </w:r>
      <w:r>
        <w:t xml:space="preserve">option </w:t>
      </w:r>
      <w:r w:rsidRPr="005D73A6">
        <w:t>c</w:t>
      </w:r>
      <w:r>
        <w:t>) Don’t know.</w:t>
      </w:r>
    </w:p>
    <w:p w:rsidR="005D73A6" w:rsidRDefault="005D73A6" w:rsidP="00716228">
      <w:pPr>
        <w:pStyle w:val="ListParagraph"/>
        <w:numPr>
          <w:ilvl w:val="2"/>
          <w:numId w:val="1"/>
        </w:numPr>
      </w:pPr>
      <w:r>
        <w:t xml:space="preserve">Note: One of the votes for option a) was captured on </w:t>
      </w:r>
      <w:proofErr w:type="spellStart"/>
      <w:r w:rsidR="00E34298">
        <w:t>Webex</w:t>
      </w:r>
      <w:proofErr w:type="spellEnd"/>
      <w:r w:rsidR="00E34298">
        <w:t xml:space="preserve"> </w:t>
      </w:r>
      <w:proofErr w:type="gramStart"/>
      <w:r>
        <w:t>chat</w:t>
      </w:r>
      <w:proofErr w:type="gramEnd"/>
      <w:r w:rsidR="00E34298">
        <w:t xml:space="preserve"> as the contributor could not access </w:t>
      </w:r>
      <w:proofErr w:type="spellStart"/>
      <w:r w:rsidR="00E34298">
        <w:t>Slido</w:t>
      </w:r>
      <w:proofErr w:type="spellEnd"/>
      <w:r>
        <w:t>.</w:t>
      </w:r>
    </w:p>
    <w:p w:rsidR="00E34298" w:rsidRDefault="00E34298" w:rsidP="00D65D2A">
      <w:pPr>
        <w:pStyle w:val="ListParagraph"/>
        <w:numPr>
          <w:ilvl w:val="0"/>
          <w:numId w:val="1"/>
        </w:numPr>
      </w:pPr>
      <w:r>
        <w:t xml:space="preserve">Progress on the PAR and CSD </w:t>
      </w:r>
      <w:proofErr w:type="gramStart"/>
      <w:r>
        <w:t>will be considered</w:t>
      </w:r>
      <w:proofErr w:type="gramEnd"/>
      <w:r>
        <w:t>, and a meeting may be scheduled during the week commencing May 5</w:t>
      </w:r>
      <w:r w:rsidRPr="00E34298">
        <w:rPr>
          <w:vertAlign w:val="superscript"/>
        </w:rPr>
        <w:t>th</w:t>
      </w:r>
      <w:r>
        <w:t xml:space="preserve"> if required.</w:t>
      </w:r>
    </w:p>
    <w:p w:rsidR="00E34298" w:rsidRDefault="00E34298" w:rsidP="00E34298">
      <w:pPr>
        <w:pStyle w:val="ListParagraph"/>
        <w:numPr>
          <w:ilvl w:val="1"/>
          <w:numId w:val="1"/>
        </w:numPr>
      </w:pPr>
      <w:r>
        <w:t xml:space="preserve">10 </w:t>
      </w:r>
      <w:proofErr w:type="spellStart"/>
      <w:r>
        <w:t>days notice</w:t>
      </w:r>
      <w:proofErr w:type="spellEnd"/>
      <w:r>
        <w:t xml:space="preserve"> would be required in this case.</w:t>
      </w:r>
    </w:p>
    <w:p w:rsidR="00D65D2A" w:rsidRDefault="00E34298" w:rsidP="00D65D2A">
      <w:pPr>
        <w:pStyle w:val="ListParagraph"/>
        <w:numPr>
          <w:ilvl w:val="0"/>
          <w:numId w:val="1"/>
        </w:numPr>
      </w:pPr>
      <w:r>
        <w:t>Otherwise, n</w:t>
      </w:r>
      <w:r w:rsidR="009A7FE0">
        <w:t xml:space="preserve">ext meeting will be </w:t>
      </w:r>
      <w:r>
        <w:t>in Warsaw on the 13</w:t>
      </w:r>
      <w:r w:rsidRPr="00E34298">
        <w:rPr>
          <w:vertAlign w:val="superscript"/>
        </w:rPr>
        <w:t>th</w:t>
      </w:r>
      <w:r>
        <w:t xml:space="preserve"> of May</w:t>
      </w:r>
      <w:r w:rsidR="0031691B">
        <w:t>.</w:t>
      </w:r>
    </w:p>
    <w:p w:rsidR="005D73A6" w:rsidRDefault="00D65D2A" w:rsidP="003562A9">
      <w:pPr>
        <w:pStyle w:val="ListParagraph"/>
        <w:numPr>
          <w:ilvl w:val="0"/>
          <w:numId w:val="1"/>
        </w:numPr>
      </w:pPr>
      <w:r>
        <w:t xml:space="preserve">Adjourned at </w:t>
      </w:r>
      <w:r w:rsidR="00E34298">
        <w:t>11</w:t>
      </w:r>
      <w:r>
        <w:t>:</w:t>
      </w:r>
      <w:r w:rsidR="00E34298">
        <w:t>10</w:t>
      </w:r>
      <w:r>
        <w:t xml:space="preserve"> ET.</w:t>
      </w:r>
    </w:p>
    <w:p w:rsidR="005D73A6" w:rsidRDefault="005D73A6">
      <w:r>
        <w:br w:type="page"/>
      </w:r>
    </w:p>
    <w:p w:rsidR="005D73A6" w:rsidRDefault="005D73A6" w:rsidP="008E29F7">
      <w:pPr>
        <w:pStyle w:val="Heading1"/>
      </w:pPr>
      <w:r>
        <w:lastRenderedPageBreak/>
        <w:t xml:space="preserve">Appendix </w:t>
      </w:r>
      <w:proofErr w:type="gramStart"/>
      <w:r>
        <w:t>A</w:t>
      </w:r>
      <w:proofErr w:type="gramEnd"/>
      <w:r>
        <w:t xml:space="preserve"> - Attendance:</w:t>
      </w:r>
    </w:p>
    <w:tbl>
      <w:tblPr>
        <w:tblW w:w="95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278"/>
        <w:gridCol w:w="2720"/>
        <w:gridCol w:w="4460"/>
      </w:tblGrid>
      <w:tr w:rsidR="005D73A6" w:rsidRPr="004A616B" w:rsidTr="005D73A6">
        <w:trPr>
          <w:trHeight w:val="300"/>
        </w:trPr>
        <w:tc>
          <w:tcPr>
            <w:tcW w:w="1056" w:type="dxa"/>
            <w:shd w:val="clear" w:color="000000" w:fill="D9D9D9"/>
            <w:noWrap/>
            <w:vAlign w:val="bottom"/>
            <w:hideMark/>
          </w:tcPr>
          <w:p w:rsidR="005D73A6" w:rsidRPr="004A616B" w:rsidRDefault="005D73A6" w:rsidP="008E29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bookmarkStart w:id="1" w:name="RANGE!A1:D50"/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Breakout</w:t>
            </w:r>
            <w:bookmarkEnd w:id="1"/>
          </w:p>
        </w:tc>
        <w:tc>
          <w:tcPr>
            <w:tcW w:w="1278" w:type="dxa"/>
            <w:shd w:val="clear" w:color="000000" w:fill="D9D9D9"/>
            <w:noWrap/>
            <w:vAlign w:val="bottom"/>
            <w:hideMark/>
          </w:tcPr>
          <w:p w:rsidR="005D73A6" w:rsidRPr="004A616B" w:rsidRDefault="005D73A6" w:rsidP="008E29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Timestamp</w:t>
            </w:r>
          </w:p>
        </w:tc>
        <w:tc>
          <w:tcPr>
            <w:tcW w:w="2720" w:type="dxa"/>
            <w:shd w:val="clear" w:color="000000" w:fill="D9D9D9"/>
            <w:noWrap/>
            <w:vAlign w:val="bottom"/>
            <w:hideMark/>
          </w:tcPr>
          <w:p w:rsidR="005D73A6" w:rsidRPr="004A616B" w:rsidRDefault="005D73A6" w:rsidP="008E29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Name</w:t>
            </w:r>
          </w:p>
        </w:tc>
        <w:tc>
          <w:tcPr>
            <w:tcW w:w="4460" w:type="dxa"/>
            <w:shd w:val="clear" w:color="000000" w:fill="D9D9D9"/>
            <w:noWrap/>
            <w:vAlign w:val="bottom"/>
            <w:hideMark/>
          </w:tcPr>
          <w:p w:rsidR="005D73A6" w:rsidRPr="004A616B" w:rsidRDefault="005D73A6" w:rsidP="008E29F7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</w:pPr>
            <w:r w:rsidRPr="004A616B">
              <w:rPr>
                <w:rFonts w:ascii="Calibri" w:hAnsi="Calibri" w:cs="Calibri"/>
                <w:b/>
                <w:bCs/>
                <w:color w:val="000000"/>
                <w:szCs w:val="22"/>
                <w:lang w:eastAsia="en-GB"/>
              </w:rPr>
              <w:t>Affiliation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Wang,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Zisheng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ZTE Corporation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Sun, Bo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Sanechips</w:t>
            </w:r>
            <w:proofErr w:type="spellEnd"/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Sevin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Julien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Canon Research Centre France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Sambasivan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Sam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AT&amp;T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Rosdahl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Jon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Qualcomm Technologies,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Inc</w:t>
            </w:r>
            <w:proofErr w:type="spellEnd"/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Patwardhan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Gaurav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Hewlett Packard Enterprise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Orr, Stephen</w:t>
            </w:r>
          </w:p>
        </w:tc>
        <w:tc>
          <w:tcPr>
            <w:tcW w:w="4460" w:type="dxa"/>
            <w:shd w:val="clear" w:color="auto" w:fill="auto"/>
            <w:noWrap/>
            <w:vAlign w:val="bottom"/>
            <w:hideMark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Cisco Systems, Inc.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Lungu, Alexandru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ELECTRONICS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Li,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Weiyi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Spreadtrum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Communication USA,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Inc</w:t>
            </w:r>
            <w:proofErr w:type="spellEnd"/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Yang, Jay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ZTE Corporation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Levy, Joseph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InterDigital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Inc.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Koo,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Jonghoe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SAMSUNG ELECTRONICS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Kim, Sang Gook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LG ELECTRONICS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Jang,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Insun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LG ELECTRONICS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Hunt, Preston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Intel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Harkins, Daniel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Aruba Networks, Inc.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Hamilton, Mark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Ruckus/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CommScope</w:t>
            </w:r>
            <w:proofErr w:type="spellEnd"/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Dharap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Anuj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Cisco Systems, Inc.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DeLaOlivaDelgado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, Antonio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Universidad Carlos III Madrid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Baykas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Tuncer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Self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Kuo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Chih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>-Chun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MediaTek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Inc.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Yee, Peter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NSA-CSD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Zhou, Lei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New H3C Technologies Co., Limited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Zuniga, Juan Carlos</w:t>
            </w:r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Cisco Systems, Inc.</w:t>
            </w:r>
          </w:p>
        </w:tc>
      </w:tr>
      <w:tr w:rsidR="005D73A6" w:rsidRPr="004A616B" w:rsidTr="005D73A6">
        <w:trPr>
          <w:trHeight w:val="300"/>
        </w:trPr>
        <w:tc>
          <w:tcPr>
            <w:tcW w:w="1056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PQC SG</w:t>
            </w:r>
          </w:p>
        </w:tc>
        <w:tc>
          <w:tcPr>
            <w:tcW w:w="1278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04/21/2025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Zhou,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RenFang</w:t>
            </w:r>
            <w:proofErr w:type="spellEnd"/>
          </w:p>
        </w:tc>
        <w:tc>
          <w:tcPr>
            <w:tcW w:w="4460" w:type="dxa"/>
            <w:shd w:val="clear" w:color="auto" w:fill="auto"/>
            <w:noWrap/>
            <w:vAlign w:val="bottom"/>
          </w:tcPr>
          <w:p w:rsidR="005D73A6" w:rsidRDefault="005D73A6" w:rsidP="005D73A6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TP-Link Systems Inc.</w:t>
            </w:r>
          </w:p>
        </w:tc>
      </w:tr>
    </w:tbl>
    <w:p w:rsidR="00CA09B2" w:rsidRDefault="00CA09B2" w:rsidP="005D73A6">
      <w:pPr>
        <w:pStyle w:val="ListParagraph"/>
      </w:pPr>
    </w:p>
    <w:sectPr w:rsidR="00CA09B2" w:rsidSect="009273F6">
      <w:headerReference w:type="default" r:id="rId14"/>
      <w:footerReference w:type="default" r:id="rId15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FBC" w:rsidRDefault="00141FBC">
      <w:r>
        <w:separator/>
      </w:r>
    </w:p>
  </w:endnote>
  <w:endnote w:type="continuationSeparator" w:id="0">
    <w:p w:rsidR="00141FBC" w:rsidRDefault="0014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F7" w:rsidRDefault="008E29F7">
    <w:pPr>
      <w:pStyle w:val="Footer"/>
      <w:tabs>
        <w:tab w:val="clear" w:pos="6480"/>
        <w:tab w:val="center" w:pos="4680"/>
        <w:tab w:val="right" w:pos="9360"/>
      </w:tabs>
    </w:pPr>
    <w:r>
      <w:t>Minutes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716228">
      <w:rPr>
        <w:noProof/>
      </w:rPr>
      <w:t>4</w:t>
    </w:r>
    <w:r>
      <w:fldChar w:fldCharType="end"/>
    </w:r>
    <w:r>
      <w:tab/>
    </w:r>
    <w:fldSimple w:instr=" COMMENTS  \* MERGEFORMAT ">
      <w:r>
        <w:t>Alex Lungu, SAMSUNG</w:t>
      </w:r>
    </w:fldSimple>
  </w:p>
  <w:p w:rsidR="008E29F7" w:rsidRDefault="008E29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FBC" w:rsidRDefault="00141FBC">
      <w:r>
        <w:separator/>
      </w:r>
    </w:p>
  </w:footnote>
  <w:footnote w:type="continuationSeparator" w:id="0">
    <w:p w:rsidR="00141FBC" w:rsidRDefault="00141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F7" w:rsidRDefault="008E29F7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>
        <w:t>April 2025</w:t>
      </w:r>
    </w:fldSimple>
    <w:r>
      <w:tab/>
    </w:r>
    <w:r>
      <w:tab/>
    </w:r>
    <w:fldSimple w:instr=" TITLE  \* MERGEFORMAT ">
      <w:r>
        <w:t>IEEE 802.11-25/0719r0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19B"/>
    <w:multiLevelType w:val="hybridMultilevel"/>
    <w:tmpl w:val="39D64FCA"/>
    <w:lvl w:ilvl="0" w:tplc="81507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08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AE2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69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0A5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26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64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16B2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510CFD"/>
    <w:multiLevelType w:val="hybridMultilevel"/>
    <w:tmpl w:val="02CCC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21E6B6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7A3"/>
    <w:multiLevelType w:val="hybridMultilevel"/>
    <w:tmpl w:val="185A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92451"/>
    <w:multiLevelType w:val="hybridMultilevel"/>
    <w:tmpl w:val="C2A25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868"/>
    <w:rsid w:val="0000216F"/>
    <w:rsid w:val="000128D4"/>
    <w:rsid w:val="0002332B"/>
    <w:rsid w:val="00053EBC"/>
    <w:rsid w:val="00064FE7"/>
    <w:rsid w:val="00087655"/>
    <w:rsid w:val="000F37BC"/>
    <w:rsid w:val="00107547"/>
    <w:rsid w:val="00110274"/>
    <w:rsid w:val="00126A3C"/>
    <w:rsid w:val="00130249"/>
    <w:rsid w:val="00136868"/>
    <w:rsid w:val="00141FBC"/>
    <w:rsid w:val="00182D83"/>
    <w:rsid w:val="00191ECF"/>
    <w:rsid w:val="001C197D"/>
    <w:rsid w:val="001D723B"/>
    <w:rsid w:val="001E0E0B"/>
    <w:rsid w:val="001E25BE"/>
    <w:rsid w:val="0020597A"/>
    <w:rsid w:val="00235919"/>
    <w:rsid w:val="00240722"/>
    <w:rsid w:val="0029020B"/>
    <w:rsid w:val="002B49CC"/>
    <w:rsid w:val="002D44BE"/>
    <w:rsid w:val="002F690D"/>
    <w:rsid w:val="0031691B"/>
    <w:rsid w:val="00323019"/>
    <w:rsid w:val="003562A9"/>
    <w:rsid w:val="003745C8"/>
    <w:rsid w:val="00382812"/>
    <w:rsid w:val="003D6A1A"/>
    <w:rsid w:val="0042268D"/>
    <w:rsid w:val="00442037"/>
    <w:rsid w:val="00461EBF"/>
    <w:rsid w:val="004A616B"/>
    <w:rsid w:val="004B064B"/>
    <w:rsid w:val="004C366C"/>
    <w:rsid w:val="00541B11"/>
    <w:rsid w:val="00554AA9"/>
    <w:rsid w:val="00574924"/>
    <w:rsid w:val="005760CA"/>
    <w:rsid w:val="005D73A6"/>
    <w:rsid w:val="005E72E7"/>
    <w:rsid w:val="00603BBB"/>
    <w:rsid w:val="0062440B"/>
    <w:rsid w:val="00650526"/>
    <w:rsid w:val="0066260F"/>
    <w:rsid w:val="00673CF5"/>
    <w:rsid w:val="006C0727"/>
    <w:rsid w:val="006C1EF7"/>
    <w:rsid w:val="006C4BA5"/>
    <w:rsid w:val="006E145F"/>
    <w:rsid w:val="00716228"/>
    <w:rsid w:val="00724907"/>
    <w:rsid w:val="0074773B"/>
    <w:rsid w:val="00754F61"/>
    <w:rsid w:val="00770572"/>
    <w:rsid w:val="0078085A"/>
    <w:rsid w:val="007B654C"/>
    <w:rsid w:val="007D03F3"/>
    <w:rsid w:val="00827120"/>
    <w:rsid w:val="00880EFF"/>
    <w:rsid w:val="008D5345"/>
    <w:rsid w:val="008E29F7"/>
    <w:rsid w:val="00902F1E"/>
    <w:rsid w:val="00907110"/>
    <w:rsid w:val="009273F6"/>
    <w:rsid w:val="009341BF"/>
    <w:rsid w:val="00956583"/>
    <w:rsid w:val="0097229A"/>
    <w:rsid w:val="00973279"/>
    <w:rsid w:val="009A7FE0"/>
    <w:rsid w:val="009E107F"/>
    <w:rsid w:val="009F2FBC"/>
    <w:rsid w:val="00A168A6"/>
    <w:rsid w:val="00A50D47"/>
    <w:rsid w:val="00A70322"/>
    <w:rsid w:val="00A8369F"/>
    <w:rsid w:val="00A9568F"/>
    <w:rsid w:val="00AA1468"/>
    <w:rsid w:val="00AA427C"/>
    <w:rsid w:val="00AC2536"/>
    <w:rsid w:val="00B13800"/>
    <w:rsid w:val="00B2232A"/>
    <w:rsid w:val="00B307C6"/>
    <w:rsid w:val="00B3107A"/>
    <w:rsid w:val="00B36453"/>
    <w:rsid w:val="00BA25F5"/>
    <w:rsid w:val="00BD79FF"/>
    <w:rsid w:val="00BE68C2"/>
    <w:rsid w:val="00C12AED"/>
    <w:rsid w:val="00C271A6"/>
    <w:rsid w:val="00C31319"/>
    <w:rsid w:val="00C55867"/>
    <w:rsid w:val="00C77A36"/>
    <w:rsid w:val="00C80D94"/>
    <w:rsid w:val="00C874D8"/>
    <w:rsid w:val="00CA09B2"/>
    <w:rsid w:val="00CC53E8"/>
    <w:rsid w:val="00D10CCB"/>
    <w:rsid w:val="00D14A57"/>
    <w:rsid w:val="00D16B64"/>
    <w:rsid w:val="00D17890"/>
    <w:rsid w:val="00D27B41"/>
    <w:rsid w:val="00D3483F"/>
    <w:rsid w:val="00D473D4"/>
    <w:rsid w:val="00D56E7C"/>
    <w:rsid w:val="00D65D2A"/>
    <w:rsid w:val="00DB0236"/>
    <w:rsid w:val="00DC59D4"/>
    <w:rsid w:val="00DC5A7B"/>
    <w:rsid w:val="00DD4DD6"/>
    <w:rsid w:val="00DD7CD2"/>
    <w:rsid w:val="00DE2E02"/>
    <w:rsid w:val="00E34298"/>
    <w:rsid w:val="00E5172E"/>
    <w:rsid w:val="00E67D54"/>
    <w:rsid w:val="00EB45AC"/>
    <w:rsid w:val="00ED5AE2"/>
    <w:rsid w:val="00ED6DEB"/>
    <w:rsid w:val="00EF08D1"/>
    <w:rsid w:val="00EF7BDE"/>
    <w:rsid w:val="00F00517"/>
    <w:rsid w:val="00F021BC"/>
    <w:rsid w:val="00F11C03"/>
    <w:rsid w:val="00F43ACC"/>
    <w:rsid w:val="00F563B1"/>
    <w:rsid w:val="00F92E25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677C6C"/>
  <w15:chartTrackingRefBased/>
  <w15:docId w15:val="{7D30207F-BBF0-42A3-90BF-3DBBF838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260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71A6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FollowedHyperlink">
    <w:name w:val="FollowedHyperlink"/>
    <w:basedOn w:val="DefaultParagraphFont"/>
    <w:rsid w:val="00A956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1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6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0049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45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3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642-00-0PQC-pqc-sg-07-april-2025-teleconference-meeting-minutes.docx" TargetMode="External"/><Relationship Id="rId13" Type="http://schemas.openxmlformats.org/officeDocument/2006/relationships/hyperlink" Target="https://mentor.ieee.org/802.11/dcn/25/11-25-0631-00-0PQC-an-opportunity-presents-itself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ntor.ieee.org" TargetMode="External"/><Relationship Id="rId12" Type="http://schemas.openxmlformats.org/officeDocument/2006/relationships/hyperlink" Target="https://mentor.ieee.org/802.11/dcn/25/11-25-0598-01-0PQC-pqc-draft-proposed-csd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5/11-25-0597-01-0PQC-pqc-draft-proposed-par.docx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entor.ieee.org/802.11/dcn/25/11-25-0528-01-0PQC-view-on-pqc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5/11-25-0671-00-0PQC-pqc-sg-agenda-04-21-2025.pptx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ungu\Documents\IEE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IEEE template.dotx</Template>
  <TotalTime>257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802.11-25/0719r0</vt:lpstr>
    </vt:vector>
  </TitlesOfParts>
  <Company>Some Company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802.11-25/0719r0</dc:title>
  <dc:subject>Submission</dc:subject>
  <dc:creator>Daniel Alexandru Lungu</dc:creator>
  <cp:keywords>April 2025</cp:keywords>
  <dc:description>Alex Lungu, SAMSUNG</dc:description>
  <cp:lastModifiedBy>Daniel Alexandru Lungu</cp:lastModifiedBy>
  <cp:revision>6</cp:revision>
  <cp:lastPrinted>1900-01-01T08:00:00Z</cp:lastPrinted>
  <dcterms:created xsi:type="dcterms:W3CDTF">2025-04-25T12:16:00Z</dcterms:created>
  <dcterms:modified xsi:type="dcterms:W3CDTF">2025-04-25T16:34:00Z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